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FE4" w:rsidRPr="00C01FE4" w:rsidRDefault="00C01FE4" w:rsidP="00C01FE4">
      <w:pPr>
        <w:widowControl/>
        <w:spacing w:line="360" w:lineRule="atLeast"/>
        <w:jc w:val="center"/>
        <w:outlineLvl w:val="0"/>
        <w:rPr>
          <w:rFonts w:ascii="宋体" w:eastAsia="宋体" w:hAnsi="宋体" w:cs="宋体" w:hint="eastAsia"/>
          <w:b/>
          <w:kern w:val="36"/>
          <w:szCs w:val="18"/>
        </w:rPr>
      </w:pPr>
      <w:r w:rsidRPr="00C01FE4">
        <w:rPr>
          <w:rFonts w:ascii="宋体" w:eastAsia="宋体" w:hAnsi="宋体" w:cs="宋体" w:hint="eastAsia"/>
          <w:b/>
          <w:kern w:val="36"/>
          <w:szCs w:val="18"/>
        </w:rPr>
        <w:t>“基因信息传递过程中非编码RNA的调控作用机制”重大研究计划2015年度项目指南</w:t>
      </w:r>
    </w:p>
    <w:tbl>
      <w:tblPr>
        <w:tblW w:w="5000" w:type="pct"/>
        <w:tblCellSpacing w:w="0" w:type="dxa"/>
        <w:tblCellMar>
          <w:left w:w="0" w:type="dxa"/>
          <w:right w:w="0" w:type="dxa"/>
        </w:tblCellMar>
        <w:tblLook w:val="04A0" w:firstRow="1" w:lastRow="0" w:firstColumn="1" w:lastColumn="0" w:noHBand="0" w:noVBand="1"/>
      </w:tblPr>
      <w:tblGrid>
        <w:gridCol w:w="8306"/>
      </w:tblGrid>
      <w:tr w:rsidR="00C01FE4" w:rsidRPr="00C01FE4" w:rsidTr="00C01FE4">
        <w:trPr>
          <w:trHeight w:val="60"/>
          <w:tblCellSpacing w:w="0" w:type="dxa"/>
        </w:trPr>
        <w:tc>
          <w:tcPr>
            <w:tcW w:w="0" w:type="auto"/>
            <w:vAlign w:val="center"/>
            <w:hideMark/>
          </w:tcPr>
          <w:p w:rsidR="00C01FE4" w:rsidRPr="00C01FE4" w:rsidRDefault="00C01FE4" w:rsidP="00C01FE4">
            <w:pPr>
              <w:widowControl/>
              <w:spacing w:line="360" w:lineRule="atLeast"/>
              <w:rPr>
                <w:rFonts w:ascii="宋体" w:eastAsia="宋体" w:hAnsi="宋体" w:cs="宋体"/>
                <w:kern w:val="0"/>
                <w:sz w:val="6"/>
                <w:szCs w:val="18"/>
              </w:rPr>
            </w:pPr>
          </w:p>
        </w:tc>
      </w:tr>
      <w:tr w:rsidR="00C01FE4" w:rsidRPr="00C01FE4" w:rsidTr="00C01FE4">
        <w:trPr>
          <w:tblCellSpacing w:w="0" w:type="dxa"/>
        </w:trPr>
        <w:tc>
          <w:tcPr>
            <w:tcW w:w="0" w:type="auto"/>
            <w:vAlign w:val="center"/>
            <w:hideMark/>
          </w:tcPr>
          <w:p w:rsidR="00C01FE4" w:rsidRPr="00C01FE4" w:rsidRDefault="00C01FE4" w:rsidP="00C01FE4">
            <w:pPr>
              <w:widowControl/>
              <w:spacing w:line="360" w:lineRule="atLeast"/>
              <w:jc w:val="center"/>
              <w:rPr>
                <w:rFonts w:ascii="宋体" w:eastAsia="宋体" w:hAnsi="宋体" w:cs="宋体"/>
                <w:kern w:val="0"/>
                <w:sz w:val="18"/>
                <w:szCs w:val="18"/>
              </w:rPr>
            </w:pPr>
          </w:p>
        </w:tc>
      </w:tr>
    </w:tbl>
    <w:p w:rsidR="00C01FE4" w:rsidRPr="00C01FE4" w:rsidRDefault="00C01FE4" w:rsidP="00C01FE4">
      <w:pPr>
        <w:widowControl/>
        <w:spacing w:line="360" w:lineRule="atLeast"/>
        <w:rPr>
          <w:rFonts w:ascii="宋体" w:eastAsia="宋体" w:hAnsi="宋体" w:cs="宋体" w:hint="eastAsia"/>
          <w:kern w:val="0"/>
          <w:sz w:val="24"/>
          <w:szCs w:val="24"/>
        </w:rPr>
      </w:pPr>
    </w:p>
    <w:p w:rsidR="00C01FE4" w:rsidRPr="00C01FE4" w:rsidRDefault="00C01FE4" w:rsidP="00C01FE4">
      <w:pPr>
        <w:widowControl/>
        <w:spacing w:before="150" w:after="150" w:line="360" w:lineRule="auto"/>
        <w:jc w:val="left"/>
        <w:rPr>
          <w:rFonts w:ascii="宋体" w:eastAsia="宋体" w:hAnsi="宋体" w:cs="宋体" w:hint="eastAsia"/>
          <w:kern w:val="0"/>
          <w:sz w:val="24"/>
          <w:szCs w:val="24"/>
        </w:rPr>
      </w:pPr>
      <w:r w:rsidRPr="00C01FE4">
        <w:rPr>
          <w:rFonts w:ascii="宋体" w:eastAsia="宋体" w:hAnsi="宋体" w:cs="宋体" w:hint="eastAsia"/>
          <w:kern w:val="0"/>
          <w:sz w:val="18"/>
          <w:szCs w:val="18"/>
        </w:rPr>
        <w:t xml:space="preserve">　　</w:t>
      </w:r>
      <w:r w:rsidRPr="00C01FE4">
        <w:rPr>
          <w:rFonts w:ascii="宋体" w:eastAsia="宋体" w:hAnsi="宋体" w:cs="宋体" w:hint="eastAsia"/>
          <w:b/>
          <w:bCs/>
          <w:kern w:val="0"/>
          <w:sz w:val="18"/>
          <w:szCs w:val="18"/>
        </w:rPr>
        <w:t>一、科学目标</w:t>
      </w:r>
      <w:bookmarkStart w:id="0" w:name="_GoBack"/>
      <w:bookmarkEnd w:id="0"/>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非编码RNA是由基因组转录产生的一类不同于mRNA的遗传信息分子。本世纪初，以“人类基因组计划”为代表的研究工作揭示：编码蛋白质的基因约占人类基因组2%，而98％以上是功能未知的非蛋白质编码序列，其中可能蕴藏着数目巨大的非编码RNA基因。由于非编码RNA没有编码蛋白质的读码框架，在基因组中难以发现和鉴定。非编码RNA不仅广泛地存在于各种生物中，而且，随着生物复杂度的升高，基因组中的非编码序列的比例也相应增大，提示非编码RNA在生物进化过程中的重要意义。对真核细胞中非编码RNA及其基因的发掘和功能研究，有可能揭示一个由非编码RNA</w:t>
      </w:r>
      <w:proofErr w:type="gramStart"/>
      <w:r w:rsidRPr="00C01FE4">
        <w:rPr>
          <w:rFonts w:ascii="宋体" w:eastAsia="宋体" w:hAnsi="宋体" w:cs="宋体" w:hint="eastAsia"/>
          <w:kern w:val="0"/>
          <w:sz w:val="18"/>
          <w:szCs w:val="18"/>
        </w:rPr>
        <w:t>介</w:t>
      </w:r>
      <w:proofErr w:type="gramEnd"/>
      <w:r w:rsidRPr="00C01FE4">
        <w:rPr>
          <w:rFonts w:ascii="宋体" w:eastAsia="宋体" w:hAnsi="宋体" w:cs="宋体" w:hint="eastAsia"/>
          <w:kern w:val="0"/>
          <w:sz w:val="18"/>
          <w:szCs w:val="18"/>
        </w:rPr>
        <w:t>导的遗传信息传递方式和表达调控网络，从不同于蛋白质编码基因的角度注释和阐明基因组的结构与功能，深入阐明生命活动的本质和规律。</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w:t>
      </w:r>
      <w:proofErr w:type="gramStart"/>
      <w:r w:rsidRPr="00C01FE4">
        <w:rPr>
          <w:rFonts w:ascii="宋体" w:eastAsia="宋体" w:hAnsi="宋体" w:cs="宋体" w:hint="eastAsia"/>
          <w:kern w:val="0"/>
          <w:sz w:val="18"/>
          <w:szCs w:val="18"/>
        </w:rPr>
        <w:t>本重大</w:t>
      </w:r>
      <w:proofErr w:type="gramEnd"/>
      <w:r w:rsidRPr="00C01FE4">
        <w:rPr>
          <w:rFonts w:ascii="宋体" w:eastAsia="宋体" w:hAnsi="宋体" w:cs="宋体" w:hint="eastAsia"/>
          <w:kern w:val="0"/>
          <w:sz w:val="18"/>
          <w:szCs w:val="18"/>
        </w:rPr>
        <w:t>研究计划以重要模式生物为对象，进行多学科相互交叉，整合多种技术和方法，发现基因信息传递过程中新的非编码RNA、研究非编码RNA的生成和代谢，非编码RNA参与重要生命活动的生物学功能，为发现新的功能分子元件及由其引发的新的生命活动规律提供关键信息。</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w:t>
      </w:r>
      <w:r w:rsidRPr="00C01FE4">
        <w:rPr>
          <w:rFonts w:ascii="宋体" w:eastAsia="宋体" w:hAnsi="宋体" w:cs="宋体" w:hint="eastAsia"/>
          <w:b/>
          <w:bCs/>
          <w:kern w:val="0"/>
          <w:sz w:val="18"/>
          <w:szCs w:val="18"/>
        </w:rPr>
        <w:t>二、核心科学问题</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围绕基因组中非编码RNA及其基因的系统发现和功能鉴定，非编码RNA</w:t>
      </w:r>
      <w:proofErr w:type="gramStart"/>
      <w:r w:rsidRPr="00C01FE4">
        <w:rPr>
          <w:rFonts w:ascii="宋体" w:eastAsia="宋体" w:hAnsi="宋体" w:cs="宋体" w:hint="eastAsia"/>
          <w:kern w:val="0"/>
          <w:sz w:val="18"/>
          <w:szCs w:val="18"/>
        </w:rPr>
        <w:t>介</w:t>
      </w:r>
      <w:proofErr w:type="gramEnd"/>
      <w:r w:rsidRPr="00C01FE4">
        <w:rPr>
          <w:rFonts w:ascii="宋体" w:eastAsia="宋体" w:hAnsi="宋体" w:cs="宋体" w:hint="eastAsia"/>
          <w:kern w:val="0"/>
          <w:sz w:val="18"/>
          <w:szCs w:val="18"/>
        </w:rPr>
        <w:t>导的基因表达调控等生命科学研究的国际前沿领域，深入系统地开展非编码RNA功能及调控机制的研究。</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w:t>
      </w:r>
      <w:r w:rsidRPr="00C01FE4">
        <w:rPr>
          <w:rFonts w:ascii="宋体" w:eastAsia="宋体" w:hAnsi="宋体" w:cs="宋体" w:hint="eastAsia"/>
          <w:b/>
          <w:bCs/>
          <w:kern w:val="0"/>
          <w:sz w:val="18"/>
          <w:szCs w:val="18"/>
        </w:rPr>
        <w:t>三、2015年度重点资助领域和研究方向</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w:t>
      </w:r>
      <w:bookmarkStart w:id="1" w:name="_Toc260174464"/>
      <w:r w:rsidRPr="00C01FE4">
        <w:rPr>
          <w:rFonts w:ascii="宋体" w:eastAsia="宋体" w:hAnsi="宋体" w:cs="宋体" w:hint="eastAsia"/>
          <w:kern w:val="0"/>
          <w:sz w:val="18"/>
          <w:szCs w:val="18"/>
        </w:rPr>
        <w:t>（一）发现与遗传信息传递相关的新的非编码RNA，特别是长非编码RNA及其功能；</w:t>
      </w:r>
      <w:bookmarkEnd w:id="1"/>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（二）与遗传信息传递相关的非编码RNA的生成、加工、修饰及代谢；</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（三）非编码RNA与其他重要生物分子的相互作用、网络及其结构基础；</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（四）非编码RNA研究的新方法、新技术。</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w:t>
      </w:r>
      <w:r w:rsidRPr="00C01FE4">
        <w:rPr>
          <w:rFonts w:ascii="宋体" w:eastAsia="宋体" w:hAnsi="宋体" w:cs="宋体" w:hint="eastAsia"/>
          <w:b/>
          <w:bCs/>
          <w:kern w:val="0"/>
          <w:sz w:val="18"/>
          <w:szCs w:val="18"/>
        </w:rPr>
        <w:t>四、2015年度资助计划</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本年度是该重大研究计划启动的第二年，拟继续鼓励科学家围绕“基因信息传递过程中非编码RNA的调控作用机制”重大研究计划中四个主要研究方向自由申报项目，在同行评议的基础上对项目进行择优支持。</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lastRenderedPageBreak/>
        <w:t xml:space="preserve">　　</w:t>
      </w:r>
      <w:proofErr w:type="gramStart"/>
      <w:r w:rsidRPr="00C01FE4">
        <w:rPr>
          <w:rFonts w:ascii="宋体" w:eastAsia="宋体" w:hAnsi="宋体" w:cs="宋体" w:hint="eastAsia"/>
          <w:kern w:val="0"/>
          <w:sz w:val="18"/>
          <w:szCs w:val="18"/>
        </w:rPr>
        <w:t>本重大</w:t>
      </w:r>
      <w:proofErr w:type="gramEnd"/>
      <w:r w:rsidRPr="00C01FE4">
        <w:rPr>
          <w:rFonts w:ascii="宋体" w:eastAsia="宋体" w:hAnsi="宋体" w:cs="宋体" w:hint="eastAsia"/>
          <w:kern w:val="0"/>
          <w:sz w:val="18"/>
          <w:szCs w:val="18"/>
        </w:rPr>
        <w:t>研究计划2015年度计划资助“直接费用”3400万元。计划资助培育项目16项，直接费用的平均资助强度为100万元，资助期限为3年，申请书中研究期限应填写“2016年1月-2018年12月” ；计划资助重点支持项目6项左右，直接费用的平均资助强度为300万元，资助期限4年，申请书中研究期限应填写“2016年1月-2019年12月”。</w:t>
      </w:r>
      <w:r w:rsidRPr="00C01FE4">
        <w:rPr>
          <w:rFonts w:ascii="宋体" w:eastAsia="宋体" w:hAnsi="宋体" w:cs="宋体" w:hint="eastAsia"/>
          <w:b/>
          <w:bCs/>
          <w:kern w:val="0"/>
          <w:sz w:val="18"/>
          <w:szCs w:val="18"/>
        </w:rPr>
        <w:t>申请人只填写“直接费用”预算，“间接费用”及总经费由系统自动生成。</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b/>
          <w:bCs/>
          <w:kern w:val="0"/>
          <w:sz w:val="18"/>
          <w:szCs w:val="18"/>
        </w:rPr>
        <w:t xml:space="preserve">　　五、申报要求及注意事项</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（一）申请条件。</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w:t>
      </w:r>
      <w:proofErr w:type="gramStart"/>
      <w:r w:rsidRPr="00C01FE4">
        <w:rPr>
          <w:rFonts w:ascii="宋体" w:eastAsia="宋体" w:hAnsi="宋体" w:cs="宋体" w:hint="eastAsia"/>
          <w:kern w:val="0"/>
          <w:sz w:val="18"/>
          <w:szCs w:val="18"/>
        </w:rPr>
        <w:t>本重大</w:t>
      </w:r>
      <w:proofErr w:type="gramEnd"/>
      <w:r w:rsidRPr="00C01FE4">
        <w:rPr>
          <w:rFonts w:ascii="宋体" w:eastAsia="宋体" w:hAnsi="宋体" w:cs="宋体" w:hint="eastAsia"/>
          <w:kern w:val="0"/>
          <w:sz w:val="18"/>
          <w:szCs w:val="18"/>
        </w:rPr>
        <w:t>研究计划项目申请人应当具备以下条件：</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1.具有承担基础研究课题的经历；</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2.具有高级专业技术职务（职称）；</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正在博士后流动站或者工作站内从事研究以及正在攻读研究生学位的科学技术人员不得申请。</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（二）限项规定。</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1.具有高级专业技术职务（职称）的人员，申请或者参与申请本次重大研究计划项目与处于评审阶段（申请和参与申请的项目在国家自然科学基金委员会做出资助与否决定之前）和正在承担（包括负责人和主要参与者）的以下类型项目合计限为3项：面上项目、重点项目、重大项目、重大研究计划项目（不包括集成项目和指导专家组调研项目）、联合基金项目、青年科学基金项目、地区科学基金项目、优秀青年科学基金项目、国家杰出青年科学基金项目（申请时不限项）、国际（地区）合作研究项目、国家重大科研仪器研制项目（</w:t>
      </w:r>
      <w:proofErr w:type="gramStart"/>
      <w:r w:rsidRPr="00C01FE4">
        <w:rPr>
          <w:rFonts w:ascii="宋体" w:eastAsia="宋体" w:hAnsi="宋体" w:cs="宋体" w:hint="eastAsia"/>
          <w:kern w:val="0"/>
          <w:sz w:val="18"/>
          <w:szCs w:val="18"/>
        </w:rPr>
        <w:t>含承担</w:t>
      </w:r>
      <w:proofErr w:type="gramEnd"/>
      <w:r w:rsidRPr="00C01FE4">
        <w:rPr>
          <w:rFonts w:ascii="宋体" w:eastAsia="宋体" w:hAnsi="宋体" w:cs="宋体" w:hint="eastAsia"/>
          <w:kern w:val="0"/>
          <w:sz w:val="18"/>
          <w:szCs w:val="18"/>
        </w:rPr>
        <w:t>科学仪器基础研究专款项目和国家重大科研仪器设备研制专项项目）、优秀国家重点实验室研究项目，以及资助期限超过1年的应急管理项目。</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2.申请人（不含参与者）同年只能申请1项重大研究计划项目。上一年度获得重大研究计划项目资助的项目负责人（不包括集成项目和指导专家组调研项目），本年度不得再申请重大研究计划项目。 </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（三）申请注意事项。</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1.</w:t>
      </w:r>
      <w:proofErr w:type="gramStart"/>
      <w:r w:rsidRPr="00C01FE4">
        <w:rPr>
          <w:rFonts w:ascii="宋体" w:eastAsia="宋体" w:hAnsi="宋体" w:cs="宋体" w:hint="eastAsia"/>
          <w:kern w:val="0"/>
          <w:sz w:val="18"/>
          <w:szCs w:val="18"/>
        </w:rPr>
        <w:t>本重大</w:t>
      </w:r>
      <w:proofErr w:type="gramEnd"/>
      <w:r w:rsidRPr="00C01FE4">
        <w:rPr>
          <w:rFonts w:ascii="宋体" w:eastAsia="宋体" w:hAnsi="宋体" w:cs="宋体" w:hint="eastAsia"/>
          <w:kern w:val="0"/>
          <w:sz w:val="18"/>
          <w:szCs w:val="18"/>
        </w:rPr>
        <w:t>研究计划项目申请书采用在线方式撰写。对申请人具体要求如下：</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（1）申请人在填报申请书前，应当认真阅读本项目指南和《2015年度国家自然科学基金项目指南》中申请须知的相关内容，不符合项目指南和相关要求的申请项目不予受理。</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lastRenderedPageBreak/>
        <w:t xml:space="preserve">　　（2）</w:t>
      </w:r>
      <w:proofErr w:type="gramStart"/>
      <w:r w:rsidRPr="00C01FE4">
        <w:rPr>
          <w:rFonts w:ascii="宋体" w:eastAsia="宋体" w:hAnsi="宋体" w:cs="宋体" w:hint="eastAsia"/>
          <w:kern w:val="0"/>
          <w:sz w:val="18"/>
          <w:szCs w:val="18"/>
        </w:rPr>
        <w:t>本重大</w:t>
      </w:r>
      <w:proofErr w:type="gramEnd"/>
      <w:r w:rsidRPr="00C01FE4">
        <w:rPr>
          <w:rFonts w:ascii="宋体" w:eastAsia="宋体" w:hAnsi="宋体" w:cs="宋体" w:hint="eastAsia"/>
          <w:kern w:val="0"/>
          <w:sz w:val="18"/>
          <w:szCs w:val="18"/>
        </w:rPr>
        <w:t>研究计划旨在紧密围绕核心科学问题，将对多学科相关研究进行战略性的方向引导和优势整合，成为一个项目集群。根据项目指南公布的拟资助研究方向，申请人可自行拟定项目名称、科学目标、研究内容、技术路线和相应的研究经费等。</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（3）申请人登录科学基金网络信息系统（以下简称ISIS系统，没有系统账号的申请人请向依托单位基金管理联系人申请开户），按照撰写提纲及相关要求撰写申请书。</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4）申请书中的资助类别选择“重大研究计划”，亚类说明选择“培育项目”或“重点支持项目”，附注说明选择“基因信息传递过程中非编码RNA的调控作用机制”，根据申请的具体研究内容选择相应的申请代码。</w:t>
      </w:r>
      <w:r w:rsidRPr="00C01FE4">
        <w:rPr>
          <w:rFonts w:ascii="宋体" w:eastAsia="宋体" w:hAnsi="宋体" w:cs="宋体" w:hint="eastAsia"/>
          <w:b/>
          <w:bCs/>
          <w:kern w:val="0"/>
          <w:sz w:val="18"/>
          <w:szCs w:val="18"/>
        </w:rPr>
        <w:t>以上选择不准确或未选择的项目申请将不予受理。</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b/>
          <w:bCs/>
          <w:kern w:val="0"/>
          <w:sz w:val="18"/>
          <w:szCs w:val="18"/>
        </w:rPr>
        <w:t xml:space="preserve">　　</w:t>
      </w:r>
      <w:r w:rsidRPr="00C01FE4">
        <w:rPr>
          <w:rFonts w:ascii="宋体" w:eastAsia="宋体" w:hAnsi="宋体" w:cs="宋体" w:hint="eastAsia"/>
          <w:kern w:val="0"/>
          <w:sz w:val="18"/>
          <w:szCs w:val="18"/>
        </w:rPr>
        <w:t>（5）申请人应当按照重大研究计划申请书的撰写提纲撰写申请书，应突出有限目标和重点突破，明确对实现研究计划总体目标和解决核心科学问题的贡献。如果申请人已经承担与</w:t>
      </w:r>
      <w:proofErr w:type="gramStart"/>
      <w:r w:rsidRPr="00C01FE4">
        <w:rPr>
          <w:rFonts w:ascii="宋体" w:eastAsia="宋体" w:hAnsi="宋体" w:cs="宋体" w:hint="eastAsia"/>
          <w:kern w:val="0"/>
          <w:sz w:val="18"/>
          <w:szCs w:val="18"/>
        </w:rPr>
        <w:t>本重大</w:t>
      </w:r>
      <w:proofErr w:type="gramEnd"/>
      <w:r w:rsidRPr="00C01FE4">
        <w:rPr>
          <w:rFonts w:ascii="宋体" w:eastAsia="宋体" w:hAnsi="宋体" w:cs="宋体" w:hint="eastAsia"/>
          <w:kern w:val="0"/>
          <w:sz w:val="18"/>
          <w:szCs w:val="18"/>
        </w:rPr>
        <w:t>研究计划相关的国家其他科技计划项目，应当在报告正文的“研究基础”部分论述申请项目与其他相关项目的区别与联系。</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（6）申请人完成申请书撰写后，在线提交电子申请书及附件材料，下载打印最终PDF版本申请书，向依托单位提交签字后的纸质申请书原件。</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（7）申请人应当保证纸质申请书与电子版内容一致。</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2.依托单位应当对本单位申请人所提交申请材料的真实性和完整性进行审核，并在规定时间内将申请材料报送国家自然科学基金委员会。具体要求如下：</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（1）应在规定的项目申请截止日期（2015年7月10日16时）前提交本单位电子申请书及附件材料，并统一报送经单位签字盖章后的纸质申请书原件（一式一份）及要求报送的纸质附件材料。</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（2）提交电子申请材料时，应当通过ISIS系统逐项确认。</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（3）报送纸质申请材料时，还应当包括本单位公函和申请项目清单,材料不完整不予接收。</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4）可将纸质申请材料直接送达或者邮寄至国家自然科学基金委员会项目材料接收工作组。采用邮寄方式的，请在项目申请截止时间前（以发信邮戳日期为准）以快递方式邮寄，并在信封左下角注明“重大研究计划项目申请材料”。请勿使用邮政包裹，以免延误申请。</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3.申请书报送日期为2015年7月6日至10日16时。申请书由国家自然科学基金委员会项目材料接收工作组负责接收，生命科学部负责受理及后续工作。</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通讯地址：北京市海淀区双清路83号国家自然科学基金委员会项目材料接收工作组（行政楼101房间）</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lastRenderedPageBreak/>
        <w:t xml:space="preserve">　　邮政编码：100085</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联系电话：010-62328591</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（四）其他注意事项。</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1.为实现重大研究计划总体科学目标和多学科集成，获得资助的项目负责人应当承诺遵守相关数据和资料管理与共享的规定，项目执行过程中须关注与本计划其他项目之间的相互支撑关系。</w:t>
      </w:r>
    </w:p>
    <w:p w:rsidR="00C01FE4" w:rsidRPr="00C01FE4" w:rsidRDefault="00C01FE4" w:rsidP="00C01FE4">
      <w:pPr>
        <w:widowControl/>
        <w:spacing w:before="150" w:after="150" w:line="360" w:lineRule="auto"/>
        <w:jc w:val="left"/>
        <w:rPr>
          <w:rFonts w:ascii="宋体" w:eastAsia="宋体" w:hAnsi="宋体" w:cs="宋体" w:hint="eastAsia"/>
          <w:kern w:val="0"/>
          <w:sz w:val="18"/>
          <w:szCs w:val="18"/>
        </w:rPr>
      </w:pPr>
      <w:r w:rsidRPr="00C01FE4">
        <w:rPr>
          <w:rFonts w:ascii="宋体" w:eastAsia="宋体" w:hAnsi="宋体" w:cs="宋体" w:hint="eastAsia"/>
          <w:kern w:val="0"/>
          <w:sz w:val="18"/>
          <w:szCs w:val="18"/>
        </w:rPr>
        <w:t xml:space="preserve">　　2.为加强项目的学术交流，促进项目群的形成和多学科交叉与集成，</w:t>
      </w:r>
      <w:proofErr w:type="gramStart"/>
      <w:r w:rsidRPr="00C01FE4">
        <w:rPr>
          <w:rFonts w:ascii="宋体" w:eastAsia="宋体" w:hAnsi="宋体" w:cs="宋体" w:hint="eastAsia"/>
          <w:kern w:val="0"/>
          <w:sz w:val="18"/>
          <w:szCs w:val="18"/>
        </w:rPr>
        <w:t>本重大</w:t>
      </w:r>
      <w:proofErr w:type="gramEnd"/>
      <w:r w:rsidRPr="00C01FE4">
        <w:rPr>
          <w:rFonts w:ascii="宋体" w:eastAsia="宋体" w:hAnsi="宋体" w:cs="宋体" w:hint="eastAsia"/>
          <w:kern w:val="0"/>
          <w:sz w:val="18"/>
          <w:szCs w:val="18"/>
        </w:rPr>
        <w:t>研究计划每年将举办一次资助项目的年度学术交流会，不定期地组织相关领域的学术研讨会。获资助项目负责人有义务参加</w:t>
      </w:r>
      <w:proofErr w:type="gramStart"/>
      <w:r w:rsidRPr="00C01FE4">
        <w:rPr>
          <w:rFonts w:ascii="宋体" w:eastAsia="宋体" w:hAnsi="宋体" w:cs="宋体" w:hint="eastAsia"/>
          <w:kern w:val="0"/>
          <w:sz w:val="18"/>
          <w:szCs w:val="18"/>
        </w:rPr>
        <w:t>本重大</w:t>
      </w:r>
      <w:proofErr w:type="gramEnd"/>
      <w:r w:rsidRPr="00C01FE4">
        <w:rPr>
          <w:rFonts w:ascii="宋体" w:eastAsia="宋体" w:hAnsi="宋体" w:cs="宋体" w:hint="eastAsia"/>
          <w:kern w:val="0"/>
          <w:sz w:val="18"/>
          <w:szCs w:val="18"/>
        </w:rPr>
        <w:t>研究计划指导专家组和管理工作组所组织的上述学术交流活动。</w:t>
      </w:r>
    </w:p>
    <w:p w:rsidR="006B5102" w:rsidRPr="00C01FE4" w:rsidRDefault="006B5102"/>
    <w:sectPr w:rsidR="006B5102" w:rsidRPr="00C01F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1EC"/>
    <w:rsid w:val="004E71EC"/>
    <w:rsid w:val="006B5102"/>
    <w:rsid w:val="00C01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01FE4"/>
    <w:pPr>
      <w:widowControl/>
      <w:jc w:val="left"/>
      <w:outlineLvl w:val="0"/>
    </w:pPr>
    <w:rPr>
      <w:rFonts w:ascii="宋体" w:eastAsia="宋体" w:hAnsi="宋体" w:cs="宋体"/>
      <w:kern w:val="36"/>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01FE4"/>
    <w:rPr>
      <w:rFonts w:ascii="宋体" w:eastAsia="宋体" w:hAnsi="宋体" w:cs="宋体"/>
      <w:kern w:val="36"/>
      <w:sz w:val="24"/>
      <w:szCs w:val="24"/>
    </w:rPr>
  </w:style>
  <w:style w:type="character" w:styleId="a3">
    <w:name w:val="Hyperlink"/>
    <w:basedOn w:val="a0"/>
    <w:uiPriority w:val="99"/>
    <w:semiHidden/>
    <w:unhideWhenUsed/>
    <w:rsid w:val="00C01FE4"/>
    <w:rPr>
      <w:strike w:val="0"/>
      <w:dstrike w:val="0"/>
      <w:color w:val="333333"/>
      <w:u w:val="none"/>
      <w:effect w:val="none"/>
    </w:rPr>
  </w:style>
  <w:style w:type="paragraph" w:styleId="a4">
    <w:name w:val="Normal (Web)"/>
    <w:basedOn w:val="a"/>
    <w:uiPriority w:val="99"/>
    <w:semiHidden/>
    <w:unhideWhenUsed/>
    <w:rsid w:val="00C01FE4"/>
    <w:pPr>
      <w:widowControl/>
      <w:spacing w:before="150" w:after="150" w:line="360" w:lineRule="auto"/>
      <w:jc w:val="left"/>
    </w:pPr>
    <w:rPr>
      <w:rFonts w:ascii="宋体" w:eastAsia="宋体" w:hAnsi="宋体" w:cs="宋体"/>
      <w:kern w:val="0"/>
      <w:sz w:val="24"/>
      <w:szCs w:val="24"/>
    </w:rPr>
  </w:style>
  <w:style w:type="character" w:customStyle="1" w:styleId="normal105">
    <w:name w:val="normal105"/>
    <w:basedOn w:val="a0"/>
    <w:rsid w:val="00C01FE4"/>
  </w:style>
  <w:style w:type="character" w:styleId="a5">
    <w:name w:val="Strong"/>
    <w:basedOn w:val="a0"/>
    <w:uiPriority w:val="22"/>
    <w:qFormat/>
    <w:rsid w:val="00C01FE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01FE4"/>
    <w:pPr>
      <w:widowControl/>
      <w:jc w:val="left"/>
      <w:outlineLvl w:val="0"/>
    </w:pPr>
    <w:rPr>
      <w:rFonts w:ascii="宋体" w:eastAsia="宋体" w:hAnsi="宋体" w:cs="宋体"/>
      <w:kern w:val="36"/>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01FE4"/>
    <w:rPr>
      <w:rFonts w:ascii="宋体" w:eastAsia="宋体" w:hAnsi="宋体" w:cs="宋体"/>
      <w:kern w:val="36"/>
      <w:sz w:val="24"/>
      <w:szCs w:val="24"/>
    </w:rPr>
  </w:style>
  <w:style w:type="character" w:styleId="a3">
    <w:name w:val="Hyperlink"/>
    <w:basedOn w:val="a0"/>
    <w:uiPriority w:val="99"/>
    <w:semiHidden/>
    <w:unhideWhenUsed/>
    <w:rsid w:val="00C01FE4"/>
    <w:rPr>
      <w:strike w:val="0"/>
      <w:dstrike w:val="0"/>
      <w:color w:val="333333"/>
      <w:u w:val="none"/>
      <w:effect w:val="none"/>
    </w:rPr>
  </w:style>
  <w:style w:type="paragraph" w:styleId="a4">
    <w:name w:val="Normal (Web)"/>
    <w:basedOn w:val="a"/>
    <w:uiPriority w:val="99"/>
    <w:semiHidden/>
    <w:unhideWhenUsed/>
    <w:rsid w:val="00C01FE4"/>
    <w:pPr>
      <w:widowControl/>
      <w:spacing w:before="150" w:after="150" w:line="360" w:lineRule="auto"/>
      <w:jc w:val="left"/>
    </w:pPr>
    <w:rPr>
      <w:rFonts w:ascii="宋体" w:eastAsia="宋体" w:hAnsi="宋体" w:cs="宋体"/>
      <w:kern w:val="0"/>
      <w:sz w:val="24"/>
      <w:szCs w:val="24"/>
    </w:rPr>
  </w:style>
  <w:style w:type="character" w:customStyle="1" w:styleId="normal105">
    <w:name w:val="normal105"/>
    <w:basedOn w:val="a0"/>
    <w:rsid w:val="00C01FE4"/>
  </w:style>
  <w:style w:type="character" w:styleId="a5">
    <w:name w:val="Strong"/>
    <w:basedOn w:val="a0"/>
    <w:uiPriority w:val="22"/>
    <w:qFormat/>
    <w:rsid w:val="00C01F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5245334">
      <w:bodyDiv w:val="1"/>
      <w:marLeft w:val="0"/>
      <w:marRight w:val="0"/>
      <w:marTop w:val="0"/>
      <w:marBottom w:val="0"/>
      <w:divBdr>
        <w:top w:val="none" w:sz="0" w:space="0" w:color="auto"/>
        <w:left w:val="none" w:sz="0" w:space="0" w:color="auto"/>
        <w:bottom w:val="none" w:sz="0" w:space="0" w:color="auto"/>
        <w:right w:val="none" w:sz="0" w:space="0" w:color="auto"/>
      </w:divBdr>
      <w:divsChild>
        <w:div w:id="465316865">
          <w:marLeft w:val="0"/>
          <w:marRight w:val="0"/>
          <w:marTop w:val="0"/>
          <w:marBottom w:val="0"/>
          <w:divBdr>
            <w:top w:val="none" w:sz="0" w:space="0" w:color="auto"/>
            <w:left w:val="none" w:sz="0" w:space="0" w:color="auto"/>
            <w:bottom w:val="none" w:sz="0" w:space="0" w:color="auto"/>
            <w:right w:val="none" w:sz="0" w:space="0" w:color="auto"/>
          </w:divBdr>
          <w:divsChild>
            <w:div w:id="1141725654">
              <w:marLeft w:val="0"/>
              <w:marRight w:val="0"/>
              <w:marTop w:val="75"/>
              <w:marBottom w:val="0"/>
              <w:divBdr>
                <w:top w:val="none" w:sz="0" w:space="0" w:color="auto"/>
                <w:left w:val="none" w:sz="0" w:space="0" w:color="auto"/>
                <w:bottom w:val="none" w:sz="0" w:space="0" w:color="auto"/>
                <w:right w:val="none" w:sz="0" w:space="0" w:color="auto"/>
              </w:divBdr>
              <w:divsChild>
                <w:div w:id="13267968">
                  <w:marLeft w:val="0"/>
                  <w:marRight w:val="0"/>
                  <w:marTop w:val="0"/>
                  <w:marBottom w:val="0"/>
                  <w:divBdr>
                    <w:top w:val="none" w:sz="0" w:space="0" w:color="auto"/>
                    <w:left w:val="none" w:sz="0" w:space="0" w:color="auto"/>
                    <w:bottom w:val="none" w:sz="0" w:space="0" w:color="auto"/>
                    <w:right w:val="none" w:sz="0" w:space="0" w:color="auto"/>
                  </w:divBdr>
                  <w:divsChild>
                    <w:div w:id="565605257">
                      <w:marLeft w:val="0"/>
                      <w:marRight w:val="0"/>
                      <w:marTop w:val="0"/>
                      <w:marBottom w:val="0"/>
                      <w:divBdr>
                        <w:top w:val="single" w:sz="6" w:space="31" w:color="BBE0ED"/>
                        <w:left w:val="single" w:sz="6" w:space="0" w:color="BBE0ED"/>
                        <w:bottom w:val="single" w:sz="6" w:space="0" w:color="BBE0ED"/>
                        <w:right w:val="single" w:sz="6" w:space="0" w:color="BBE0ED"/>
                      </w:divBdr>
                      <w:divsChild>
                        <w:div w:id="372268730">
                          <w:marLeft w:val="0"/>
                          <w:marRight w:val="0"/>
                          <w:marTop w:val="0"/>
                          <w:marBottom w:val="0"/>
                          <w:divBdr>
                            <w:top w:val="none" w:sz="0" w:space="0" w:color="auto"/>
                            <w:left w:val="none" w:sz="0" w:space="0" w:color="auto"/>
                            <w:bottom w:val="none" w:sz="0" w:space="0" w:color="auto"/>
                            <w:right w:val="none" w:sz="0" w:space="0" w:color="auto"/>
                          </w:divBdr>
                          <w:divsChild>
                            <w:div w:id="229268570">
                              <w:marLeft w:val="0"/>
                              <w:marRight w:val="0"/>
                              <w:marTop w:val="0"/>
                              <w:marBottom w:val="0"/>
                              <w:divBdr>
                                <w:top w:val="none" w:sz="0" w:space="0" w:color="auto"/>
                                <w:left w:val="none" w:sz="0" w:space="0" w:color="auto"/>
                                <w:bottom w:val="none" w:sz="0" w:space="0" w:color="auto"/>
                                <w:right w:val="none" w:sz="0" w:space="0" w:color="auto"/>
                              </w:divBdr>
                              <w:divsChild>
                                <w:div w:id="1362240682">
                                  <w:marLeft w:val="0"/>
                                  <w:marRight w:val="0"/>
                                  <w:marTop w:val="0"/>
                                  <w:marBottom w:val="0"/>
                                  <w:divBdr>
                                    <w:top w:val="none" w:sz="0" w:space="0" w:color="auto"/>
                                    <w:left w:val="none" w:sz="0" w:space="0" w:color="auto"/>
                                    <w:bottom w:val="none" w:sz="0" w:space="0" w:color="auto"/>
                                    <w:right w:val="none" w:sz="0" w:space="0" w:color="auto"/>
                                  </w:divBdr>
                                  <w:divsChild>
                                    <w:div w:id="988486505">
                                      <w:marLeft w:val="0"/>
                                      <w:marRight w:val="0"/>
                                      <w:marTop w:val="0"/>
                                      <w:marBottom w:val="0"/>
                                      <w:divBdr>
                                        <w:top w:val="none" w:sz="0" w:space="0" w:color="auto"/>
                                        <w:left w:val="none" w:sz="0" w:space="0" w:color="auto"/>
                                        <w:bottom w:val="none" w:sz="0" w:space="0" w:color="auto"/>
                                        <w:right w:val="none" w:sz="0" w:space="0" w:color="auto"/>
                                      </w:divBdr>
                                    </w:div>
                                    <w:div w:id="293683622">
                                      <w:marLeft w:val="0"/>
                                      <w:marRight w:val="0"/>
                                      <w:marTop w:val="0"/>
                                      <w:marBottom w:val="0"/>
                                      <w:divBdr>
                                        <w:top w:val="none" w:sz="0" w:space="0" w:color="auto"/>
                                        <w:left w:val="none" w:sz="0" w:space="0" w:color="auto"/>
                                        <w:bottom w:val="none" w:sz="0" w:space="0" w:color="auto"/>
                                        <w:right w:val="none" w:sz="0" w:space="0" w:color="auto"/>
                                      </w:divBdr>
                                    </w:div>
                                    <w:div w:id="102447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454</Words>
  <Characters>2593</Characters>
  <Application>Microsoft Office Word</Application>
  <DocSecurity>0</DocSecurity>
  <Lines>21</Lines>
  <Paragraphs>6</Paragraphs>
  <ScaleCrop>false</ScaleCrop>
  <Company/>
  <LinksUpToDate>false</LinksUpToDate>
  <CharactersWithSpaces>3041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2015-06-03T02:50:00Z</dcterms:created>
  <dcterms:modified xsi:type="dcterms:W3CDTF">2015-06-03T02:51:00Z</dcterms:modified>
</cp:coreProperties>
</file>