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5102" w:firstLineChars="2126"/>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招标编号：YX-FDCG-2020-015</w:t>
      </w:r>
    </w:p>
    <w:p>
      <w:pPr>
        <w:spacing w:line="360" w:lineRule="auto"/>
        <w:ind w:firstLine="5102" w:firstLineChars="2126"/>
        <w:rPr>
          <w:color w:val="000000" w:themeColor="text1"/>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项目编号：</w:t>
      </w:r>
      <w:r>
        <w:rPr>
          <w:color w:val="000000" w:themeColor="text1"/>
          <w:sz w:val="24"/>
          <w:highlight w:val="none"/>
          <w14:textFill>
            <w14:solidFill>
              <w14:schemeClr w14:val="tx1"/>
            </w14:solidFill>
          </w14:textFill>
        </w:rPr>
        <w:t>HW2020102302</w:t>
      </w:r>
    </w:p>
    <w:p>
      <w:pPr>
        <w:rPr>
          <w:color w:val="000000" w:themeColor="text1"/>
          <w:highlight w:val="none"/>
          <w14:textFill>
            <w14:solidFill>
              <w14:schemeClr w14:val="tx1"/>
            </w14:solidFill>
          </w14:textFill>
        </w:rPr>
      </w:pPr>
    </w:p>
    <w:p>
      <w:pPr>
        <w:spacing w:line="360" w:lineRule="auto"/>
        <w:jc w:val="center"/>
        <w:rPr>
          <w:rFonts w:ascii="黑体" w:hAnsi="Arial" w:eastAsia="黑体"/>
          <w:color w:val="000000" w:themeColor="text1"/>
          <w:sz w:val="48"/>
          <w:szCs w:val="48"/>
          <w:highlight w:val="none"/>
          <w14:textFill>
            <w14:solidFill>
              <w14:schemeClr w14:val="tx1"/>
            </w14:solidFill>
          </w14:textFill>
        </w:rPr>
      </w:pPr>
      <w:r>
        <w:rPr>
          <w:rFonts w:hint="eastAsia" w:ascii="黑体" w:hAnsi="Arial" w:eastAsia="黑体"/>
          <w:color w:val="000000" w:themeColor="text1"/>
          <w:sz w:val="48"/>
          <w:szCs w:val="48"/>
          <w:highlight w:val="none"/>
          <w14:textFill>
            <w14:solidFill>
              <w14:schemeClr w14:val="tx1"/>
            </w14:solidFill>
          </w14:textFill>
        </w:rPr>
        <w:t>清醒动物脑活动解析系统平台采购项目</w:t>
      </w:r>
    </w:p>
    <w:p>
      <w:pPr>
        <w:spacing w:line="360" w:lineRule="auto"/>
        <w:jc w:val="center"/>
        <w:rPr>
          <w:rFonts w:ascii="黑体" w:hAnsi="Arial" w:eastAsia="黑体"/>
          <w:color w:val="000000" w:themeColor="text1"/>
          <w:sz w:val="52"/>
          <w:szCs w:val="52"/>
          <w:highlight w:val="none"/>
          <w14:textFill>
            <w14:solidFill>
              <w14:schemeClr w14:val="tx1"/>
            </w14:solidFill>
          </w14:textFill>
        </w:rPr>
      </w:pPr>
    </w:p>
    <w:p>
      <w:pPr>
        <w:spacing w:line="360" w:lineRule="auto"/>
        <w:jc w:val="center"/>
        <w:rPr>
          <w:rFonts w:ascii="黑体" w:hAnsi="Arial" w:eastAsia="黑体"/>
          <w:color w:val="000000" w:themeColor="text1"/>
          <w:sz w:val="48"/>
          <w:szCs w:val="48"/>
          <w:highlight w:val="none"/>
          <w14:textFill>
            <w14:solidFill>
              <w14:schemeClr w14:val="tx1"/>
            </w14:solidFill>
          </w14:textFill>
        </w:rPr>
      </w:pPr>
    </w:p>
    <w:p>
      <w:pPr>
        <w:spacing w:line="360" w:lineRule="auto"/>
        <w:jc w:val="center"/>
        <w:rPr>
          <w:rFonts w:ascii="黑体" w:hAnsi="Arial" w:eastAsia="黑体"/>
          <w:color w:val="000000" w:themeColor="text1"/>
          <w:sz w:val="44"/>
          <w:szCs w:val="44"/>
          <w:highlight w:val="none"/>
          <w14:textFill>
            <w14:solidFill>
              <w14:schemeClr w14:val="tx1"/>
            </w14:solidFill>
          </w14:textFill>
        </w:rPr>
      </w:pPr>
    </w:p>
    <w:p>
      <w:pPr>
        <w:spacing w:line="360" w:lineRule="auto"/>
        <w:jc w:val="center"/>
        <w:rPr>
          <w:rFonts w:ascii="黑体" w:hAnsi="Arial" w:eastAsia="黑体"/>
          <w:color w:val="000000" w:themeColor="text1"/>
          <w:sz w:val="84"/>
          <w:szCs w:val="84"/>
          <w:highlight w:val="none"/>
          <w14:textFill>
            <w14:solidFill>
              <w14:schemeClr w14:val="tx1"/>
            </w14:solidFill>
          </w14:textFill>
        </w:rPr>
      </w:pPr>
      <w:bookmarkStart w:id="0" w:name="_Toc340762765"/>
      <w:r>
        <w:rPr>
          <w:rFonts w:hint="eastAsia" w:ascii="黑体" w:hAnsi="Arial" w:eastAsia="黑体"/>
          <w:color w:val="000000" w:themeColor="text1"/>
          <w:sz w:val="84"/>
          <w:szCs w:val="84"/>
          <w:highlight w:val="none"/>
          <w14:textFill>
            <w14:solidFill>
              <w14:schemeClr w14:val="tx1"/>
            </w14:solidFill>
          </w14:textFill>
        </w:rPr>
        <w:t>招 标 文 件</w:t>
      </w:r>
      <w:bookmarkEnd w:id="0"/>
    </w:p>
    <w:p>
      <w:pPr>
        <w:spacing w:line="360" w:lineRule="auto"/>
        <w:jc w:val="center"/>
        <w:rPr>
          <w:rFonts w:ascii="黑体" w:hAnsi="Arial" w:eastAsia="黑体"/>
          <w:b/>
          <w:color w:val="000000" w:themeColor="text1"/>
          <w:sz w:val="72"/>
          <w:szCs w:val="72"/>
          <w:highlight w:val="none"/>
          <w14:textFill>
            <w14:solidFill>
              <w14:schemeClr w14:val="tx1"/>
            </w14:solidFill>
          </w14:textFill>
        </w:rPr>
      </w:pPr>
    </w:p>
    <w:p>
      <w:pPr>
        <w:spacing w:line="360" w:lineRule="auto"/>
        <w:jc w:val="center"/>
        <w:rPr>
          <w:rFonts w:ascii="黑体" w:hAnsi="Arial" w:eastAsia="黑体"/>
          <w:b/>
          <w:color w:val="000000" w:themeColor="text1"/>
          <w:sz w:val="72"/>
          <w:szCs w:val="72"/>
          <w:highlight w:val="none"/>
          <w14:textFill>
            <w14:solidFill>
              <w14:schemeClr w14:val="tx1"/>
            </w14:solidFill>
          </w14:textFill>
        </w:rPr>
      </w:pPr>
    </w:p>
    <w:p>
      <w:pPr>
        <w:spacing w:line="360" w:lineRule="auto"/>
        <w:ind w:firstLine="898" w:firstLineChars="321"/>
        <w:jc w:val="left"/>
        <w:rPr>
          <w:rFonts w:ascii="黑体" w:hAnsi="Arial" w:eastAsia="黑体"/>
          <w:color w:val="000000" w:themeColor="text1"/>
          <w:sz w:val="28"/>
          <w:szCs w:val="28"/>
          <w:highlight w:val="none"/>
          <w14:textFill>
            <w14:solidFill>
              <w14:schemeClr w14:val="tx1"/>
            </w14:solidFill>
          </w14:textFill>
        </w:rPr>
      </w:pPr>
      <w:bookmarkStart w:id="1" w:name="_Toc340762766"/>
    </w:p>
    <w:p>
      <w:pPr>
        <w:spacing w:line="480" w:lineRule="auto"/>
        <w:ind w:firstLine="1842" w:firstLineChars="658"/>
        <w:jc w:val="left"/>
        <w:rPr>
          <w:rFonts w:ascii="黑体" w:hAnsi="Arial" w:eastAsia="黑体"/>
          <w:color w:val="000000" w:themeColor="text1"/>
          <w:sz w:val="28"/>
          <w:szCs w:val="28"/>
          <w:highlight w:val="none"/>
          <w14:textFill>
            <w14:solidFill>
              <w14:schemeClr w14:val="tx1"/>
            </w14:solidFill>
          </w14:textFill>
        </w:rPr>
      </w:pPr>
      <w:r>
        <w:rPr>
          <w:rFonts w:hint="eastAsia" w:ascii="黑体" w:hAnsi="Arial" w:eastAsia="黑体"/>
          <w:color w:val="000000" w:themeColor="text1"/>
          <w:sz w:val="28"/>
          <w:szCs w:val="28"/>
          <w:highlight w:val="none"/>
          <w14:textFill>
            <w14:solidFill>
              <w14:schemeClr w14:val="tx1"/>
            </w14:solidFill>
          </w14:textFill>
        </w:rPr>
        <w:t>采购人：</w:t>
      </w:r>
      <w:bookmarkEnd w:id="1"/>
      <w:r>
        <w:rPr>
          <w:rFonts w:hint="eastAsia" w:ascii="黑体" w:eastAsia="黑体"/>
          <w:color w:val="000000" w:themeColor="text1"/>
          <w:sz w:val="28"/>
          <w:szCs w:val="28"/>
          <w:highlight w:val="none"/>
          <w14:textFill>
            <w14:solidFill>
              <w14:schemeClr w14:val="tx1"/>
            </w14:solidFill>
          </w14:textFill>
        </w:rPr>
        <w:t>复旦大学</w:t>
      </w:r>
    </w:p>
    <w:p>
      <w:pPr>
        <w:spacing w:line="480" w:lineRule="auto"/>
        <w:ind w:firstLine="1842" w:firstLineChars="658"/>
        <w:jc w:val="left"/>
        <w:rPr>
          <w:rFonts w:ascii="黑体" w:hAnsi="Arial" w:eastAsia="黑体"/>
          <w:color w:val="000000" w:themeColor="text1"/>
          <w:sz w:val="28"/>
          <w:szCs w:val="28"/>
          <w:highlight w:val="none"/>
          <w14:textFill>
            <w14:solidFill>
              <w14:schemeClr w14:val="tx1"/>
            </w14:solidFill>
          </w14:textFill>
        </w:rPr>
      </w:pPr>
      <w:bookmarkStart w:id="2" w:name="_Toc340762767"/>
      <w:r>
        <w:rPr>
          <w:rFonts w:hint="eastAsia" w:ascii="黑体" w:hAnsi="Arial" w:eastAsia="黑体"/>
          <w:color w:val="000000" w:themeColor="text1"/>
          <w:sz w:val="28"/>
          <w:szCs w:val="28"/>
          <w:highlight w:val="none"/>
          <w14:textFill>
            <w14:solidFill>
              <w14:schemeClr w14:val="tx1"/>
            </w14:solidFill>
          </w14:textFill>
        </w:rPr>
        <w:t>采购代理机构：</w:t>
      </w:r>
      <w:bookmarkEnd w:id="2"/>
      <w:r>
        <w:rPr>
          <w:rFonts w:hint="eastAsia" w:ascii="黑体" w:hAnsi="宋体" w:eastAsia="黑体"/>
          <w:color w:val="000000" w:themeColor="text1"/>
          <w:sz w:val="28"/>
          <w:szCs w:val="28"/>
          <w:highlight w:val="none"/>
          <w14:textFill>
            <w14:solidFill>
              <w14:schemeClr w14:val="tx1"/>
            </w14:solidFill>
          </w14:textFill>
        </w:rPr>
        <w:t>上海银鑫建设咨询有限公司</w:t>
      </w:r>
    </w:p>
    <w:p>
      <w:pPr>
        <w:spacing w:line="480" w:lineRule="auto"/>
        <w:ind w:firstLine="1842" w:firstLineChars="658"/>
        <w:jc w:val="left"/>
        <w:rPr>
          <w:rFonts w:ascii="黑体" w:hAnsi="Arial" w:eastAsia="黑体"/>
          <w:color w:val="000000" w:themeColor="text1"/>
          <w:sz w:val="28"/>
          <w:szCs w:val="28"/>
          <w:highlight w:val="none"/>
          <w14:textFill>
            <w14:solidFill>
              <w14:schemeClr w14:val="tx1"/>
            </w14:solidFill>
          </w14:textFill>
        </w:rPr>
      </w:pPr>
      <w:bookmarkStart w:id="3" w:name="_Toc340762769"/>
      <w:r>
        <w:rPr>
          <w:rFonts w:hint="eastAsia" w:ascii="黑体" w:hAnsi="Arial" w:eastAsia="黑体"/>
          <w:color w:val="000000" w:themeColor="text1"/>
          <w:sz w:val="28"/>
          <w:szCs w:val="28"/>
          <w:highlight w:val="none"/>
          <w14:textFill>
            <w14:solidFill>
              <w14:schemeClr w14:val="tx1"/>
            </w14:solidFill>
          </w14:textFill>
        </w:rPr>
        <w:t>日期：</w:t>
      </w:r>
      <w:bookmarkEnd w:id="3"/>
      <w:r>
        <w:rPr>
          <w:rFonts w:hint="eastAsia" w:ascii="黑体" w:hAnsi="宋体" w:eastAsia="黑体"/>
          <w:color w:val="000000" w:themeColor="text1"/>
          <w:sz w:val="28"/>
          <w:szCs w:val="28"/>
          <w:highlight w:val="none"/>
          <w14:textFill>
            <w14:solidFill>
              <w14:schemeClr w14:val="tx1"/>
            </w14:solidFill>
          </w14:textFill>
        </w:rPr>
        <w:t>二〇二〇年十月</w:t>
      </w:r>
      <w:r>
        <w:rPr>
          <w:rFonts w:hint="eastAsia" w:ascii="黑体" w:hAnsi="Arial" w:eastAsia="黑体"/>
          <w:color w:val="000000" w:themeColor="text1"/>
          <w:sz w:val="28"/>
          <w:szCs w:val="28"/>
          <w:highlight w:val="none"/>
          <w14:textFill>
            <w14:solidFill>
              <w14:schemeClr w14:val="tx1"/>
            </w14:solidFill>
          </w14:textFill>
        </w:rPr>
        <w:t xml:space="preserve"> </w:t>
      </w:r>
    </w:p>
    <w:p>
      <w:pPr>
        <w:spacing w:line="360" w:lineRule="auto"/>
        <w:ind w:firstLine="1031" w:firstLineChars="321"/>
        <w:jc w:val="center"/>
        <w:rPr>
          <w:rFonts w:ascii="黑体" w:hAnsi="Arial" w:eastAsia="黑体"/>
          <w:b/>
          <w:color w:val="000000" w:themeColor="text1"/>
          <w:sz w:val="32"/>
          <w:highlight w:val="none"/>
          <w14:textFill>
            <w14:solidFill>
              <w14:schemeClr w14:val="tx1"/>
            </w14:solidFill>
          </w14:textFill>
        </w:rPr>
        <w:sectPr>
          <w:footerReference r:id="rId5" w:type="first"/>
          <w:footerReference r:id="rId3" w:type="default"/>
          <w:footerReference r:id="rId4" w:type="even"/>
          <w:pgSz w:w="11906" w:h="16838"/>
          <w:pgMar w:top="1440" w:right="1797" w:bottom="1440" w:left="1797" w:header="936" w:footer="1174" w:gutter="0"/>
          <w:pgNumType w:start="1"/>
          <w:cols w:space="720" w:num="1"/>
          <w:docGrid w:linePitch="326" w:charSpace="0"/>
        </w:sectPr>
      </w:pPr>
    </w:p>
    <w:p>
      <w:pPr>
        <w:jc w:val="center"/>
        <w:rPr>
          <w:rFonts w:ascii="仿宋_GB2312" w:hAnsi="宋体" w:eastAsia="仿宋_GB2312"/>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spacing w:line="560" w:lineRule="exact"/>
        <w:jc w:val="center"/>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目      录</w:t>
      </w:r>
    </w:p>
    <w:p>
      <w:pPr>
        <w:spacing w:line="300" w:lineRule="exact"/>
        <w:jc w:val="center"/>
        <w:rPr>
          <w:rFonts w:ascii="宋体"/>
          <w:b/>
          <w:color w:val="000000" w:themeColor="text1"/>
          <w:szCs w:val="21"/>
          <w:highlight w:val="none"/>
          <w14:textFill>
            <w14:solidFill>
              <w14:schemeClr w14:val="tx1"/>
            </w14:solidFill>
          </w14:textFill>
        </w:rPr>
      </w:pPr>
    </w:p>
    <w:p>
      <w:pPr>
        <w:spacing w:line="300" w:lineRule="exact"/>
        <w:jc w:val="center"/>
        <w:rPr>
          <w:rFonts w:ascii="宋体"/>
          <w:b/>
          <w:color w:val="000000" w:themeColor="text1"/>
          <w:szCs w:val="21"/>
          <w:highlight w:val="none"/>
          <w14:textFill>
            <w14:solidFill>
              <w14:schemeClr w14:val="tx1"/>
            </w14:solidFill>
          </w14:textFill>
        </w:rPr>
      </w:pPr>
    </w:p>
    <w:p>
      <w:pPr>
        <w:spacing w:line="300" w:lineRule="exact"/>
        <w:jc w:val="center"/>
        <w:rPr>
          <w:rFonts w:ascii="宋体"/>
          <w:b/>
          <w:color w:val="000000" w:themeColor="text1"/>
          <w:szCs w:val="21"/>
          <w:highlight w:val="none"/>
          <w14:textFill>
            <w14:solidFill>
              <w14:schemeClr w14:val="tx1"/>
            </w14:solidFill>
          </w14:textFill>
        </w:rPr>
      </w:pPr>
    </w:p>
    <w:p>
      <w:pPr>
        <w:spacing w:line="480" w:lineRule="auto"/>
        <w:ind w:left="227"/>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第一章： 采购公告</w:t>
      </w:r>
    </w:p>
    <w:p>
      <w:pPr>
        <w:spacing w:line="480" w:lineRule="auto"/>
        <w:ind w:left="227"/>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第二章： 投标人须知</w:t>
      </w:r>
    </w:p>
    <w:p>
      <w:pPr>
        <w:spacing w:line="480" w:lineRule="auto"/>
        <w:ind w:left="227"/>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第三章： 政府采购主要政策</w:t>
      </w:r>
    </w:p>
    <w:p>
      <w:pPr>
        <w:spacing w:line="480" w:lineRule="auto"/>
        <w:ind w:left="227"/>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第四章:  项目招标需求</w:t>
      </w:r>
    </w:p>
    <w:p>
      <w:pPr>
        <w:spacing w:line="480" w:lineRule="auto"/>
        <w:ind w:left="227"/>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 xml:space="preserve">第五章： </w:t>
      </w:r>
      <w:r>
        <w:rPr>
          <w:rFonts w:hint="eastAsia" w:ascii="宋体" w:hAnsi="宋体"/>
          <w:color w:val="000000" w:themeColor="text1"/>
          <w:szCs w:val="21"/>
          <w:highlight w:val="none"/>
          <w14:textFill>
            <w14:solidFill>
              <w14:schemeClr w14:val="tx1"/>
            </w14:solidFill>
          </w14:textFill>
        </w:rPr>
        <w:t>评标办法</w:t>
      </w:r>
    </w:p>
    <w:p>
      <w:pPr>
        <w:spacing w:line="480" w:lineRule="auto"/>
        <w:ind w:left="227"/>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第六章： 投标文件有关格式</w:t>
      </w:r>
    </w:p>
    <w:p>
      <w:pPr>
        <w:spacing w:line="480" w:lineRule="auto"/>
        <w:ind w:left="227"/>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第七章： 合同格式</w:t>
      </w:r>
    </w:p>
    <w:p>
      <w:pPr>
        <w:spacing w:line="480" w:lineRule="auto"/>
        <w:ind w:firstLine="210" w:firstLineChars="100"/>
        <w:rPr>
          <w:color w:val="000000" w:themeColor="text1"/>
          <w:szCs w:val="21"/>
          <w:highlight w:val="none"/>
          <w14:textFill>
            <w14:solidFill>
              <w14:schemeClr w14:val="tx1"/>
            </w14:solidFill>
          </w14:textFill>
        </w:rPr>
      </w:pPr>
    </w:p>
    <w:p>
      <w:pPr>
        <w:rPr>
          <w:color w:val="000000" w:themeColor="text1"/>
          <w:highlight w:val="none"/>
          <w14:textFill>
            <w14:solidFill>
              <w14:schemeClr w14:val="tx1"/>
            </w14:solidFill>
          </w14:textFill>
        </w:rPr>
      </w:pPr>
    </w:p>
    <w:p>
      <w:pPr>
        <w:widowControl/>
        <w:spacing w:before="100" w:beforeAutospacing="1" w:after="100" w:afterAutospacing="1" w:line="360" w:lineRule="auto"/>
        <w:jc w:val="center"/>
        <w:rPr>
          <w:rFonts w:ascii="宋体" w:hAnsi="宋体" w:cs="宋体"/>
          <w:color w:val="000000" w:themeColor="text1"/>
          <w:kern w:val="0"/>
          <w:szCs w:val="21"/>
          <w:highlight w:val="none"/>
          <w14:textFill>
            <w14:solidFill>
              <w14:schemeClr w14:val="tx1"/>
            </w14:solidFill>
          </w14:textFill>
        </w:rPr>
      </w:pPr>
      <w:r>
        <w:rPr>
          <w:rFonts w:ascii="宋体" w:hAnsi="宋体"/>
          <w:b/>
          <w:color w:val="000000" w:themeColor="text1"/>
          <w:kern w:val="0"/>
          <w:szCs w:val="21"/>
          <w:highlight w:val="none"/>
          <w14:textFill>
            <w14:solidFill>
              <w14:schemeClr w14:val="tx1"/>
            </w14:solidFill>
          </w14:textFill>
        </w:rPr>
        <w:br w:type="page"/>
      </w:r>
      <w:r>
        <w:rPr>
          <w:rFonts w:hint="eastAsia" w:ascii="宋体" w:hAnsi="宋体"/>
          <w:b/>
          <w:color w:val="000000" w:themeColor="text1"/>
          <w:kern w:val="0"/>
          <w:szCs w:val="21"/>
          <w:highlight w:val="none"/>
          <w14:textFill>
            <w14:solidFill>
              <w14:schemeClr w14:val="tx1"/>
            </w14:solidFill>
          </w14:textFill>
        </w:rPr>
        <w:t>第一章       采购公告</w:t>
      </w:r>
    </w:p>
    <w:p>
      <w:pPr>
        <w:pBdr>
          <w:top w:val="single" w:color="auto" w:sz="4" w:space="1"/>
          <w:left w:val="single" w:color="auto" w:sz="4" w:space="4"/>
          <w:bottom w:val="single" w:color="auto" w:sz="4" w:space="1"/>
          <w:right w:val="single" w:color="auto" w:sz="4" w:space="4"/>
        </w:pBd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项目概况</w:t>
      </w:r>
    </w:p>
    <w:p>
      <w:pPr>
        <w:pBdr>
          <w:top w:val="single" w:color="auto" w:sz="4" w:space="1"/>
          <w:left w:val="single" w:color="auto" w:sz="4" w:space="4"/>
          <w:bottom w:val="single" w:color="auto" w:sz="4" w:space="1"/>
          <w:right w:val="single" w:color="auto" w:sz="4" w:space="4"/>
        </w:pBd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u w:val="single"/>
          <w14:textFill>
            <w14:solidFill>
              <w14:schemeClr w14:val="tx1"/>
            </w14:solidFill>
          </w14:textFill>
        </w:rPr>
        <w:t>清醒动物脑活动解析系统平台采购项目</w:t>
      </w:r>
      <w:r>
        <w:rPr>
          <w:rFonts w:hint="eastAsia" w:ascii="宋体" w:hAnsi="宋体" w:cs="宋体"/>
          <w:color w:val="000000" w:themeColor="text1"/>
          <w:szCs w:val="21"/>
          <w:highlight w:val="none"/>
          <w14:textFill>
            <w14:solidFill>
              <w14:schemeClr w14:val="tx1"/>
            </w14:solidFill>
          </w14:textFill>
        </w:rPr>
        <w:t>招标项目的潜在投标人应在</w:t>
      </w:r>
      <w:r>
        <w:rPr>
          <w:rFonts w:hint="eastAsia" w:ascii="宋体" w:hAnsi="宋体" w:cs="宋体"/>
          <w:color w:val="000000" w:themeColor="text1"/>
          <w:szCs w:val="21"/>
          <w:highlight w:val="none"/>
          <w:u w:val="single"/>
          <w14:textFill>
            <w14:solidFill>
              <w14:schemeClr w14:val="tx1"/>
            </w14:solidFill>
          </w14:textFill>
        </w:rPr>
        <w:t>上海市徐汇区零陵路583号海洋石油大厦1216室</w:t>
      </w:r>
      <w:r>
        <w:rPr>
          <w:rFonts w:hint="eastAsia" w:ascii="宋体" w:hAnsi="宋体" w:cs="宋体"/>
          <w:color w:val="000000" w:themeColor="text1"/>
          <w:szCs w:val="21"/>
          <w:highlight w:val="none"/>
          <w14:textFill>
            <w14:solidFill>
              <w14:schemeClr w14:val="tx1"/>
            </w14:solidFill>
          </w14:textFill>
        </w:rPr>
        <w:t>获取招标文件，并于</w:t>
      </w:r>
      <w:r>
        <w:rPr>
          <w:rFonts w:hint="eastAsia" w:ascii="宋体" w:hAnsi="宋体" w:cs="宋体"/>
          <w:color w:val="000000" w:themeColor="text1"/>
          <w:szCs w:val="21"/>
          <w:highlight w:val="none"/>
          <w:u w:val="single"/>
          <w14:textFill>
            <w14:solidFill>
              <w14:schemeClr w14:val="tx1"/>
            </w14:solidFill>
          </w14:textFill>
        </w:rPr>
        <w:t>2020</w:t>
      </w:r>
      <w:r>
        <w:rPr>
          <w:rFonts w:hint="eastAsia" w:ascii="宋体" w:hAnsi="宋体" w:cs="宋体"/>
          <w:bCs/>
          <w:color w:val="000000" w:themeColor="text1"/>
          <w:szCs w:val="21"/>
          <w:highlight w:val="none"/>
          <w:u w:val="single"/>
          <w14:textFill>
            <w14:solidFill>
              <w14:schemeClr w14:val="tx1"/>
            </w14:solidFill>
          </w14:textFill>
        </w:rPr>
        <w:t>年</w:t>
      </w:r>
      <w:r>
        <w:rPr>
          <w:rFonts w:hint="eastAsia" w:ascii="宋体" w:hAnsi="宋体" w:cs="宋体"/>
          <w:bCs/>
          <w:color w:val="000000" w:themeColor="text1"/>
          <w:szCs w:val="21"/>
          <w:highlight w:val="none"/>
          <w:u w:val="single"/>
          <w:lang w:val="en-US" w:eastAsia="zh-CN"/>
          <w14:textFill>
            <w14:solidFill>
              <w14:schemeClr w14:val="tx1"/>
            </w14:solidFill>
          </w14:textFill>
        </w:rPr>
        <w:t>11</w:t>
      </w:r>
      <w:r>
        <w:rPr>
          <w:rFonts w:hint="eastAsia" w:ascii="宋体" w:hAnsi="宋体" w:cs="宋体"/>
          <w:bCs/>
          <w:color w:val="000000" w:themeColor="text1"/>
          <w:szCs w:val="21"/>
          <w:highlight w:val="none"/>
          <w:u w:val="single"/>
          <w14:textFill>
            <w14:solidFill>
              <w14:schemeClr w14:val="tx1"/>
            </w14:solidFill>
          </w14:textFill>
        </w:rPr>
        <w:t>月</w:t>
      </w:r>
      <w:r>
        <w:rPr>
          <w:rFonts w:hint="eastAsia" w:ascii="宋体" w:hAnsi="宋体" w:cs="宋体"/>
          <w:bCs/>
          <w:color w:val="000000" w:themeColor="text1"/>
          <w:szCs w:val="21"/>
          <w:highlight w:val="none"/>
          <w:u w:val="single"/>
          <w:lang w:val="en-US" w:eastAsia="zh-CN"/>
          <w14:textFill>
            <w14:solidFill>
              <w14:schemeClr w14:val="tx1"/>
            </w14:solidFill>
          </w14:textFill>
        </w:rPr>
        <w:t>17</w:t>
      </w:r>
      <w:r>
        <w:rPr>
          <w:rFonts w:hint="eastAsia" w:ascii="宋体" w:hAnsi="宋体" w:cs="宋体"/>
          <w:bCs/>
          <w:color w:val="000000" w:themeColor="text1"/>
          <w:szCs w:val="21"/>
          <w:highlight w:val="none"/>
          <w:u w:val="single"/>
          <w14:textFill>
            <w14:solidFill>
              <w14:schemeClr w14:val="tx1"/>
            </w14:solidFill>
          </w14:textFill>
        </w:rPr>
        <w:t>日9点30分（</w:t>
      </w:r>
      <w:r>
        <w:rPr>
          <w:rFonts w:hint="eastAsia" w:ascii="宋体" w:hAnsi="宋体" w:cs="宋体"/>
          <w:bCs/>
          <w:color w:val="000000" w:themeColor="text1"/>
          <w:szCs w:val="21"/>
          <w:highlight w:val="none"/>
          <w14:textFill>
            <w14:solidFill>
              <w14:schemeClr w14:val="tx1"/>
            </w14:solidFill>
          </w14:textFill>
        </w:rPr>
        <w:t>北京时间）前递交投标文件</w:t>
      </w:r>
      <w:r>
        <w:rPr>
          <w:rFonts w:hint="eastAsia" w:ascii="宋体" w:hAnsi="宋体" w:cs="宋体"/>
          <w:color w:val="000000" w:themeColor="text1"/>
          <w:szCs w:val="21"/>
          <w:highlight w:val="none"/>
          <w14:textFill>
            <w14:solidFill>
              <w14:schemeClr w14:val="tx1"/>
            </w14:solidFill>
          </w14:textFill>
        </w:rPr>
        <w:t>。</w:t>
      </w:r>
    </w:p>
    <w:p>
      <w:pPr>
        <w:rPr>
          <w:rFonts w:ascii="宋体" w:hAnsi="宋体" w:cs="宋体"/>
          <w:color w:val="000000" w:themeColor="text1"/>
          <w:szCs w:val="21"/>
          <w:highlight w:val="none"/>
          <w14:textFill>
            <w14:solidFill>
              <w14:schemeClr w14:val="tx1"/>
            </w14:solidFill>
          </w14:textFill>
        </w:rPr>
      </w:pPr>
    </w:p>
    <w:p>
      <w:pPr>
        <w:spacing w:before="260" w:after="260" w:line="360" w:lineRule="auto"/>
        <w:outlineLvl w:val="1"/>
        <w:rPr>
          <w:rFonts w:ascii="宋体" w:hAnsi="宋体" w:cs="宋体"/>
          <w:bCs/>
          <w:color w:val="000000" w:themeColor="text1"/>
          <w:szCs w:val="21"/>
          <w:highlight w:val="none"/>
          <w14:textFill>
            <w14:solidFill>
              <w14:schemeClr w14:val="tx1"/>
            </w14:solidFill>
          </w14:textFill>
        </w:rPr>
      </w:pPr>
      <w:bookmarkStart w:id="4" w:name="_Toc35393790"/>
      <w:bookmarkStart w:id="5" w:name="_Toc28359002"/>
      <w:bookmarkStart w:id="6" w:name="_Toc28359079"/>
      <w:bookmarkStart w:id="7" w:name="_Toc35393621"/>
      <w:bookmarkStart w:id="8" w:name="_Hlk24379207"/>
      <w:r>
        <w:rPr>
          <w:rFonts w:hint="eastAsia" w:ascii="宋体" w:hAnsi="宋体" w:cs="宋体"/>
          <w:bCs/>
          <w:color w:val="000000" w:themeColor="text1"/>
          <w:szCs w:val="21"/>
          <w:highlight w:val="none"/>
          <w14:textFill>
            <w14:solidFill>
              <w14:schemeClr w14:val="tx1"/>
            </w14:solidFill>
          </w14:textFill>
        </w:rPr>
        <w:t>一、项目基本情况</w:t>
      </w:r>
      <w:bookmarkEnd w:id="4"/>
      <w:bookmarkEnd w:id="5"/>
      <w:bookmarkEnd w:id="6"/>
      <w:bookmarkEnd w:id="7"/>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项目编号：HW2020102302（招标编号：YX-FDCG-2020-015）</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项目名称：清醒动物脑活动解析系统平台采购项目</w:t>
      </w:r>
      <w:bookmarkEnd w:id="8"/>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预算金额：26.2万元，超过预算金额的投标不予接受。</w:t>
      </w:r>
    </w:p>
    <w:p>
      <w:pPr>
        <w:spacing w:line="360" w:lineRule="auto"/>
        <w:ind w:firstLine="420" w:firstLineChars="2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采购需求：采购清醒动物脑活动解析系统平台（1套），具体项目内容、采购范围及所应达到的具体要求，以采购文件“第四章 项目招标需求”为准。</w:t>
      </w:r>
    </w:p>
    <w:p>
      <w:pPr>
        <w:spacing w:line="360" w:lineRule="auto"/>
        <w:ind w:firstLine="420" w:firstLineChars="2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合同履行期限：签订合同后 30 日内完成全部设备的到货、安装调试及验收等全部工作。</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本项目不接受联合体投标。</w:t>
      </w:r>
    </w:p>
    <w:p>
      <w:pPr>
        <w:spacing w:before="260" w:after="260" w:line="360" w:lineRule="auto"/>
        <w:outlineLvl w:val="1"/>
        <w:rPr>
          <w:rFonts w:ascii="宋体" w:hAnsi="宋体" w:cs="宋体"/>
          <w:bCs/>
          <w:color w:val="000000" w:themeColor="text1"/>
          <w:szCs w:val="21"/>
          <w:highlight w:val="none"/>
          <w14:textFill>
            <w14:solidFill>
              <w14:schemeClr w14:val="tx1"/>
            </w14:solidFill>
          </w14:textFill>
        </w:rPr>
      </w:pPr>
      <w:bookmarkStart w:id="9" w:name="_Toc35393622"/>
      <w:bookmarkStart w:id="10" w:name="_Toc35393791"/>
      <w:bookmarkStart w:id="11" w:name="_Toc28359080"/>
      <w:bookmarkStart w:id="12" w:name="_Toc28359003"/>
      <w:r>
        <w:rPr>
          <w:rFonts w:hint="eastAsia" w:ascii="宋体" w:hAnsi="宋体" w:cs="宋体"/>
          <w:bCs/>
          <w:color w:val="000000" w:themeColor="text1"/>
          <w:szCs w:val="21"/>
          <w:highlight w:val="none"/>
          <w14:textFill>
            <w14:solidFill>
              <w14:schemeClr w14:val="tx1"/>
            </w14:solidFill>
          </w14:textFill>
        </w:rPr>
        <w:t>二、申请人的资格要求：</w:t>
      </w:r>
      <w:bookmarkEnd w:id="9"/>
      <w:bookmarkEnd w:id="10"/>
      <w:bookmarkEnd w:id="11"/>
      <w:bookmarkEnd w:id="12"/>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1.满足《中华人民共和国政府采购法》第二十二条规定；</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13" w:name="_Toc28359081"/>
      <w:bookmarkStart w:id="14" w:name="_Toc28359004"/>
      <w:r>
        <w:rPr>
          <w:rFonts w:hint="eastAsia" w:ascii="宋体" w:hAnsi="宋体" w:cs="宋体"/>
          <w:color w:val="000000" w:themeColor="text1"/>
          <w:szCs w:val="21"/>
          <w:highlight w:val="none"/>
          <w14:textFill>
            <w14:solidFill>
              <w14:schemeClr w14:val="tx1"/>
            </w14:solidFill>
          </w14:textFill>
        </w:rPr>
        <w:t>2.落实政府采购政策需满足的资格要求：</w:t>
      </w:r>
      <w:r>
        <w:rPr>
          <w:rFonts w:hint="eastAsia" w:ascii="宋体" w:hAnsi="宋体" w:cs="宋体"/>
          <w:color w:val="000000" w:themeColor="text1"/>
          <w:szCs w:val="21"/>
          <w:highlight w:val="none"/>
          <w:u w:val="single"/>
          <w14:textFill>
            <w14:solidFill>
              <w14:schemeClr w14:val="tx1"/>
            </w14:solidFill>
          </w14:textFill>
        </w:rPr>
        <w:t>本项目不属于专门面向中小企业采购的项目；</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3.本项目的特定资格要求：</w:t>
      </w:r>
    </w:p>
    <w:p>
      <w:pPr>
        <w:spacing w:line="360" w:lineRule="auto"/>
        <w:ind w:firstLine="420" w:firstLineChars="2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u w:val="single"/>
          <w14:textFill>
            <w14:solidFill>
              <w14:schemeClr w14:val="tx1"/>
            </w14:solidFill>
          </w14:textFill>
        </w:rPr>
        <w:t>3.1投标人具有独立的法人资格；</w:t>
      </w:r>
    </w:p>
    <w:p>
      <w:pPr>
        <w:spacing w:line="360" w:lineRule="auto"/>
        <w:ind w:firstLine="420" w:firstLineChars="2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u w:val="single"/>
          <w14:textFill>
            <w14:solidFill>
              <w14:schemeClr w14:val="tx1"/>
            </w14:solidFill>
          </w14:textFill>
        </w:rPr>
        <w:t>3.2投标人须为招标产品的专业制造商（生产商）或经销商；</w:t>
      </w:r>
    </w:p>
    <w:p>
      <w:pPr>
        <w:spacing w:line="360" w:lineRule="auto"/>
        <w:ind w:firstLine="420" w:firstLineChars="2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u w:val="single"/>
          <w14:textFill>
            <w14:solidFill>
              <w14:schemeClr w14:val="tx1"/>
            </w14:solidFill>
          </w14:textFill>
        </w:rPr>
        <w:t>3.3采购活动前3年（2017年10月至今）内在经营活动中无重大违法记录；</w:t>
      </w:r>
    </w:p>
    <w:p>
      <w:pPr>
        <w:spacing w:line="360" w:lineRule="auto"/>
        <w:ind w:firstLine="420" w:firstLineChars="2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u w:val="single"/>
          <w14:textFill>
            <w14:solidFill>
              <w14:schemeClr w14:val="tx1"/>
            </w14:solidFill>
          </w14:textFill>
        </w:rPr>
        <w:t>3.4投标人未列入“信用中国”网站（www.creditchina.gov.cn）失信被执行人名单、重大税收违法案件当事人名单和“中国政府采购网”网站（www.ccgp.gov.cn）政府采购严重违法失信行为名单；</w:t>
      </w:r>
    </w:p>
    <w:p>
      <w:pPr>
        <w:spacing w:line="360" w:lineRule="auto"/>
        <w:ind w:firstLine="420" w:firstLineChars="200"/>
        <w:rPr>
          <w:rFonts w:ascii="宋体" w:hAnsi="宋体" w:cs="宋体"/>
          <w:i/>
          <w:iCs/>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u w:val="single"/>
          <w14:textFill>
            <w14:solidFill>
              <w14:schemeClr w14:val="tx1"/>
            </w14:solidFill>
          </w14:textFill>
        </w:rPr>
        <w:t>3.5单位负责人为同一人或者存在直接控股、管理关系的不同供应商，不得参加同一合同项下的政府采购活动。</w:t>
      </w:r>
    </w:p>
    <w:p>
      <w:pPr>
        <w:spacing w:before="260" w:after="260" w:line="360" w:lineRule="auto"/>
        <w:outlineLvl w:val="1"/>
        <w:rPr>
          <w:rFonts w:ascii="宋体" w:hAnsi="宋体" w:cs="宋体"/>
          <w:bCs/>
          <w:color w:val="000000" w:themeColor="text1"/>
          <w:szCs w:val="21"/>
          <w:highlight w:val="none"/>
          <w14:textFill>
            <w14:solidFill>
              <w14:schemeClr w14:val="tx1"/>
            </w14:solidFill>
          </w14:textFill>
        </w:rPr>
      </w:pPr>
      <w:bookmarkStart w:id="15" w:name="_Toc35393623"/>
      <w:bookmarkStart w:id="16" w:name="_Toc35393792"/>
      <w:r>
        <w:rPr>
          <w:rFonts w:hint="eastAsia" w:ascii="宋体" w:hAnsi="宋体" w:cs="宋体"/>
          <w:bCs/>
          <w:color w:val="000000" w:themeColor="text1"/>
          <w:szCs w:val="21"/>
          <w:highlight w:val="none"/>
          <w14:textFill>
            <w14:solidFill>
              <w14:schemeClr w14:val="tx1"/>
            </w14:solidFill>
          </w14:textFill>
        </w:rPr>
        <w:t>三、获取招标文件</w:t>
      </w:r>
      <w:bookmarkEnd w:id="13"/>
      <w:bookmarkEnd w:id="14"/>
      <w:bookmarkEnd w:id="15"/>
      <w:bookmarkEnd w:id="16"/>
    </w:p>
    <w:p>
      <w:pPr>
        <w:spacing w:line="360" w:lineRule="auto"/>
        <w:ind w:firstLine="539"/>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时间：</w:t>
      </w:r>
      <w:r>
        <w:rPr>
          <w:rFonts w:hint="eastAsia" w:ascii="宋体" w:hAnsi="宋体" w:cs="宋体"/>
          <w:color w:val="000000" w:themeColor="text1"/>
          <w:szCs w:val="21"/>
          <w:highlight w:val="none"/>
          <w:u w:val="single"/>
          <w14:textFill>
            <w14:solidFill>
              <w14:schemeClr w14:val="tx1"/>
            </w14:solidFill>
          </w14:textFill>
        </w:rPr>
        <w:t>2020年</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cs="宋体"/>
          <w:color w:val="000000" w:themeColor="text1"/>
          <w:szCs w:val="21"/>
          <w:highlight w:val="none"/>
          <w:u w:val="single"/>
          <w14:textFill>
            <w14:solidFill>
              <w14:schemeClr w14:val="tx1"/>
            </w14:solidFill>
          </w14:textFill>
        </w:rPr>
        <w:t>月</w:t>
      </w:r>
      <w:r>
        <w:rPr>
          <w:rFonts w:hint="eastAsia" w:ascii="宋体" w:hAnsi="宋体" w:cs="宋体"/>
          <w:color w:val="000000" w:themeColor="text1"/>
          <w:szCs w:val="21"/>
          <w:highlight w:val="none"/>
          <w:u w:val="single"/>
          <w:lang w:val="en-US" w:eastAsia="zh-CN"/>
          <w14:textFill>
            <w14:solidFill>
              <w14:schemeClr w14:val="tx1"/>
            </w14:solidFill>
          </w14:textFill>
        </w:rPr>
        <w:t>27</w:t>
      </w:r>
      <w:r>
        <w:rPr>
          <w:rFonts w:hint="eastAsia" w:ascii="宋体" w:hAnsi="宋体" w:cs="宋体"/>
          <w:color w:val="000000" w:themeColor="text1"/>
          <w:szCs w:val="21"/>
          <w:highlight w:val="none"/>
          <w:u w:val="single"/>
          <w14:textFill>
            <w14:solidFill>
              <w14:schemeClr w14:val="tx1"/>
            </w14:solidFill>
          </w14:textFill>
        </w:rPr>
        <w:t>日</w:t>
      </w:r>
      <w:r>
        <w:rPr>
          <w:rFonts w:hint="eastAsia" w:ascii="宋体" w:hAnsi="宋体" w:cs="宋体"/>
          <w:color w:val="000000" w:themeColor="text1"/>
          <w:szCs w:val="21"/>
          <w:highlight w:val="none"/>
          <w14:textFill>
            <w14:solidFill>
              <w14:schemeClr w14:val="tx1"/>
            </w14:solidFill>
          </w14:textFill>
        </w:rPr>
        <w:t>至</w:t>
      </w:r>
      <w:r>
        <w:rPr>
          <w:rFonts w:hint="eastAsia" w:ascii="宋体" w:hAnsi="宋体" w:cs="宋体"/>
          <w:color w:val="000000" w:themeColor="text1"/>
          <w:szCs w:val="21"/>
          <w:highlight w:val="none"/>
          <w:u w:val="single"/>
          <w14:textFill>
            <w14:solidFill>
              <w14:schemeClr w14:val="tx1"/>
            </w14:solidFill>
          </w14:textFill>
        </w:rPr>
        <w:t>2020年</w:t>
      </w:r>
      <w:r>
        <w:rPr>
          <w:rFonts w:hint="eastAsia" w:ascii="宋体" w:hAnsi="宋体" w:cs="宋体"/>
          <w:color w:val="000000" w:themeColor="text1"/>
          <w:szCs w:val="21"/>
          <w:highlight w:val="none"/>
          <w:u w:val="single"/>
          <w:lang w:val="en-US" w:eastAsia="zh-CN"/>
          <w14:textFill>
            <w14:solidFill>
              <w14:schemeClr w14:val="tx1"/>
            </w14:solidFill>
          </w14:textFill>
        </w:rPr>
        <w:t>11</w:t>
      </w:r>
      <w:r>
        <w:rPr>
          <w:rFonts w:hint="eastAsia" w:ascii="宋体" w:hAnsi="宋体" w:cs="宋体"/>
          <w:color w:val="000000" w:themeColor="text1"/>
          <w:szCs w:val="21"/>
          <w:highlight w:val="none"/>
          <w:u w:val="single"/>
          <w14:textFill>
            <w14:solidFill>
              <w14:schemeClr w14:val="tx1"/>
            </w14:solidFill>
          </w14:textFill>
        </w:rPr>
        <w:t>月</w:t>
      </w:r>
      <w:r>
        <w:rPr>
          <w:rFonts w:hint="eastAsia" w:ascii="宋体" w:hAnsi="宋体" w:cs="宋体"/>
          <w:color w:val="000000" w:themeColor="text1"/>
          <w:szCs w:val="21"/>
          <w:highlight w:val="none"/>
          <w:u w:val="single"/>
          <w:lang w:val="en-US" w:eastAsia="zh-CN"/>
          <w14:textFill>
            <w14:solidFill>
              <w14:schemeClr w14:val="tx1"/>
            </w14:solidFill>
          </w14:textFill>
        </w:rPr>
        <w:t>3</w:t>
      </w:r>
      <w:r>
        <w:rPr>
          <w:rFonts w:hint="eastAsia" w:ascii="宋体" w:hAnsi="宋体" w:cs="宋体"/>
          <w:color w:val="000000" w:themeColor="text1"/>
          <w:szCs w:val="21"/>
          <w:highlight w:val="none"/>
          <w:u w:val="single"/>
          <w14:textFill>
            <w14:solidFill>
              <w14:schemeClr w14:val="tx1"/>
            </w14:solidFill>
          </w14:textFill>
        </w:rPr>
        <w:t>日</w:t>
      </w:r>
      <w:r>
        <w:rPr>
          <w:rFonts w:hint="eastAsia" w:ascii="宋体" w:hAnsi="宋体" w:cs="宋体"/>
          <w:color w:val="000000" w:themeColor="text1"/>
          <w:szCs w:val="21"/>
          <w:highlight w:val="none"/>
          <w14:textFill>
            <w14:solidFill>
              <w14:schemeClr w14:val="tx1"/>
            </w14:solidFill>
          </w14:textFill>
        </w:rPr>
        <w:t>，每天上午</w:t>
      </w:r>
      <w:r>
        <w:rPr>
          <w:rFonts w:hint="eastAsia" w:ascii="宋体" w:hAnsi="宋体" w:cs="宋体"/>
          <w:color w:val="000000" w:themeColor="text1"/>
          <w:szCs w:val="21"/>
          <w:highlight w:val="none"/>
          <w:u w:val="single"/>
          <w14:textFill>
            <w14:solidFill>
              <w14:schemeClr w14:val="tx1"/>
            </w14:solidFill>
          </w14:textFill>
        </w:rPr>
        <w:t>9:30</w:t>
      </w:r>
      <w:r>
        <w:rPr>
          <w:rFonts w:hint="eastAsia" w:ascii="宋体" w:hAnsi="宋体" w:cs="宋体"/>
          <w:color w:val="000000" w:themeColor="text1"/>
          <w:szCs w:val="21"/>
          <w:highlight w:val="none"/>
          <w14:textFill>
            <w14:solidFill>
              <w14:schemeClr w14:val="tx1"/>
            </w14:solidFill>
          </w14:textFill>
        </w:rPr>
        <w:t>至</w:t>
      </w:r>
      <w:r>
        <w:rPr>
          <w:rFonts w:hint="eastAsia" w:ascii="宋体" w:hAnsi="宋体" w:cs="宋体"/>
          <w:color w:val="000000" w:themeColor="text1"/>
          <w:szCs w:val="21"/>
          <w:highlight w:val="none"/>
          <w:u w:val="single"/>
          <w14:textFill>
            <w14:solidFill>
              <w14:schemeClr w14:val="tx1"/>
            </w14:solidFill>
          </w14:textFill>
        </w:rPr>
        <w:t>11:30</w:t>
      </w:r>
      <w:r>
        <w:rPr>
          <w:rFonts w:hint="eastAsia" w:ascii="宋体" w:hAnsi="宋体" w:cs="宋体"/>
          <w:color w:val="000000" w:themeColor="text1"/>
          <w:szCs w:val="21"/>
          <w:highlight w:val="none"/>
          <w14:textFill>
            <w14:solidFill>
              <w14:schemeClr w14:val="tx1"/>
            </w14:solidFill>
          </w14:textFill>
        </w:rPr>
        <w:t>，下午</w:t>
      </w:r>
      <w:r>
        <w:rPr>
          <w:rFonts w:hint="eastAsia" w:ascii="宋体" w:hAnsi="宋体" w:cs="宋体"/>
          <w:color w:val="000000" w:themeColor="text1"/>
          <w:szCs w:val="21"/>
          <w:highlight w:val="none"/>
          <w:u w:val="single"/>
          <w14:textFill>
            <w14:solidFill>
              <w14:schemeClr w14:val="tx1"/>
            </w14:solidFill>
          </w14:textFill>
        </w:rPr>
        <w:t>13:30</w:t>
      </w:r>
      <w:r>
        <w:rPr>
          <w:rFonts w:hint="eastAsia" w:ascii="宋体" w:hAnsi="宋体" w:cs="宋体"/>
          <w:color w:val="000000" w:themeColor="text1"/>
          <w:szCs w:val="21"/>
          <w:highlight w:val="none"/>
          <w14:textFill>
            <w14:solidFill>
              <w14:schemeClr w14:val="tx1"/>
            </w14:solidFill>
          </w14:textFill>
        </w:rPr>
        <w:t>至</w:t>
      </w:r>
      <w:r>
        <w:rPr>
          <w:rFonts w:hint="eastAsia" w:ascii="宋体" w:hAnsi="宋体" w:cs="宋体"/>
          <w:color w:val="000000" w:themeColor="text1"/>
          <w:szCs w:val="21"/>
          <w:highlight w:val="none"/>
          <w:u w:val="single"/>
          <w14:textFill>
            <w14:solidFill>
              <w14:schemeClr w14:val="tx1"/>
            </w14:solidFill>
          </w14:textFill>
        </w:rPr>
        <w:t>16:30</w:t>
      </w:r>
      <w:r>
        <w:rPr>
          <w:rFonts w:hint="eastAsia" w:ascii="宋体" w:hAnsi="宋体" w:cs="宋体"/>
          <w:color w:val="000000" w:themeColor="text1"/>
          <w:szCs w:val="21"/>
          <w:highlight w:val="none"/>
          <w14:textFill>
            <w14:solidFill>
              <w14:schemeClr w14:val="tx1"/>
            </w14:solidFill>
          </w14:textFill>
        </w:rPr>
        <w:t>（北京时间，法定节假日除外）</w:t>
      </w:r>
    </w:p>
    <w:p>
      <w:pPr>
        <w:spacing w:line="360" w:lineRule="auto"/>
        <w:ind w:firstLine="53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地点：上海市徐汇区零陵路583号海洋石油大厦1216室。</w:t>
      </w:r>
    </w:p>
    <w:p>
      <w:pPr>
        <w:spacing w:line="360" w:lineRule="auto"/>
        <w:ind w:firstLine="53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方式：携带1）法定代表人授权书原件及被授权人身份证复印件；2）企业营业执照或事业单位法人证书复印件（复印件加盖公章）进行现场报名确认及获取招标文件，并按照招标文件要求参加采购活动。未在规定时间进行现场报名确认或所携带资料不全且不符合公告要求导致未能获取招标文件的报名将被拒绝。</w:t>
      </w:r>
    </w:p>
    <w:p>
      <w:pPr>
        <w:spacing w:line="360" w:lineRule="auto"/>
        <w:ind w:firstLine="539"/>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售价：人民币800元，售后不退。</w:t>
      </w:r>
    </w:p>
    <w:p>
      <w:pPr>
        <w:spacing w:before="260" w:after="260" w:line="360" w:lineRule="auto"/>
        <w:outlineLvl w:val="1"/>
        <w:rPr>
          <w:rFonts w:ascii="宋体" w:hAnsi="宋体" w:cs="宋体"/>
          <w:bCs/>
          <w:color w:val="000000" w:themeColor="text1"/>
          <w:szCs w:val="21"/>
          <w:highlight w:val="none"/>
          <w14:textFill>
            <w14:solidFill>
              <w14:schemeClr w14:val="tx1"/>
            </w14:solidFill>
          </w14:textFill>
        </w:rPr>
      </w:pPr>
      <w:bookmarkStart w:id="17" w:name="_Toc28359082"/>
      <w:bookmarkStart w:id="18" w:name="_Toc28359005"/>
      <w:bookmarkStart w:id="19" w:name="_Toc35393624"/>
      <w:bookmarkStart w:id="20" w:name="_Toc35393793"/>
      <w:r>
        <w:rPr>
          <w:rFonts w:hint="eastAsia" w:ascii="宋体" w:hAnsi="宋体" w:cs="宋体"/>
          <w:bCs/>
          <w:color w:val="000000" w:themeColor="text1"/>
          <w:szCs w:val="21"/>
          <w:highlight w:val="none"/>
          <w14:textFill>
            <w14:solidFill>
              <w14:schemeClr w14:val="tx1"/>
            </w14:solidFill>
          </w14:textFill>
        </w:rPr>
        <w:t>四、提交投标文件</w:t>
      </w:r>
      <w:bookmarkEnd w:id="17"/>
      <w:bookmarkEnd w:id="18"/>
      <w:r>
        <w:rPr>
          <w:rFonts w:hint="eastAsia" w:ascii="宋体" w:hAnsi="宋体" w:cs="宋体"/>
          <w:bCs/>
          <w:color w:val="000000" w:themeColor="text1"/>
          <w:szCs w:val="21"/>
          <w:highlight w:val="none"/>
          <w14:textFill>
            <w14:solidFill>
              <w14:schemeClr w14:val="tx1"/>
            </w14:solidFill>
          </w14:textFill>
        </w:rPr>
        <w:t>截止时间、开标时间和地点</w:t>
      </w:r>
      <w:bookmarkEnd w:id="19"/>
      <w:bookmarkEnd w:id="20"/>
    </w:p>
    <w:p>
      <w:pPr>
        <w:spacing w:line="360" w:lineRule="auto"/>
        <w:ind w:firstLine="420" w:firstLineChars="200"/>
        <w:rPr>
          <w:rFonts w:ascii="宋体" w:hAnsi="宋体" w:cs="宋体"/>
          <w:bCs/>
          <w:color w:val="000000" w:themeColor="text1"/>
          <w:szCs w:val="21"/>
          <w:highlight w:val="none"/>
          <w:u w:val="single"/>
          <w14:textFill>
            <w14:solidFill>
              <w14:schemeClr w14:val="tx1"/>
            </w14:solidFill>
          </w14:textFill>
        </w:rPr>
      </w:pPr>
      <w:r>
        <w:rPr>
          <w:rFonts w:hint="eastAsia" w:ascii="宋体" w:hAnsi="宋体" w:cs="宋体"/>
          <w:bCs/>
          <w:color w:val="000000" w:themeColor="text1"/>
          <w:szCs w:val="21"/>
          <w:highlight w:val="none"/>
          <w:u w:val="single"/>
          <w14:textFill>
            <w14:solidFill>
              <w14:schemeClr w14:val="tx1"/>
            </w14:solidFill>
          </w14:textFill>
        </w:rPr>
        <w:t>2020年</w:t>
      </w:r>
      <w:r>
        <w:rPr>
          <w:rFonts w:hint="eastAsia" w:ascii="宋体" w:hAnsi="宋体" w:cs="宋体"/>
          <w:bCs/>
          <w:color w:val="000000" w:themeColor="text1"/>
          <w:szCs w:val="21"/>
          <w:highlight w:val="none"/>
          <w:u w:val="single"/>
          <w:lang w:val="en-US" w:eastAsia="zh-CN"/>
          <w14:textFill>
            <w14:solidFill>
              <w14:schemeClr w14:val="tx1"/>
            </w14:solidFill>
          </w14:textFill>
        </w:rPr>
        <w:t>11</w:t>
      </w:r>
      <w:r>
        <w:rPr>
          <w:rFonts w:hint="eastAsia" w:ascii="宋体" w:hAnsi="宋体" w:cs="宋体"/>
          <w:bCs/>
          <w:color w:val="000000" w:themeColor="text1"/>
          <w:szCs w:val="21"/>
          <w:highlight w:val="none"/>
          <w:u w:val="single"/>
          <w14:textFill>
            <w14:solidFill>
              <w14:schemeClr w14:val="tx1"/>
            </w14:solidFill>
          </w14:textFill>
        </w:rPr>
        <w:t>月</w:t>
      </w:r>
      <w:r>
        <w:rPr>
          <w:rFonts w:hint="eastAsia" w:ascii="宋体" w:hAnsi="宋体" w:cs="宋体"/>
          <w:bCs/>
          <w:color w:val="000000" w:themeColor="text1"/>
          <w:szCs w:val="21"/>
          <w:highlight w:val="none"/>
          <w:u w:val="single"/>
          <w:lang w:val="en-US" w:eastAsia="zh-CN"/>
          <w14:textFill>
            <w14:solidFill>
              <w14:schemeClr w14:val="tx1"/>
            </w14:solidFill>
          </w14:textFill>
        </w:rPr>
        <w:t>17</w:t>
      </w:r>
      <w:r>
        <w:rPr>
          <w:rFonts w:hint="eastAsia" w:ascii="宋体" w:hAnsi="宋体" w:cs="宋体"/>
          <w:bCs/>
          <w:color w:val="000000" w:themeColor="text1"/>
          <w:szCs w:val="21"/>
          <w:highlight w:val="none"/>
          <w:u w:val="single"/>
          <w14:textFill>
            <w14:solidFill>
              <w14:schemeClr w14:val="tx1"/>
            </w14:solidFill>
          </w14:textFill>
        </w:rPr>
        <w:t>日9点30分</w:t>
      </w:r>
      <w:r>
        <w:rPr>
          <w:rFonts w:hint="eastAsia" w:ascii="宋体" w:hAnsi="宋体" w:cs="宋体"/>
          <w:bCs/>
          <w:color w:val="000000" w:themeColor="text1"/>
          <w:szCs w:val="21"/>
          <w:highlight w:val="none"/>
          <w14:textFill>
            <w14:solidFill>
              <w14:schemeClr w14:val="tx1"/>
            </w14:solidFill>
          </w14:textFill>
        </w:rPr>
        <w:t>（北京时间）</w:t>
      </w:r>
    </w:p>
    <w:p>
      <w:pPr>
        <w:spacing w:line="360" w:lineRule="auto"/>
        <w:ind w:firstLine="420" w:firstLineChars="200"/>
        <w:rPr>
          <w:rFonts w:ascii="宋体" w:hAnsi="宋体" w:cs="宋体"/>
          <w:bCs/>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地点：</w:t>
      </w:r>
      <w:bookmarkStart w:id="65" w:name="_GoBack"/>
      <w:bookmarkEnd w:id="65"/>
      <w:r>
        <w:rPr>
          <w:rFonts w:hint="eastAsia" w:ascii="宋体" w:hAnsi="宋体" w:cs="宋体"/>
          <w:color w:val="000000" w:themeColor="text1"/>
          <w:szCs w:val="21"/>
          <w:highlight w:val="none"/>
          <w:lang w:eastAsia="zh-CN"/>
          <w14:textFill>
            <w14:solidFill>
              <w14:schemeClr w14:val="tx1"/>
            </w14:solidFill>
          </w14:textFill>
        </w:rPr>
        <w:t>上海市徐汇区零陵路583号海洋石油大厦1206室</w:t>
      </w:r>
      <w:r>
        <w:rPr>
          <w:rFonts w:hint="eastAsia" w:ascii="宋体" w:hAnsi="宋体" w:cs="宋体"/>
          <w:color w:val="000000" w:themeColor="text1"/>
          <w:szCs w:val="21"/>
          <w:highlight w:val="none"/>
          <w14:textFill>
            <w14:solidFill>
              <w14:schemeClr w14:val="tx1"/>
            </w14:solidFill>
          </w14:textFill>
        </w:rPr>
        <w:t>。</w:t>
      </w:r>
    </w:p>
    <w:p>
      <w:pPr>
        <w:spacing w:before="260" w:after="260" w:line="360" w:lineRule="auto"/>
        <w:outlineLvl w:val="1"/>
        <w:rPr>
          <w:rFonts w:ascii="宋体" w:hAnsi="宋体" w:cs="宋体"/>
          <w:bCs/>
          <w:color w:val="000000" w:themeColor="text1"/>
          <w:szCs w:val="21"/>
          <w:highlight w:val="none"/>
          <w14:textFill>
            <w14:solidFill>
              <w14:schemeClr w14:val="tx1"/>
            </w14:solidFill>
          </w14:textFill>
        </w:rPr>
      </w:pPr>
      <w:bookmarkStart w:id="21" w:name="_Toc35393625"/>
      <w:bookmarkStart w:id="22" w:name="_Toc28359007"/>
      <w:bookmarkStart w:id="23" w:name="_Toc28359084"/>
      <w:bookmarkStart w:id="24" w:name="_Toc35393794"/>
      <w:r>
        <w:rPr>
          <w:rFonts w:hint="eastAsia" w:ascii="宋体" w:hAnsi="宋体" w:cs="宋体"/>
          <w:bCs/>
          <w:color w:val="000000" w:themeColor="text1"/>
          <w:szCs w:val="21"/>
          <w:highlight w:val="none"/>
          <w14:textFill>
            <w14:solidFill>
              <w14:schemeClr w14:val="tx1"/>
            </w14:solidFill>
          </w14:textFill>
        </w:rPr>
        <w:t>五、公告期限</w:t>
      </w:r>
      <w:bookmarkEnd w:id="21"/>
      <w:bookmarkEnd w:id="22"/>
      <w:bookmarkEnd w:id="23"/>
      <w:bookmarkEnd w:id="24"/>
    </w:p>
    <w:p>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自本公告发布之日起5个工作日。</w:t>
      </w:r>
    </w:p>
    <w:p>
      <w:pPr>
        <w:spacing w:before="260" w:after="260" w:line="360" w:lineRule="auto"/>
        <w:outlineLvl w:val="1"/>
        <w:rPr>
          <w:rFonts w:ascii="宋体" w:hAnsi="宋体" w:cs="宋体"/>
          <w:bCs/>
          <w:color w:val="000000" w:themeColor="text1"/>
          <w:szCs w:val="21"/>
          <w:highlight w:val="none"/>
          <w14:textFill>
            <w14:solidFill>
              <w14:schemeClr w14:val="tx1"/>
            </w14:solidFill>
          </w14:textFill>
        </w:rPr>
      </w:pPr>
      <w:bookmarkStart w:id="25" w:name="_Toc35393626"/>
      <w:bookmarkStart w:id="26" w:name="_Toc35393795"/>
      <w:r>
        <w:rPr>
          <w:rFonts w:hint="eastAsia" w:ascii="宋体" w:hAnsi="宋体" w:cs="宋体"/>
          <w:bCs/>
          <w:color w:val="000000" w:themeColor="text1"/>
          <w:szCs w:val="21"/>
          <w:highlight w:val="none"/>
          <w14:textFill>
            <w14:solidFill>
              <w14:schemeClr w14:val="tx1"/>
            </w14:solidFill>
          </w14:textFill>
        </w:rPr>
        <w:t>六、其他补充事宜</w:t>
      </w:r>
      <w:bookmarkEnd w:id="25"/>
      <w:bookmarkEnd w:id="26"/>
    </w:p>
    <w:p>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以上信息若有变更我们会通过“中国政府采购网（www.ccgp.gov.cn）”和“复旦大学信息公开网（xxgk.fudan.edu.cn）”通知，请供应商关注。</w:t>
      </w:r>
    </w:p>
    <w:p>
      <w:pPr>
        <w:spacing w:before="260" w:after="260" w:line="360" w:lineRule="auto"/>
        <w:outlineLvl w:val="1"/>
        <w:rPr>
          <w:rFonts w:ascii="宋体" w:hAnsi="宋体" w:cs="宋体"/>
          <w:bCs/>
          <w:color w:val="000000" w:themeColor="text1"/>
          <w:szCs w:val="21"/>
          <w:highlight w:val="none"/>
          <w14:textFill>
            <w14:solidFill>
              <w14:schemeClr w14:val="tx1"/>
            </w14:solidFill>
          </w14:textFill>
        </w:rPr>
      </w:pPr>
      <w:bookmarkStart w:id="27" w:name="_Toc35393627"/>
      <w:bookmarkStart w:id="28" w:name="_Toc35393796"/>
      <w:bookmarkStart w:id="29" w:name="_Toc28359085"/>
      <w:bookmarkStart w:id="30" w:name="_Toc28359008"/>
      <w:r>
        <w:rPr>
          <w:rFonts w:hint="eastAsia" w:ascii="宋体" w:hAnsi="宋体" w:cs="宋体"/>
          <w:bCs/>
          <w:color w:val="000000" w:themeColor="text1"/>
          <w:szCs w:val="21"/>
          <w:highlight w:val="none"/>
          <w14:textFill>
            <w14:solidFill>
              <w14:schemeClr w14:val="tx1"/>
            </w14:solidFill>
          </w14:textFill>
        </w:rPr>
        <w:t>七、对本次招标提出询问，请按以下方式联系。</w:t>
      </w:r>
      <w:bookmarkEnd w:id="27"/>
      <w:bookmarkEnd w:id="28"/>
      <w:bookmarkEnd w:id="29"/>
      <w:bookmarkEnd w:id="30"/>
    </w:p>
    <w:p>
      <w:pPr>
        <w:widowControl/>
        <w:spacing w:line="360" w:lineRule="auto"/>
        <w:ind w:firstLine="638" w:firstLineChars="304"/>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1.采购人信息</w:t>
      </w:r>
    </w:p>
    <w:p>
      <w:pPr>
        <w:spacing w:line="360" w:lineRule="auto"/>
        <w:ind w:left="1037" w:leftChars="304" w:hanging="399" w:hangingChars="19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 称：</w:t>
      </w:r>
      <w:r>
        <w:rPr>
          <w:rFonts w:hint="eastAsia" w:ascii="宋体" w:hAnsi="宋体" w:cs="宋体"/>
          <w:color w:val="000000" w:themeColor="text1"/>
          <w:szCs w:val="21"/>
          <w:highlight w:val="none"/>
          <w:u w:val="single"/>
          <w14:textFill>
            <w14:solidFill>
              <w14:schemeClr w14:val="tx1"/>
            </w14:solidFill>
          </w14:textFill>
        </w:rPr>
        <w:t>复旦大学</w:t>
      </w:r>
    </w:p>
    <w:p>
      <w:pPr>
        <w:spacing w:line="360" w:lineRule="auto"/>
        <w:ind w:left="1037" w:leftChars="304" w:hanging="399" w:hangingChars="19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地址：</w:t>
      </w:r>
      <w:r>
        <w:rPr>
          <w:rFonts w:hint="eastAsia" w:ascii="宋体" w:hAnsi="宋体" w:cs="宋体"/>
          <w:color w:val="000000" w:themeColor="text1"/>
          <w:szCs w:val="21"/>
          <w:highlight w:val="none"/>
          <w:u w:val="single"/>
          <w14:textFill>
            <w14:solidFill>
              <w14:schemeClr w14:val="tx1"/>
            </w14:solidFill>
          </w14:textFill>
        </w:rPr>
        <w:t>上海市杨浦区邯郸路220号</w:t>
      </w:r>
    </w:p>
    <w:p>
      <w:pPr>
        <w:spacing w:line="360" w:lineRule="auto"/>
        <w:ind w:left="1037" w:leftChars="304" w:hanging="399" w:hangingChars="190"/>
        <w:jc w:val="left"/>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联系方式：</w:t>
      </w:r>
      <w:bookmarkStart w:id="31" w:name="_Toc28359009"/>
      <w:bookmarkStart w:id="32" w:name="_Toc28359086"/>
      <w:r>
        <w:rPr>
          <w:rFonts w:hint="eastAsia" w:ascii="宋体" w:hAnsi="宋体" w:cs="宋体"/>
          <w:color w:val="000000" w:themeColor="text1"/>
          <w:szCs w:val="21"/>
          <w:highlight w:val="none"/>
          <w:u w:val="single"/>
          <w14:textFill>
            <w14:solidFill>
              <w14:schemeClr w14:val="tx1"/>
            </w14:solidFill>
          </w14:textFill>
        </w:rPr>
        <w:t>021-65641327 张老师</w:t>
      </w:r>
    </w:p>
    <w:p>
      <w:pPr>
        <w:spacing w:line="360" w:lineRule="auto"/>
        <w:ind w:left="1037" w:leftChars="304" w:hanging="399" w:hangingChars="190"/>
        <w:jc w:val="left"/>
        <w:rPr>
          <w:rFonts w:ascii="宋体" w:hAnsi="宋体" w:cs="宋体"/>
          <w:color w:val="000000" w:themeColor="text1"/>
          <w:szCs w:val="21"/>
          <w:highlight w:val="none"/>
          <w14:textFill>
            <w14:solidFill>
              <w14:schemeClr w14:val="tx1"/>
            </w14:solidFill>
          </w14:textFill>
        </w:rPr>
      </w:pPr>
    </w:p>
    <w:p>
      <w:pPr>
        <w:spacing w:line="360" w:lineRule="auto"/>
        <w:ind w:left="1037" w:leftChars="304" w:hanging="399" w:hangingChars="19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2.采购代理机构信息</w:t>
      </w:r>
      <w:bookmarkEnd w:id="31"/>
      <w:bookmarkEnd w:id="32"/>
    </w:p>
    <w:p>
      <w:pPr>
        <w:spacing w:line="360" w:lineRule="auto"/>
        <w:ind w:firstLine="630" w:firstLineChars="3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 称：</w:t>
      </w:r>
      <w:r>
        <w:rPr>
          <w:rFonts w:hint="eastAsia" w:ascii="宋体" w:hAnsi="宋体" w:cs="宋体"/>
          <w:color w:val="000000" w:themeColor="text1"/>
          <w:szCs w:val="21"/>
          <w:highlight w:val="none"/>
          <w:u w:val="single"/>
          <w14:textFill>
            <w14:solidFill>
              <w14:schemeClr w14:val="tx1"/>
            </w14:solidFill>
          </w14:textFill>
        </w:rPr>
        <w:t>上海银鑫建设咨询有限公司</w:t>
      </w:r>
    </w:p>
    <w:p>
      <w:pPr>
        <w:spacing w:line="360" w:lineRule="auto"/>
        <w:ind w:firstLine="630" w:firstLineChars="3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　址：</w:t>
      </w:r>
      <w:r>
        <w:rPr>
          <w:rFonts w:hint="eastAsia" w:ascii="宋体" w:hAnsi="宋体" w:cs="宋体"/>
          <w:color w:val="000000" w:themeColor="text1"/>
          <w:szCs w:val="21"/>
          <w:highlight w:val="none"/>
          <w:u w:val="single"/>
          <w14:textFill>
            <w14:solidFill>
              <w14:schemeClr w14:val="tx1"/>
            </w14:solidFill>
          </w14:textFill>
        </w:rPr>
        <w:t>上海市徐汇区零陵路583号海洋石油大厦1216室</w:t>
      </w:r>
    </w:p>
    <w:p>
      <w:pPr>
        <w:spacing w:line="360" w:lineRule="auto"/>
        <w:ind w:firstLine="630" w:firstLineChars="3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联系方式：</w:t>
      </w:r>
      <w:bookmarkStart w:id="33" w:name="_Toc28359087"/>
      <w:bookmarkStart w:id="34" w:name="_Toc28359010"/>
      <w:r>
        <w:rPr>
          <w:rFonts w:hint="eastAsia" w:ascii="宋体" w:hAnsi="宋体" w:cs="宋体"/>
          <w:color w:val="000000" w:themeColor="text1"/>
          <w:szCs w:val="21"/>
          <w:highlight w:val="none"/>
          <w:u w:val="single"/>
          <w14:textFill>
            <w14:solidFill>
              <w14:schemeClr w14:val="tx1"/>
            </w14:solidFill>
          </w14:textFill>
        </w:rPr>
        <w:t>021-33312773*802 吴佳</w:t>
      </w:r>
    </w:p>
    <w:p>
      <w:pPr>
        <w:spacing w:line="360" w:lineRule="auto"/>
        <w:ind w:firstLine="630" w:firstLineChars="300"/>
        <w:rPr>
          <w:rFonts w:ascii="宋体" w:hAnsi="宋体" w:cs="宋体"/>
          <w:color w:val="000000" w:themeColor="text1"/>
          <w:szCs w:val="21"/>
          <w:highlight w:val="none"/>
          <w14:textFill>
            <w14:solidFill>
              <w14:schemeClr w14:val="tx1"/>
            </w14:solidFill>
          </w14:textFill>
        </w:rPr>
      </w:pPr>
    </w:p>
    <w:p>
      <w:pPr>
        <w:spacing w:line="360" w:lineRule="auto"/>
        <w:ind w:firstLine="630" w:firstLineChars="3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3.项目联系方式</w:t>
      </w:r>
      <w:bookmarkEnd w:id="33"/>
      <w:bookmarkEnd w:id="34"/>
    </w:p>
    <w:p>
      <w:pPr>
        <w:spacing w:line="360" w:lineRule="auto"/>
        <w:ind w:firstLine="630" w:firstLineChars="3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项目联系人：</w:t>
      </w:r>
      <w:r>
        <w:rPr>
          <w:rFonts w:hint="eastAsia" w:ascii="宋体" w:hAnsi="宋体" w:cs="宋体"/>
          <w:color w:val="000000" w:themeColor="text1"/>
          <w:szCs w:val="21"/>
          <w:highlight w:val="none"/>
          <w:u w:val="single"/>
          <w14:textFill>
            <w14:solidFill>
              <w14:schemeClr w14:val="tx1"/>
            </w14:solidFill>
          </w14:textFill>
        </w:rPr>
        <w:t>吴佳</w:t>
      </w:r>
    </w:p>
    <w:p>
      <w:pPr>
        <w:spacing w:line="360" w:lineRule="auto"/>
        <w:ind w:firstLine="630" w:firstLineChars="300"/>
        <w:rPr>
          <w:rFonts w:ascii="仿宋" w:hAnsi="仿宋" w:eastAsia="仿宋"/>
          <w:color w:val="000000" w:themeColor="text1"/>
          <w:sz w:val="28"/>
          <w:szCs w:val="28"/>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　话：</w:t>
      </w:r>
      <w:r>
        <w:rPr>
          <w:rFonts w:hint="eastAsia" w:ascii="宋体" w:hAnsi="宋体" w:cs="宋体"/>
          <w:color w:val="000000" w:themeColor="text1"/>
          <w:szCs w:val="21"/>
          <w:highlight w:val="none"/>
          <w:u w:val="single"/>
          <w14:textFill>
            <w14:solidFill>
              <w14:schemeClr w14:val="tx1"/>
            </w14:solidFill>
          </w14:textFill>
        </w:rPr>
        <w:t>021-33312773*802</w:t>
      </w:r>
    </w:p>
    <w:p>
      <w:pPr>
        <w:snapToGrid w:val="0"/>
        <w:spacing w:before="120" w:beforeLines="50" w:after="120" w:afterLines="50"/>
        <w:ind w:left="238"/>
        <w:jc w:val="center"/>
        <w:rPr>
          <w:rFonts w:ascii="黑体" w:hAnsi="宋体" w:eastAsia="黑体"/>
          <w:color w:val="000000" w:themeColor="text1"/>
          <w:sz w:val="24"/>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br w:type="page"/>
      </w:r>
      <w:r>
        <w:rPr>
          <w:rFonts w:hint="eastAsia" w:ascii="黑体" w:hAnsi="宋体" w:eastAsia="黑体"/>
          <w:color w:val="000000" w:themeColor="text1"/>
          <w:sz w:val="24"/>
          <w:highlight w:val="none"/>
          <w14:textFill>
            <w14:solidFill>
              <w14:schemeClr w14:val="tx1"/>
            </w14:solidFill>
          </w14:textFill>
        </w:rPr>
        <w:t>第二章    投标人须知</w:t>
      </w:r>
    </w:p>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前附（置）表</w:t>
      </w:r>
    </w:p>
    <w:p>
      <w:pPr>
        <w:spacing w:line="300" w:lineRule="exact"/>
        <w:rPr>
          <w:rFonts w:ascii="宋体" w:hAnsi="宋体"/>
          <w:b/>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一、项目情况</w:t>
      </w:r>
    </w:p>
    <w:p>
      <w:pPr>
        <w:spacing w:line="360" w:lineRule="auto"/>
        <w:ind w:left="991" w:hanging="991" w:hangingChars="47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项目名称：清醒动物脑活动解析系统平台采购项目</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项目编号：HW2020102302（招标编号：YX-FDCG-2020-015）</w:t>
      </w:r>
    </w:p>
    <w:p>
      <w:pPr>
        <w:spacing w:line="360" w:lineRule="auto"/>
        <w:rPr>
          <w:rStyle w:val="62"/>
          <w:rFonts w:hAnsi="宋体"/>
          <w:b/>
          <w:color w:val="000000" w:themeColor="text1"/>
          <w:szCs w:val="21"/>
          <w:highlight w:val="none"/>
          <w14:textFill>
            <w14:solidFill>
              <w14:schemeClr w14:val="tx1"/>
            </w14:solidFill>
          </w14:textFill>
        </w:rPr>
      </w:pPr>
      <w:r>
        <w:rPr>
          <w:rStyle w:val="62"/>
          <w:rFonts w:hint="eastAsia" w:hAnsi="宋体"/>
          <w:b/>
          <w:color w:val="000000" w:themeColor="text1"/>
          <w:szCs w:val="21"/>
          <w:highlight w:val="none"/>
          <w14:textFill>
            <w14:solidFill>
              <w14:schemeClr w14:val="tx1"/>
            </w14:solidFill>
          </w14:textFill>
        </w:rPr>
        <w:t>项目交付地址：用户指定地点。</w:t>
      </w:r>
    </w:p>
    <w:p>
      <w:pPr>
        <w:spacing w:line="360" w:lineRule="auto"/>
        <w:rPr>
          <w:rStyle w:val="62"/>
          <w:rFonts w:hAnsi="宋体"/>
          <w:b/>
          <w:color w:val="000000" w:themeColor="text1"/>
          <w:szCs w:val="21"/>
          <w:highlight w:val="none"/>
          <w14:textFill>
            <w14:solidFill>
              <w14:schemeClr w14:val="tx1"/>
            </w14:solidFill>
          </w14:textFill>
        </w:rPr>
      </w:pPr>
      <w:r>
        <w:rPr>
          <w:rStyle w:val="62"/>
          <w:rFonts w:hint="eastAsia" w:hAnsi="宋体"/>
          <w:b/>
          <w:color w:val="000000" w:themeColor="text1"/>
          <w:szCs w:val="21"/>
          <w:highlight w:val="none"/>
          <w14:textFill>
            <w14:solidFill>
              <w14:schemeClr w14:val="tx1"/>
            </w14:solidFill>
          </w14:textFill>
        </w:rPr>
        <w:t>项目内容：</w:t>
      </w:r>
    </w:p>
    <w:p>
      <w:pPr>
        <w:widowControl/>
        <w:spacing w:before="100" w:beforeAutospacing="1" w:after="100" w:afterAutospacing="1"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采购清醒动物脑活动解析系统平台（1套）。</w:t>
      </w:r>
    </w:p>
    <w:p>
      <w:pPr>
        <w:widowControl/>
        <w:spacing w:before="100" w:beforeAutospacing="1" w:after="100" w:afterAutospacing="1" w:line="360" w:lineRule="auto"/>
        <w:ind w:firstLine="422" w:firstLineChars="20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b/>
          <w:color w:val="000000" w:themeColor="text1"/>
          <w:kern w:val="0"/>
          <w:szCs w:val="21"/>
          <w:highlight w:val="none"/>
          <w14:textFill>
            <w14:solidFill>
              <w14:schemeClr w14:val="tx1"/>
            </w14:solidFill>
          </w14:textFill>
        </w:rPr>
        <w:t>项目预算金额：</w:t>
      </w:r>
      <w:r>
        <w:rPr>
          <w:rFonts w:hint="eastAsia" w:ascii="宋体" w:hAnsi="宋体" w:cs="Arial"/>
          <w:color w:val="000000" w:themeColor="text1"/>
          <w:kern w:val="0"/>
          <w:szCs w:val="21"/>
          <w:highlight w:val="none"/>
          <w14:textFill>
            <w14:solidFill>
              <w14:schemeClr w14:val="tx1"/>
            </w14:solidFill>
          </w14:textFill>
        </w:rPr>
        <w:t>26.2万元。</w:t>
      </w:r>
    </w:p>
    <w:p>
      <w:pPr>
        <w:widowControl/>
        <w:spacing w:before="100" w:beforeAutospacing="1" w:after="100" w:afterAutospacing="1" w:line="360" w:lineRule="auto"/>
        <w:ind w:firstLine="422" w:firstLineChars="20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b/>
          <w:color w:val="000000" w:themeColor="text1"/>
          <w:kern w:val="0"/>
          <w:szCs w:val="21"/>
          <w:highlight w:val="none"/>
          <w14:textFill>
            <w14:solidFill>
              <w14:schemeClr w14:val="tx1"/>
            </w14:solidFill>
          </w14:textFill>
        </w:rPr>
        <w:t>超过预算金额的投标不予接受。</w:t>
      </w:r>
    </w:p>
    <w:p>
      <w:pPr>
        <w:widowControl/>
        <w:spacing w:before="100" w:beforeAutospacing="1" w:after="100" w:afterAutospacing="1" w:line="360" w:lineRule="auto"/>
        <w:ind w:firstLine="420" w:firstLineChars="20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具体项目内容、采购范围及所应达到的具体要求，以采购文件“第四章 项目招标需求”为准。</w:t>
      </w:r>
    </w:p>
    <w:p>
      <w:pPr>
        <w:spacing w:line="360" w:lineRule="auto"/>
        <w:rPr>
          <w:rFonts w:ascii="宋体" w:hAnsi="宋体" w:cs="Arial"/>
          <w:color w:val="000000" w:themeColor="text1"/>
          <w:kern w:val="0"/>
          <w:szCs w:val="21"/>
          <w:highlight w:val="none"/>
          <w14:textFill>
            <w14:solidFill>
              <w14:schemeClr w14:val="tx1"/>
            </w14:solidFill>
          </w14:textFill>
        </w:rPr>
      </w:pPr>
      <w:r>
        <w:rPr>
          <w:rStyle w:val="62"/>
          <w:rFonts w:hint="eastAsia" w:hAnsi="宋体"/>
          <w:b/>
          <w:color w:val="000000" w:themeColor="text1"/>
          <w:szCs w:val="21"/>
          <w:highlight w:val="none"/>
          <w14:textFill>
            <w14:solidFill>
              <w14:schemeClr w14:val="tx1"/>
            </w14:solidFill>
          </w14:textFill>
        </w:rPr>
        <w:t>交付</w:t>
      </w:r>
      <w:bookmarkStart w:id="35" w:name="合同期限"/>
      <w:r>
        <w:rPr>
          <w:rStyle w:val="62"/>
          <w:rFonts w:hint="eastAsia" w:hAnsi="宋体"/>
          <w:b/>
          <w:color w:val="000000" w:themeColor="text1"/>
          <w:szCs w:val="21"/>
          <w:highlight w:val="none"/>
          <w14:textFill>
            <w14:solidFill>
              <w14:schemeClr w14:val="tx1"/>
            </w14:solidFill>
          </w14:textFill>
        </w:rPr>
        <w:t>日期：</w:t>
      </w:r>
      <w:bookmarkEnd w:id="35"/>
      <w:r>
        <w:rPr>
          <w:rFonts w:hint="eastAsia" w:ascii="宋体" w:hAnsi="宋体" w:cs="Arial"/>
          <w:color w:val="000000" w:themeColor="text1"/>
          <w:kern w:val="0"/>
          <w:szCs w:val="21"/>
          <w:highlight w:val="none"/>
          <w14:textFill>
            <w14:solidFill>
              <w14:schemeClr w14:val="tx1"/>
            </w14:solidFill>
          </w14:textFill>
        </w:rPr>
        <w:t>签订合同后 30 日内完成全部设备的到货、安装调试及验收等全部工作。</w:t>
      </w:r>
    </w:p>
    <w:p>
      <w:pPr>
        <w:spacing w:line="360" w:lineRule="auto"/>
        <w:rPr>
          <w:rStyle w:val="62"/>
          <w:rFonts w:hAnsi="宋体"/>
          <w:b/>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二、招标人</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采购人：复旦大学</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地址：上海市杨浦区邯郸路220号</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邮编：200433</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电话号码：021-65641327</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联系人：张老师</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采购代理：上海银鑫建设咨询有限公司 </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地址：上海市徐汇区零陵路583号海洋石油大厦1216室</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邮编：200030</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电话号码：021-33312773*802</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传真号码：021-33312773*809</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电子信箱：344605699@qq.com</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联系人：吴佳</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三、合格供应商条件</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1.满足《中华人民共和国政府采购法》第二十二条规定；</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2.落实政府采购政策需满足的资格要求：本项目不属于专门面向中小企业采购的项目；</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3.本项目的特定资格要求：</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3.1投标人具有独立的法人资格；</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3.2投标人须为招标产品的专业制造商（生产商）或经销商；</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3.3采购活动前3年（2017年10月至今）内在经营活动中无重大违法记录；</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3.4投标人未列入“信用中国”网站（www.creditchina.gov.cn）失信被执行人名单、重大税收违法案件当事人名单和“中国政府采购网”网站（www.ccgp.gov.cn）政府采购严重违法失信行为名单；</w:t>
      </w:r>
    </w:p>
    <w:p>
      <w:pPr>
        <w:spacing w:line="360" w:lineRule="auto"/>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3.5单位负责人为同一人或者存在直接控股、管理关系的不同供应商，不得参加同一合同项下的政府采购活动。</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四、招标有关事项</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1、招标答疑会：</w:t>
      </w:r>
      <w:bookmarkStart w:id="36" w:name="招标答疑会"/>
      <w:r>
        <w:rPr>
          <w:rFonts w:hint="eastAsia" w:ascii="宋体" w:hAnsi="宋体"/>
          <w:color w:val="000000" w:themeColor="text1"/>
          <w:szCs w:val="21"/>
          <w:highlight w:val="none"/>
          <w14:textFill>
            <w14:solidFill>
              <w14:schemeClr w14:val="tx1"/>
            </w14:solidFill>
          </w14:textFill>
        </w:rPr>
        <w:t>不召开</w:t>
      </w:r>
      <w:bookmarkEnd w:id="36"/>
      <w:r>
        <w:rPr>
          <w:rFonts w:hint="eastAsia" w:ascii="宋体" w:hAnsi="宋体"/>
          <w:color w:val="000000" w:themeColor="text1"/>
          <w:szCs w:val="21"/>
          <w:highlight w:val="none"/>
          <w14:textFill>
            <w14:solidFill>
              <w14:schemeClr w14:val="tx1"/>
            </w14:solidFill>
          </w14:textFill>
        </w:rPr>
        <w:t>。</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2、踏勘现场：不组织，自行前往。</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3、投标有效期：</w:t>
      </w:r>
      <w:bookmarkStart w:id="37" w:name="投标有效期2"/>
      <w:r>
        <w:rPr>
          <w:rFonts w:ascii="宋体" w:hAnsi="宋体"/>
          <w:color w:val="000000" w:themeColor="text1"/>
          <w:szCs w:val="21"/>
          <w:highlight w:val="none"/>
          <w14:textFill>
            <w14:solidFill>
              <w14:schemeClr w14:val="tx1"/>
            </w14:solidFill>
          </w14:textFill>
        </w:rPr>
        <w:t>90天</w:t>
      </w:r>
      <w:bookmarkEnd w:id="37"/>
      <w:r>
        <w:rPr>
          <w:rFonts w:hint="eastAsia" w:ascii="宋体" w:hAnsi="宋体"/>
          <w:color w:val="000000" w:themeColor="text1"/>
          <w:szCs w:val="21"/>
          <w:highlight w:val="none"/>
          <w14:textFill>
            <w14:solidFill>
              <w14:schemeClr w14:val="tx1"/>
            </w14:solidFill>
          </w14:textFill>
        </w:rPr>
        <w:t>。</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4、投标保证金：本项目投标保证金为0.2万元。</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4.1、保证金递交截止时间： 同投标截止时间 ，以保证金实际到账为准。</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4.2、递交地点：上海市徐汇区零陵路583号海洋石油大厦1216室 。</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4.3、递交方式：转账、汇款、支票或代理单位接受的其他方式。</w:t>
      </w:r>
    </w:p>
    <w:p>
      <w:pPr>
        <w:spacing w:line="360" w:lineRule="auto"/>
        <w:ind w:left="707" w:leftChars="100" w:hanging="497" w:hangingChars="23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4.4、为确保保证金在递交截止时间前到账，通过转账、汇款方式递交保证金的投标人，应在投标截止时间前完成保证金支付，保证金有效期应与投标有效期一致。如投标人通过转账、汇款、支票方式递交保证金的，均应</w:t>
      </w:r>
      <w:r>
        <w:rPr>
          <w:rFonts w:hint="eastAsia" w:ascii="宋体" w:hAnsi="宋体"/>
          <w:b/>
          <w:color w:val="000000" w:themeColor="text1"/>
          <w:szCs w:val="21"/>
          <w:highlight w:val="none"/>
          <w14:textFill>
            <w14:solidFill>
              <w14:schemeClr w14:val="tx1"/>
            </w14:solidFill>
          </w14:textFill>
        </w:rPr>
        <w:t>从投标人基本户中转出</w:t>
      </w:r>
      <w:r>
        <w:rPr>
          <w:rFonts w:hint="eastAsia" w:ascii="宋体" w:hAnsi="宋体"/>
          <w:color w:val="000000" w:themeColor="text1"/>
          <w:szCs w:val="21"/>
          <w:highlight w:val="none"/>
          <w14:textFill>
            <w14:solidFill>
              <w14:schemeClr w14:val="tx1"/>
            </w14:solidFill>
          </w14:textFill>
        </w:rPr>
        <w:t>（转出账号需与投标文件内提供的</w:t>
      </w:r>
      <w:r>
        <w:rPr>
          <w:rFonts w:hint="eastAsia" w:ascii="宋体" w:hAnsi="宋体"/>
          <w:b/>
          <w:color w:val="000000" w:themeColor="text1"/>
          <w:szCs w:val="21"/>
          <w:highlight w:val="none"/>
          <w14:textFill>
            <w14:solidFill>
              <w14:schemeClr w14:val="tx1"/>
            </w14:solidFill>
          </w14:textFill>
        </w:rPr>
        <w:t>基本账户开户许可证</w:t>
      </w:r>
      <w:r>
        <w:rPr>
          <w:rFonts w:hint="eastAsia" w:ascii="宋体" w:hAnsi="宋体"/>
          <w:color w:val="000000" w:themeColor="text1"/>
          <w:szCs w:val="21"/>
          <w:highlight w:val="none"/>
          <w14:textFill>
            <w14:solidFill>
              <w14:schemeClr w14:val="tx1"/>
            </w14:solidFill>
          </w14:textFill>
        </w:rPr>
        <w:t>的账号相一致）</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4.5、投标保证金汇款账号：</w:t>
      </w:r>
    </w:p>
    <w:p>
      <w:pPr>
        <w:spacing w:line="360" w:lineRule="auto"/>
        <w:ind w:left="567" w:leftChars="270" w:firstLine="140" w:firstLineChars="6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户    名：上海银鑫建设咨询有限公司</w:t>
      </w:r>
    </w:p>
    <w:p>
      <w:pPr>
        <w:spacing w:line="360" w:lineRule="auto"/>
        <w:ind w:left="567" w:leftChars="270" w:firstLine="140" w:firstLineChars="6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开户银行：建行上海第五支行    </w:t>
      </w:r>
    </w:p>
    <w:p>
      <w:pPr>
        <w:spacing w:line="360" w:lineRule="auto"/>
        <w:ind w:left="567" w:leftChars="270" w:firstLine="140" w:firstLineChars="6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帐    号：31001505400050017159</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5、投标截止时间: 详见采购公告或延期公告（如果有的话）。</w:t>
      </w:r>
    </w:p>
    <w:p>
      <w:pPr>
        <w:spacing w:line="360" w:lineRule="auto"/>
        <w:ind w:firstLine="283" w:firstLineChars="135"/>
        <w:rPr>
          <w:rFonts w:ascii="宋体" w:hAnsi="宋体"/>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递交投标文件地址：</w:t>
      </w:r>
      <w:r>
        <w:rPr>
          <w:rFonts w:hint="eastAsia"/>
          <w:color w:val="000000" w:themeColor="text1"/>
          <w:szCs w:val="21"/>
          <w:highlight w:val="none"/>
          <w:lang w:eastAsia="zh-CN"/>
          <w14:textFill>
            <w14:solidFill>
              <w14:schemeClr w14:val="tx1"/>
            </w14:solidFill>
          </w14:textFill>
        </w:rPr>
        <w:t>上海市徐汇区零陵路583号海洋石油大厦1206室</w:t>
      </w:r>
      <w:r>
        <w:rPr>
          <w:rFonts w:hint="eastAsia"/>
          <w:color w:val="000000" w:themeColor="text1"/>
          <w:szCs w:val="21"/>
          <w:highlight w:val="none"/>
          <w14:textFill>
            <w14:solidFill>
              <w14:schemeClr w14:val="tx1"/>
            </w14:solidFill>
          </w14:textFill>
        </w:rPr>
        <w:t>。</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6、开标时间和开标地点：</w:t>
      </w:r>
    </w:p>
    <w:p>
      <w:pPr>
        <w:spacing w:line="360" w:lineRule="auto"/>
        <w:ind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开标时间：同投标截止时间</w:t>
      </w:r>
      <w:r>
        <w:rPr>
          <w:rFonts w:hint="eastAsia"/>
          <w:color w:val="000000" w:themeColor="text1"/>
          <w:szCs w:val="21"/>
          <w:highlight w:val="none"/>
          <w14:textFill>
            <w14:solidFill>
              <w14:schemeClr w14:val="tx1"/>
            </w14:solidFill>
          </w14:textFill>
        </w:rPr>
        <w:t>。</w:t>
      </w:r>
    </w:p>
    <w:p>
      <w:pPr>
        <w:spacing w:line="360" w:lineRule="auto"/>
        <w:ind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开标地点：</w:t>
      </w:r>
      <w:r>
        <w:rPr>
          <w:rFonts w:hint="eastAsia"/>
          <w:color w:val="000000" w:themeColor="text1"/>
          <w:szCs w:val="21"/>
          <w:highlight w:val="none"/>
          <w:lang w:eastAsia="zh-CN"/>
          <w14:textFill>
            <w14:solidFill>
              <w14:schemeClr w14:val="tx1"/>
            </w14:solidFill>
          </w14:textFill>
        </w:rPr>
        <w:t>上海市徐汇区零陵路583号海洋石油大厦1206室</w:t>
      </w:r>
      <w:r>
        <w:rPr>
          <w:rFonts w:hint="eastAsia"/>
          <w:color w:val="000000" w:themeColor="text1"/>
          <w:szCs w:val="21"/>
          <w:highlight w:val="none"/>
          <w14:textFill>
            <w14:solidFill>
              <w14:schemeClr w14:val="tx1"/>
            </w14:solidFill>
          </w14:textFill>
        </w:rPr>
        <w:t>。</w:t>
      </w:r>
    </w:p>
    <w:p>
      <w:pPr>
        <w:spacing w:line="360" w:lineRule="auto"/>
        <w:ind w:left="283" w:hanging="283" w:hangingChars="13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7、评标委员会的组建：评标委员会由采购人的代表和上海市政府采购评审专家组成，其中专家的人数不少于评标委员会成员总数的三分之二。</w:t>
      </w:r>
    </w:p>
    <w:p>
      <w:pPr>
        <w:spacing w:line="360" w:lineRule="auto"/>
        <w:ind w:left="283" w:hanging="283" w:hangingChars="13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8、评标方法：详见第五章。</w:t>
      </w:r>
    </w:p>
    <w:p>
      <w:pPr>
        <w:spacing w:line="360" w:lineRule="auto"/>
        <w:ind w:left="283" w:hanging="283" w:hangingChars="13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9、中标人推荐办法：</w:t>
      </w:r>
      <w:bookmarkStart w:id="38" w:name="评标委员会"/>
      <w:r>
        <w:rPr>
          <w:rFonts w:hint="eastAsia" w:ascii="宋体" w:hAnsi="宋体"/>
          <w:color w:val="000000" w:themeColor="text1"/>
          <w:szCs w:val="21"/>
          <w:highlight w:val="none"/>
          <w14:textFill>
            <w14:solidFill>
              <w14:schemeClr w14:val="tx1"/>
            </w14:solidFill>
          </w14:textFill>
        </w:rPr>
        <w:t>本项目评标委员会由5</w:t>
      </w:r>
      <w:r>
        <w:rPr>
          <w:rFonts w:ascii="宋体" w:hAnsi="宋体"/>
          <w:color w:val="000000" w:themeColor="text1"/>
          <w:szCs w:val="21"/>
          <w:highlight w:val="none"/>
          <w14:textFill>
            <w14:solidFill>
              <w14:schemeClr w14:val="tx1"/>
            </w14:solidFill>
          </w14:textFill>
        </w:rPr>
        <w:t>人组成，各评委按照评标办法对每个投标人进行独立评分，按照投标人最终</w:t>
      </w:r>
      <w:r>
        <w:rPr>
          <w:rFonts w:hint="eastAsia" w:ascii="宋体" w:hAnsi="宋体"/>
          <w:color w:val="000000" w:themeColor="text1"/>
          <w:szCs w:val="21"/>
          <w:highlight w:val="none"/>
          <w14:textFill>
            <w14:solidFill>
              <w14:schemeClr w14:val="tx1"/>
            </w14:solidFill>
          </w14:textFill>
        </w:rPr>
        <w:t>平均</w:t>
      </w:r>
      <w:r>
        <w:rPr>
          <w:rFonts w:ascii="宋体" w:hAnsi="宋体"/>
          <w:color w:val="000000" w:themeColor="text1"/>
          <w:szCs w:val="21"/>
          <w:highlight w:val="none"/>
          <w14:textFill>
            <w14:solidFill>
              <w14:schemeClr w14:val="tx1"/>
            </w14:solidFill>
          </w14:textFill>
        </w:rPr>
        <w:t>得分</w:t>
      </w:r>
      <w:r>
        <w:rPr>
          <w:rFonts w:hint="eastAsia" w:ascii="宋体" w:hAnsi="宋体"/>
          <w:color w:val="000000" w:themeColor="text1"/>
          <w:szCs w:val="21"/>
          <w:highlight w:val="none"/>
          <w14:textFill>
            <w14:solidFill>
              <w14:schemeClr w14:val="tx1"/>
            </w14:solidFill>
          </w14:textFill>
        </w:rPr>
        <w:t>情况，推荐最高得分的投标人为</w:t>
      </w:r>
      <w:r>
        <w:rPr>
          <w:rFonts w:ascii="宋体" w:hAnsi="宋体"/>
          <w:color w:val="000000" w:themeColor="text1"/>
          <w:szCs w:val="21"/>
          <w:highlight w:val="none"/>
          <w14:textFill>
            <w14:solidFill>
              <w14:schemeClr w14:val="tx1"/>
            </w14:solidFill>
          </w14:textFill>
        </w:rPr>
        <w:t>中标候选人。</w:t>
      </w:r>
      <w:bookmarkEnd w:id="38"/>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五、其它事项</w:t>
      </w:r>
    </w:p>
    <w:p>
      <w:pPr>
        <w:spacing w:line="360" w:lineRule="auto"/>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付款方法：合同签订，产品到货、安装调试并验收合格后支付合同金额的95%，预留质量保证金为合同价格的5%，质量保证金在验收合格一年后予以结清。</w:t>
      </w:r>
    </w:p>
    <w:p>
      <w:pPr>
        <w:numPr>
          <w:ilvl w:val="255"/>
          <w:numId w:val="0"/>
        </w:numPr>
        <w:spacing w:line="360" w:lineRule="auto"/>
        <w:jc w:val="center"/>
        <w:rPr>
          <w:rFonts w:ascii="宋体"/>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br w:type="page"/>
      </w:r>
      <w:r>
        <w:rPr>
          <w:rFonts w:hint="eastAsia"/>
          <w:b/>
          <w:color w:val="000000" w:themeColor="text1"/>
          <w:sz w:val="24"/>
          <w:highlight w:val="none"/>
          <w14:textFill>
            <w14:solidFill>
              <w14:schemeClr w14:val="tx1"/>
            </w14:solidFill>
          </w14:textFill>
        </w:rPr>
        <w:t>投标人须知</w:t>
      </w:r>
    </w:p>
    <w:p>
      <w:pPr>
        <w:spacing w:before="240" w:beforeLines="100" w:after="240" w:afterLines="100" w:line="360" w:lineRule="auto"/>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一、总则</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1．概述</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1．1 根据《中华人民共和国政府采购法》、《中华人民共和国政府采购法实施条例》等有关法律、法规和规章的规定，本采购项目已具备招标条件。</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1．2 本招标文件仅适用于《采购公告》和《投标人须知》前附表中所述采购项目的招标采购。</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1．3 招标文件的解释权属于《采购公告》和《投标人须知》前附表中所述的招标人。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 参与招标投标活动的所有各方，对在参与招标投标过程中获悉的国家、商业和技术秘密以及其它依法应当保密的内容，均负有保密义务，违者应对由此造成的后果承担全部法律责任。</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2．定义</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2．1 “采购项目”系指《投标人须知》前附表中所述的采购项目。</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2．2 “货物”系指招标文件规定的投标人为完成采购项目所需承担的全部义务。</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2．3 “招标人”系指《投标人须知》前附表中所述的组织本次招标的采购代理机构和采购人。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 “投标人”系指从招标人处按规定获取招标文件，并按照招标文件向招标人提交投标文件的供应商。</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 “中标人”系指中标的投标人。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 “乙方”系指中标并向采购人提供货物的投标人。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2．7 招标文件中凡标有“★”的条款均系实质性要求条款。</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3．合格的投标人</w:t>
      </w:r>
    </w:p>
    <w:p>
      <w:pPr>
        <w:spacing w:line="36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 符合《采购公告》和《投标人须知》前附表中规定的合格投标人所必须具备的资质条件和特定条件。</w:t>
      </w:r>
    </w:p>
    <w:p>
      <w:pPr>
        <w:spacing w:line="36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3．2 投标人投标所使用的资格、信誉、荣誉、业绩及企业认证必须为本法人所拥有。</w:t>
      </w:r>
    </w:p>
    <w:p>
      <w:pPr>
        <w:spacing w:line="36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3．3 被省级或省级以上政府采购监管部门处分，禁止参加政府采购活动且尚在禁止期内的供应商不得参加本采购项目的投标。</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4．合格的货物</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 xml:space="preserve">4．1 投标人所提供的货物应当没有侵犯任何第三方的知识产权、技术秘密等合法权利。 </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4．2 投标人提供的货物应当符合招标文件的要求，并且其质量完全符合国家标准、行业标准或地方标准。</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5．投标费用</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不论投标的结果如何，投标人均应自行承担所有与投标有关的全部费用，招标人在任何情况下均无义务和责任承担这些费用。</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6．信息发布</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本采购项目需要公开的有关信息，包括招标公告、招标文件澄清或修改公告、中标结果公示、未中标通知以及延长投标截止时间等与招标活动有关的通知，招标人均将通过</w:t>
      </w:r>
      <w:r>
        <w:rPr>
          <w:rFonts w:hint="eastAsia" w:ascii="宋体" w:hAnsi="宋体"/>
          <w:bCs/>
          <w:color w:val="000000" w:themeColor="text1"/>
          <w:kern w:val="0"/>
          <w:szCs w:val="21"/>
          <w:highlight w:val="none"/>
          <w14:textFill>
            <w14:solidFill>
              <w14:schemeClr w14:val="tx1"/>
            </w14:solidFill>
          </w14:textFill>
        </w:rPr>
        <w:t>“中国政府采购网（</w:t>
      </w:r>
      <w:r>
        <w:rPr>
          <w:rFonts w:ascii="宋体" w:hAnsi="宋体"/>
          <w:bCs/>
          <w:color w:val="000000" w:themeColor="text1"/>
          <w:kern w:val="0"/>
          <w:szCs w:val="21"/>
          <w:highlight w:val="none"/>
          <w14:textFill>
            <w14:solidFill>
              <w14:schemeClr w14:val="tx1"/>
            </w14:solidFill>
          </w14:textFill>
        </w:rPr>
        <w:t>www.ccgp.gov.cn</w:t>
      </w:r>
      <w:r>
        <w:rPr>
          <w:rFonts w:hint="eastAsia" w:ascii="宋体" w:hAnsi="宋体"/>
          <w:bCs/>
          <w:color w:val="000000" w:themeColor="text1"/>
          <w:kern w:val="0"/>
          <w:szCs w:val="21"/>
          <w:highlight w:val="none"/>
          <w14:textFill>
            <w14:solidFill>
              <w14:schemeClr w14:val="tx1"/>
            </w14:solidFill>
          </w14:textFill>
        </w:rPr>
        <w:t xml:space="preserve"> ）”和“复旦大学信息公开网（</w:t>
      </w:r>
      <w:r>
        <w:rPr>
          <w:rFonts w:ascii="宋体" w:hAnsi="宋体"/>
          <w:bCs/>
          <w:color w:val="000000" w:themeColor="text1"/>
          <w:kern w:val="0"/>
          <w:szCs w:val="21"/>
          <w:highlight w:val="none"/>
          <w14:textFill>
            <w14:solidFill>
              <w14:schemeClr w14:val="tx1"/>
            </w14:solidFill>
          </w14:textFill>
        </w:rPr>
        <w:t>xxgk.fudan.edu.cn</w:t>
      </w:r>
      <w:r>
        <w:rPr>
          <w:rFonts w:hint="eastAsia" w:ascii="宋体" w:hAnsi="宋体"/>
          <w:bCs/>
          <w:color w:val="000000" w:themeColor="text1"/>
          <w:kern w:val="0"/>
          <w:szCs w:val="21"/>
          <w:highlight w:val="none"/>
          <w14:textFill>
            <w14:solidFill>
              <w14:schemeClr w14:val="tx1"/>
            </w14:solidFill>
          </w14:textFill>
        </w:rPr>
        <w:t>）”公开发布</w:t>
      </w:r>
      <w:r>
        <w:rPr>
          <w:rFonts w:hint="eastAsia" w:ascii="宋体"/>
          <w:color w:val="000000" w:themeColor="text1"/>
          <w:szCs w:val="21"/>
          <w:highlight w:val="none"/>
          <w14:textFill>
            <w14:solidFill>
              <w14:schemeClr w14:val="tx1"/>
            </w14:solidFill>
          </w14:textFill>
        </w:rPr>
        <w:t>。投标人在参与本采购项目招投标活动期间，请及时关注以上媒体上的相关信息，投标人因没有及时关注而未能如期获取相关信息，是投标人的风险，招标人对此不承担任何责任。</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7．询问与质疑</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7．1 投标人对招标活动事项有疑问的，可以向招标人提出询问。询问可以采取电话、电子邮件、当面或书面等形式。对投标人的询问，招标人将依法及时作出答复，但答复的内容不涉及商业秘密或者依法应当保密的内容。投标人书面询问需在投标截止日十日前向招标人提出，超过该时间的书面询问将不予回答。</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7．2 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投标人应当在法定质疑期内一次性提出针对同一采购程序环节的质疑，超过次数的质疑将不予受理。以联合体形式参加政府采购活动的，其质疑应当由组成联合体的所有供应商共同提出。</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7．3 投标人可以委托代理人进行质疑。代理人提出质疑应当提交投标人签署的授权委托书，并提供相应的身份证明。授权委托书应当载明代理人的姓名或者名称、代理事项、具体权限、期限和相关事项。投标人为自然人的，应当由本人签字；投标人为法人或者其他组织的，应当由法定代表人、主要负责人签字或者盖章，并加盖公章。</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7．4 质疑应明确阐述招标文件、招标过程或中标结果中使自己合法权益受到损害的实质性内容，提供相关事实、依据和证据及其来源或线索，以便于有关单位调查、答复和处理。</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投标人提出质疑应当提交质疑函和必要的证明材料。质疑函应当包括下列内容：</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（1）供应商的姓名或者名称、地址、邮编、联系人及联系电话</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（2）质疑项目的名称、编号</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（3）具体、明确的质疑事项和与质疑事项相关的请求</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（4）事实依据</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（5）必要的法律依据</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（6）提出质疑的日期</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投标人为自然人的，应当由本人签字；投标人为法人或者其他组织的，应当由法定代表人、主要负责人，或者其授权代表签字或者盖章，并加盖公章。</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质疑函应当按照财政部制定的范本填写，范本格式可通过中国政府采购网（http://</w:t>
      </w:r>
      <w:r>
        <w:rPr>
          <w:color w:val="000000" w:themeColor="text1"/>
          <w:highlight w:val="none"/>
          <w14:textFill>
            <w14:solidFill>
              <w14:schemeClr w14:val="tx1"/>
            </w14:solidFill>
          </w14:textFill>
        </w:rPr>
        <w:t xml:space="preserve"> </w:t>
      </w:r>
      <w:r>
        <w:rPr>
          <w:rFonts w:ascii="宋体"/>
          <w:color w:val="000000" w:themeColor="text1"/>
          <w:szCs w:val="21"/>
          <w:highlight w:val="none"/>
          <w14:textFill>
            <w14:solidFill>
              <w14:schemeClr w14:val="tx1"/>
            </w14:solidFill>
          </w14:textFill>
        </w:rPr>
        <w:t>www.ccgp.gov.cn</w:t>
      </w:r>
      <w:r>
        <w:rPr>
          <w:rFonts w:hint="eastAsia" w:ascii="宋体"/>
          <w:color w:val="000000" w:themeColor="text1"/>
          <w:szCs w:val="21"/>
          <w:highlight w:val="none"/>
          <w14:textFill>
            <w14:solidFill>
              <w14:schemeClr w14:val="tx1"/>
            </w14:solidFill>
          </w14:textFill>
        </w:rPr>
        <w:t xml:space="preserve"> ）右侧的“下载专区”下载。</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7．5 投标人提起询问和质疑，应当按照《政府采购质疑和投诉办法》（财政部令第94号）的规定办理。质疑函或授权委托书的内容不符合《投标人须知》第7.3条和第7.4条规定的，招标人将当场一次性告知投标人需要补正的事项，投标人超过法定质疑期未按要求补正并重新提交的，视为放弃质疑。</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质疑函的递交应当采取当面递交形式，质疑递交地址：上海市徐汇区零陵路583号海洋石油大厦1216室，联系电话：33312773。</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7．6 招标人将在收到投标人的书面质疑后七个工作日内作出答复，并以书面形式通知提出质疑的投标人和其他有关投标人，但答复的内容不涉及商业秘密或者依法应当保密的内容。</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7．7 对投标人询问或质疑的答复将导致招标文件变更或者影响招标活动继续进行的，招标人将通知提出询问或质疑的投标人，并在原招标公告发布媒体上发布变更公告。</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8．公平竞争和诚实信用</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8．1 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pPr>
        <w:spacing w:line="360" w:lineRule="auto"/>
        <w:ind w:firstLine="432"/>
        <w:rPr>
          <w:rFonts w:ascii="华文楷体" w:hAnsi="华文楷体" w:eastAsia="华文楷体"/>
          <w:b/>
          <w:bCs/>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8．2如果有证据表明投标人在本招标项目的竞争中存在腐败、欺诈或其他严重违背公平竞争和诚实信用原则、扰乱政府采购正常秩序的行为，招标人将拒绝其投标，</w:t>
      </w:r>
      <w:r>
        <w:rPr>
          <w:rFonts w:hint="eastAsia" w:ascii="宋体" w:hAnsi="宋体"/>
          <w:color w:val="000000" w:themeColor="text1"/>
          <w:szCs w:val="21"/>
          <w:highlight w:val="none"/>
          <w14:textFill>
            <w14:solidFill>
              <w14:schemeClr w14:val="tx1"/>
            </w14:solidFill>
          </w14:textFill>
        </w:rPr>
        <w:t>并将报告政府采购监管部门查处</w:t>
      </w:r>
      <w:r>
        <w:rPr>
          <w:rFonts w:hint="eastAsia" w:ascii="华文楷体" w:hAnsi="华文楷体" w:eastAsia="华文楷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中标后发现的，中标人须参照《中华人民共和国消费者权益保护法》第55条之条文描述方式双倍赔偿采购人，且民事赔偿并不免除违法投标人的行政与刑事责任。</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9．其他</w:t>
      </w:r>
    </w:p>
    <w:p>
      <w:pPr>
        <w:spacing w:line="360" w:lineRule="auto"/>
        <w:ind w:firstLine="432"/>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本</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投标人须知</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的条款如与</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采购公告</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项目招标需求</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评标办法</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就同一内容的表述不一致的，以</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采购公告</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项目招标需求</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评标办法</w:t>
      </w:r>
      <w:r>
        <w:rPr>
          <w:rFonts w:hint="eastAsia" w:ascii="宋体" w:hAnsi="宋体"/>
          <w:color w:val="000000" w:themeColor="text1"/>
          <w:szCs w:val="21"/>
          <w:highlight w:val="none"/>
          <w14:textFill>
            <w14:solidFill>
              <w14:schemeClr w14:val="tx1"/>
            </w14:solidFill>
          </w14:textFill>
        </w:rPr>
        <w:t>》</w:t>
      </w:r>
      <w:r>
        <w:rPr>
          <w:rFonts w:hint="eastAsia" w:ascii="宋体"/>
          <w:color w:val="000000" w:themeColor="text1"/>
          <w:szCs w:val="21"/>
          <w:highlight w:val="none"/>
          <w14:textFill>
            <w14:solidFill>
              <w14:schemeClr w14:val="tx1"/>
            </w14:solidFill>
          </w14:textFill>
        </w:rPr>
        <w:t>中规定的内容为准。</w:t>
      </w:r>
    </w:p>
    <w:p>
      <w:pPr>
        <w:spacing w:before="240" w:beforeLines="100" w:after="240" w:afterLines="100" w:line="360" w:lineRule="auto"/>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二、招标文件</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10．招标文件构成</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10．1 招标文件由以下部分组成：</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（1）采购公告；</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（2）投标人须知；</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（3）政府采购主要政策；</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（4）项目招标需求；</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（5）评标办法；</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（6）投标文件有关格式；</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（7）合同格式；</w:t>
      </w:r>
    </w:p>
    <w:p>
      <w:pPr>
        <w:spacing w:line="360" w:lineRule="auto"/>
        <w:ind w:firstLine="472" w:firstLineChars="225"/>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（8）本项目招标文件的澄清、答复、修改、补充内容（如有的话）。</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10．2 投标人</w:t>
      </w:r>
      <w:r>
        <w:rPr>
          <w:rFonts w:hint="eastAsia" w:ascii="宋体" w:hAnsi="宋体"/>
          <w:color w:val="000000" w:themeColor="text1"/>
          <w:szCs w:val="21"/>
          <w:highlight w:val="none"/>
          <w14:textFill>
            <w14:solidFill>
              <w14:schemeClr w14:val="tx1"/>
            </w14:solidFill>
          </w14:textFill>
        </w:rPr>
        <w:t>应仔细阅读招标文件的所有内容，并按照招标文件的要求提交投标文件</w:t>
      </w:r>
      <w:r>
        <w:rPr>
          <w:rFonts w:hint="eastAsia" w:ascii="宋体"/>
          <w:color w:val="000000" w:themeColor="text1"/>
          <w:szCs w:val="21"/>
          <w:highlight w:val="none"/>
          <w14:textFill>
            <w14:solidFill>
              <w14:schemeClr w14:val="tx1"/>
            </w14:solidFill>
          </w14:textFill>
        </w:rPr>
        <w:t>。如果投标人没有按照招标文件要求提交全部资料，或者投标文件没有对招标文件在各方面作出实质性响应，则投标有可能被认定为无效标，其风险由投标人自行承担。</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10．3 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10．4 投标人应按照招标文件规定的日程安排，准时参加项目招投标有关活动。</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11．招标文件的澄清和修改</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11．1 任何要求对招标文件进行澄清的投标人，均应在投标截止期15天以前，按《采购公告》中的地址以书面形式（必须加盖投标人单位公章）通知招标人。</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11．2 对在投标截止期15天以前收到的澄清要求，招标人需要对招标文件进行澄清、答复的；或者在投标截止前的任何时候，招标人需要对招标文件进行补充或修改的，招标人将会通过“中国政府采购网（</w:t>
      </w:r>
      <w:r>
        <w:rPr>
          <w:rFonts w:ascii="宋体"/>
          <w:color w:val="000000" w:themeColor="text1"/>
          <w:szCs w:val="21"/>
          <w:highlight w:val="none"/>
          <w14:textFill>
            <w14:solidFill>
              <w14:schemeClr w14:val="tx1"/>
            </w14:solidFill>
          </w14:textFill>
        </w:rPr>
        <w:t>www.ccgp.gov.cn</w:t>
      </w:r>
      <w:r>
        <w:rPr>
          <w:rFonts w:hint="eastAsia" w:ascii="宋体"/>
          <w:color w:val="000000" w:themeColor="text1"/>
          <w:szCs w:val="21"/>
          <w:highlight w:val="none"/>
          <w14:textFill>
            <w14:solidFill>
              <w14:schemeClr w14:val="tx1"/>
            </w14:solidFill>
          </w14:textFill>
        </w:rPr>
        <w:t>）”和“复旦大学信息公开网（</w:t>
      </w:r>
      <w:r>
        <w:rPr>
          <w:rFonts w:ascii="宋体"/>
          <w:color w:val="000000" w:themeColor="text1"/>
          <w:szCs w:val="21"/>
          <w:highlight w:val="none"/>
          <w14:textFill>
            <w14:solidFill>
              <w14:schemeClr w14:val="tx1"/>
            </w14:solidFill>
          </w14:textFill>
        </w:rPr>
        <w:t>xxgk.fudan.edu.cn</w:t>
      </w:r>
      <w:r>
        <w:rPr>
          <w:rFonts w:hint="eastAsia" w:ascii="宋体"/>
          <w:color w:val="000000" w:themeColor="text1"/>
          <w:szCs w:val="21"/>
          <w:highlight w:val="none"/>
          <w14:textFill>
            <w14:solidFill>
              <w14:schemeClr w14:val="tx1"/>
            </w14:solidFill>
          </w14:textFill>
        </w:rPr>
        <w:t>）”以澄清或修改公告形式发布。如果澄清或修改公告发布时间距投标截止时间不足15天的，则相应延长投标截止时间。延长后的具体投标截止时间以最后发布的澄清或修改公告中的规定为准。</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11．3 澄清或修改公告的内容为招标文件的组成部分。当招标文件与澄清或修改公告就同一内容的表述不一致时，以最后发出的文件内容为准。</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11．4 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11．5 招标人召开答疑会的，所有投标人应根据招标文件或者招标人通知的要求参加答疑会。投标人如不参加，其风险由投标人自行承担，招标人不承担任何责任。</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12．踏勘现场</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12．1 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12．2 投标人踏勘现场发生的费用由其自理。</w:t>
      </w:r>
    </w:p>
    <w:p>
      <w:pPr>
        <w:spacing w:line="360" w:lineRule="auto"/>
        <w:ind w:firstLine="420"/>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 xml:space="preserve">12．3 </w:t>
      </w:r>
      <w:r>
        <w:rPr>
          <w:rFonts w:hint="eastAsia" w:ascii="宋体" w:hAnsi="宋体"/>
          <w:color w:val="000000" w:themeColor="text1"/>
          <w:szCs w:val="21"/>
          <w:highlight w:val="none"/>
          <w14:textFill>
            <w14:solidFill>
              <w14:schemeClr w14:val="tx1"/>
            </w14:solidFill>
          </w14:textFill>
        </w:rPr>
        <w:t>招标人在踏勘现场中口头介绍的情况，除招标人事后形成书面记录、并以澄清或修改公告的形式发布、构成招标文件的组成部分以外，其他内容仅供投标人在编制投标文件时参考，招标人不对投标人据此作出的判断和决策负责。</w:t>
      </w:r>
    </w:p>
    <w:p>
      <w:pPr>
        <w:spacing w:before="240" w:beforeLines="100" w:after="240" w:afterLines="100" w:line="360" w:lineRule="auto"/>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三、投标文件</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13．投标文件构成</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13．1投标文件由商务响应文件（包括相关证明文件）和技术响应文件二部分构成。</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13．2 商务响应文件（包括相关证明文件）和技术响应文件具体应包含的内容，以第四章《招标需求》规定为准。</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14．投标的语言及计量单位</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14．1 投标人提交的投标文件以及投标人与招标人就有关投标事宜的所有来往书面文件均应使用中文。除签名、盖章、专用名称等特殊情形外，以中文以外的文字表述的投标文件视同未提供。</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14．2 投标计量单位，招标文件已有明确规定的，使用招标文件规定的计量单位；招标文件没有规定的，一律采用中华人民共和国法定计量单位（货币单位：人民币元）。</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15．投标有效期</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15．1 投标文件应从开标之日起，在《投标须知前附表》规定的投标有效期内有效。投标有效期比招标文件规定短的属于非实质性响应，将被认定为无效投标。</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15．2 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15．3 中标人的投标书作为项目合同的附件，其有效期至中标人全部合同义务履行完毕为止。</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16．商务响应文件</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16．1 商务响应文件由以下部分组成：</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（1）投标函；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（2）开标一览表；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（3）投标报价分类明细表；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（4）资格条件及实质性要求响应表；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（5）与评标有关的投标文件主要内容索引表；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（6）提供近三年（2017年10月至今）无重大违法的声明；</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（7）提供不存在与参加本项目的其它供应商单位负责人为同一人或者存在直接控股、管理关系承诺；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（8）第四章《项目需求》规定的其他内容；</w:t>
      </w:r>
    </w:p>
    <w:p>
      <w:pPr>
        <w:spacing w:line="360" w:lineRule="auto"/>
        <w:ind w:firstLine="420" w:firstLineChars="200"/>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（9）相关证明文件（投标人应按照《招标需求》所规定的内容提交相关证明文件，以证明其有资格参加投标和中标后有能力履行合同）。</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17．投标函</w:t>
      </w:r>
    </w:p>
    <w:p>
      <w:pPr>
        <w:spacing w:line="360" w:lineRule="auto"/>
        <w:ind w:firstLine="420" w:firstLineChars="200"/>
        <w:outlineLvl w:val="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17．1 投标人应按照招标文件中提供的格式完整地填写《投标函》。</w:t>
      </w:r>
    </w:p>
    <w:p>
      <w:pPr>
        <w:spacing w:line="360" w:lineRule="auto"/>
        <w:ind w:firstLine="420" w:firstLineChars="200"/>
        <w:outlineLvl w:val="0"/>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17．2 投标人不按照招标文件中提供的格式填写《投标函》，或者填写不完整的，评标时将按照第五章《评标办法》中的相关规定予以扣分。</w:t>
      </w:r>
    </w:p>
    <w:p>
      <w:pPr>
        <w:spacing w:line="360" w:lineRule="auto"/>
        <w:ind w:firstLine="420" w:firstLineChars="200"/>
        <w:outlineLvl w:val="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17．3 投标文件中未提供《投标函》的，为无效投标。</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18．开标一览表</w:t>
      </w:r>
    </w:p>
    <w:p>
      <w:pPr>
        <w:spacing w:line="360" w:lineRule="auto"/>
        <w:ind w:firstLine="420" w:firstLineChars="200"/>
        <w:outlineLvl w:val="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18．1 投标人应按照招标文件提供的投标文件格式完整地填写开标一览表、报价明细表和报价构成表等，说明其拟提供货物的内容、数量、价格、时间、价格构成等。</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18．2 开标一览表是为了便于招标人开标，开标一览表内容在开标时将当众公布。开标一览表的内容应与投标报价明细表内容一致，不一致时以开标一览表内容为准。</w:t>
      </w:r>
    </w:p>
    <w:p>
      <w:pPr>
        <w:spacing w:line="360" w:lineRule="auto"/>
        <w:ind w:firstLine="420" w:firstLineChars="200"/>
        <w:outlineLvl w:val="0"/>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18．3 投标人不按照招标文件中提供的格式填写开标一览表、填写不完整或者投标文件中未提供开标一览表的，评标时将按照第五章《评标办法》中的相关规定予以扣分。</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19．投标报价</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19．1 投标报价是履行合同的最终价格，除《项目招标需求》中另有说明外，投标报价应包括投标人为完成采购项目而提供货物的一切费用，包括投标人的各种成本、税金、费用和利润。</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19．2 投标人应按照招标文件提供的投标文件格式完整地填写开标一览表、报价明细表和报价构成表等，说明其拟提供货物的内容、数量、价格、时间、价格构成等。</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19．3 除《项目招标需求》中说明并允许外，投标的每一种货物的单项报价以及采购项目的投标总价均只允许有一个报价，任何有选择的报价，招标人均将予以拒绝。</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19．4 投标报价应是固定不变的，不得以任何理由予以变更。任何可变的或者附有条件的投标报价，招标人均将予以拒绝。</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19．5 开标一览表是为了便于招标人开标，开标一览表内容在开标时将当众唱出。开标一览表的内容应与投标报价明细表内容一致，不一致时以开标一览表内容为准。</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19．6 投标应以人民币报价。</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20．资格条件及实质性要求响应表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投标人应当按照招标文件所提供格式，逐项填写并提交《资格条件及实质性要求响应表》，以证明其投标符合招标文件规定的所有合格投标人资格条件及实质性要求。</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21．与评标有关的投标文件主要内容索引表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21．1 投标人应按照招标文件提供的格式完整地填写与评标有关的投标文件主要内容索引表。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21．2 与评标有关的投标文件主要内容索引表是为了便于评标。与评标有关的投标文件主要内容索引表与投标文件其他部分就同一内容的表述应当一致。</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22．技术响应文件</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22．1 投标人应按照《项目招标需求》的要求编制并提交技术响应文件，对招标人的技术需求全面完整地做出响应并编制服务方案，以证明其投标的货物符合招标文件规定。</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22．2 技术响应文件可以是文字资料、表格、图纸和数据等各项资料，其内容应包括但不限于人力、物力等资源的投入以及服务内容、方式、手段、措施、质量保证及建议等。</w:t>
      </w:r>
    </w:p>
    <w:p>
      <w:pPr>
        <w:spacing w:line="360" w:lineRule="auto"/>
        <w:ind w:firstLine="42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22.3 对于“项目招标需求”中加注星号（“★”）的主要技术要求，投标人在其投标文件中必须作出明确、具体的响应性说明（包括可能存在的正、负偏离情况），并提供相应的技术支持资料，否则其投标将被否决。对于“项目招标需求”中加注三角形（“▲”）的重要技术要求，投标人在其投标文件中必须作出明确、具体的响应性说明（包括可能存在的正、负偏离情况），并提供相应的技术支持资料，否则其投标文件在评审时将着重扣分。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软件，投标人也可提供此前完成的类似项目的合同技术规格及最终的性能检验报告作为技术支持资料。上述技术支持资料只能用于印证投标人自称符合而实际不符合的情形，不能用于相反的印证。</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23．相关证明文件</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ascii="宋体"/>
          <w:color w:val="000000" w:themeColor="text1"/>
          <w:szCs w:val="21"/>
          <w:highlight w:val="none"/>
          <w14:textFill>
            <w14:solidFill>
              <w14:schemeClr w14:val="tx1"/>
            </w14:solidFill>
          </w14:textFill>
        </w:rPr>
        <w:t>23．1 相关证明文件由以下部分组成：</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（1）供应商情况简介；</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（2）供应商与采购项目相关的资质证书（如有）；</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（3）法定代表人授权委托书；</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rFonts w:hint="eastAsia"/>
          <w:b/>
          <w:color w:val="000000" w:themeColor="text1"/>
          <w:szCs w:val="21"/>
          <w:highlight w:val="none"/>
          <w14:textFill>
            <w14:solidFill>
              <w14:schemeClr w14:val="tx1"/>
            </w14:solidFill>
          </w14:textFill>
        </w:rPr>
        <w:t>供应商近1个年度的财务报表或经审计的财务报告，及近1个月度的依法缴纳税收和社保费的证明</w:t>
      </w:r>
      <w:r>
        <w:rPr>
          <w:rFonts w:hint="eastAsia"/>
          <w:color w:val="000000" w:themeColor="text1"/>
          <w:szCs w:val="21"/>
          <w:highlight w:val="none"/>
          <w14:textFill>
            <w14:solidFill>
              <w14:schemeClr w14:val="tx1"/>
            </w14:solidFill>
          </w14:textFill>
        </w:rPr>
        <w:t>；</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（5）投标人营业执照或事业单位法人证明；</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（6）自本项目招标公告发布之日起至投标截止之日止，在此期间查询的未列入“信用中国”网站（</w:t>
      </w:r>
      <w:r>
        <w:rPr>
          <w:color w:val="000000" w:themeColor="text1"/>
          <w:szCs w:val="21"/>
          <w:highlight w:val="none"/>
          <w14:textFill>
            <w14:solidFill>
              <w14:schemeClr w14:val="tx1"/>
            </w14:solidFill>
          </w14:textFill>
        </w:rPr>
        <w:t>www.creditchina.gov.cn</w:t>
      </w:r>
      <w:r>
        <w:rPr>
          <w:rFonts w:hint="eastAsia"/>
          <w:color w:val="000000" w:themeColor="text1"/>
          <w:szCs w:val="21"/>
          <w:highlight w:val="none"/>
          <w14:textFill>
            <w14:solidFill>
              <w14:schemeClr w14:val="tx1"/>
            </w14:solidFill>
          </w14:textFill>
        </w:rPr>
        <w:t xml:space="preserve"> ）失信被执行人名单、重大税收违法案件当事人名单和“中国政府采购网”网站（</w:t>
      </w:r>
      <w:r>
        <w:rPr>
          <w:color w:val="000000" w:themeColor="text1"/>
          <w:szCs w:val="21"/>
          <w:highlight w:val="none"/>
          <w14:textFill>
            <w14:solidFill>
              <w14:schemeClr w14:val="tx1"/>
            </w14:solidFill>
          </w14:textFill>
        </w:rPr>
        <w:t>www.ccgp.gov.cn</w:t>
      </w:r>
      <w:r>
        <w:rPr>
          <w:rFonts w:hint="eastAsia"/>
          <w:color w:val="000000" w:themeColor="text1"/>
          <w:szCs w:val="21"/>
          <w:highlight w:val="none"/>
          <w14:textFill>
            <w14:solidFill>
              <w14:schemeClr w14:val="tx1"/>
            </w14:solidFill>
          </w14:textFill>
        </w:rPr>
        <w:t xml:space="preserve"> ）政府采购严重违法失信行为名单的查询页面证明文件；</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（7）投标人基本账户开户许可证；</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（8）投标人质量管理和质量保证体系等方面的认证证书（如有）；</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（9）《中小企业声明函》，节能环保、福利企业等方面的证明或证书（如有）；</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（10）同类及类似项目的业绩（列表，注明项目名称、服务时间、项目负责人等情况，并提供项目合同复印件或委托方评价作为证明，合同复印首、尾页即可）；</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（11）投标人认为可以证明其能力、业绩、信誉和信用的其他相关材料；</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（12）投标人债务纠纷、违法违规记录等方面的情况（如有）。</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ascii="宋体"/>
          <w:color w:val="000000" w:themeColor="text1"/>
          <w:szCs w:val="21"/>
          <w:highlight w:val="none"/>
          <w14:textFill>
            <w14:solidFill>
              <w14:schemeClr w14:val="tx1"/>
            </w14:solidFill>
          </w14:textFill>
        </w:rPr>
        <w:t>23.2 除提供上述证明文件外，投标人应按照《项目招标需求》所规定的内容提交相关证明文件，以证明其有资格参加投标和中标后有能力履行合同。</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24．投标保证金</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24．1 投标人应在招标文件规定的时间内递交投标保证金。</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24．2 本次投标保证金额：详见前附（置）表。</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24．3 投标保证金用于保护本次招标免受因投标人的行为而引起的风险。</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24．4 投标保证金应以转账、汇款或招标代理机构同意接受的其他方式（不接受现金方式）在投标文件递交截止日期前递交，如投标人通过转账、汇款、支票方式递交保证金的，均应从投标人基本户中转出（转出账号需与投标文件内提供的基本账户开户许可证的账号相一致），并请投标人在保证金递交截止日前2天（双休及节假日除外）支付，并与招标代理机构确认保证金确已如数到账。</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24．5 如因投标人通过转账、汇款、支票方式递交保证金，招标代理机构在投标前未收到投标人保证金，进而导致投标人不能正常参加投标事宜的，风险由投标人自行承担。</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24．6 保证金有效期应与投标有效期一致。</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24．7 未按规定提交投标保证金的投标，将被视为无效投标，招标人将予以拒绝。</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24．8 未中标投标人的投标保证金，将按投标人须知予以无息退还。</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24．9 中标投标人的投标保证金，在合同签订后，中标人代表携带中标（成交）通知书、中标（成交）人与招标人签署的加盖双方公章的合同扫描件或复印件到上海市徐汇区零陵路583号海洋石油大厦1216室办理投标保证金退还手续，在5个工作日内予以无息退还。</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24．10 发生以下情况投标保证金将被没收：</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24．10．1 开标后投标人在投标有效期内撤回投标；</w:t>
      </w:r>
    </w:p>
    <w:p>
      <w:pPr>
        <w:spacing w:line="360" w:lineRule="auto"/>
        <w:ind w:firstLine="420" w:firstLineChars="200"/>
        <w:outlineLvl w:val="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24．10．2 中标人未能按招标文件规定签订合同。</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25．投标文件的编制和签署</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25．1 投标人应按照招标文件要求的格式填写相关内容。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25．2 书面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投标人应写明全称。投标文件因字迹潦草或表达不清所引起的后果由投标人自负。</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25．3 投标人应按招标文件规定的内容、格式和顺序编制投标文件。凡招标文件提供有相应格式的，投标文件均应完整的按照招标文件提供的格式打印、填写。投标文件内容不完整、格式不符合导致投标文件被误读、漏读或者查找不到相关内容的，是投标人的责任，投标人需承担其投标在评标时因此被扣分甚至被认定为无效标的风险。</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25．4 建设节约型社会是我国落实科学发展观的一项重大决策，也是政府采购应尽的义务和职责，需要政府采购各方当事人在采购活动中共同践行。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（2）投标文件应规范，应按照规定格式要求规范填写。</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25．5 技术标文字部分统一采用宋体小四号，字符间距为标准间距，行距为1.5倍行距，纸张规格为A4。</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25</w:t>
      </w:r>
      <w:r>
        <w:rPr>
          <w:rFonts w:hint="eastAsia" w:ascii="宋体" w:hAnsi="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6 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投标文件正本和副本的封面上应清楚地标记“正本”或“副本”的字样，正本和副本不一致时，以正本为准。投标文件份数为正本一份，副本四份。</w:t>
      </w:r>
    </w:p>
    <w:p>
      <w:pPr>
        <w:spacing w:before="240" w:beforeLines="100" w:after="240" w:afterLines="100"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四、投标文件的递交</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26．投标文件的递交</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26．1 投标人应将投标文件正本和副本进行密封，标明项目名称、招标编号、投标单位名称，并在封口处加盖投标人公章。</w:t>
      </w:r>
    </w:p>
    <w:p>
      <w:pPr>
        <w:spacing w:line="360" w:lineRule="auto"/>
        <w:ind w:firstLine="480"/>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26．2</w:t>
      </w:r>
      <w:r>
        <w:rPr>
          <w:rFonts w:hint="eastAsia" w:ascii="宋体" w:hAnsi="宋体"/>
          <w:b/>
          <w:color w:val="000000" w:themeColor="text1"/>
          <w:szCs w:val="21"/>
          <w:highlight w:val="none"/>
          <w14:textFill>
            <w14:solidFill>
              <w14:schemeClr w14:val="tx1"/>
            </w14:solidFill>
          </w14:textFill>
        </w:rPr>
        <w:t xml:space="preserve"> 如果未按上述规定进行密封和标记，投标人的投标将被招标人拒绝。</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26．3 除投标人须知前附表另有规定外，投标人所提交的投标文件不予退还。</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26．4 如果投标文件未按投标人须知规定进行封套标记的，招标人将不承担投标文件被误投或提前拆封的责任。</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27．投标截止时间</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27．1 投标人应在投标截止时间前将书面投标文件送至《采购公告》和《投标人须知》内规定的指定地点。</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27．2 在招标人按《投标人须知》规定酌情延长投标截止期的情况下，招标人和投标人受投标截止期制约的所有权利和义务均应延长至新的截止时间。</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27．3 </w:t>
      </w:r>
      <w:r>
        <w:rPr>
          <w:rFonts w:hint="eastAsia" w:ascii="宋体" w:hAnsi="宋体"/>
          <w:b/>
          <w:color w:val="000000" w:themeColor="text1"/>
          <w:szCs w:val="21"/>
          <w:highlight w:val="none"/>
          <w14:textFill>
            <w14:solidFill>
              <w14:schemeClr w14:val="tx1"/>
            </w14:solidFill>
          </w14:textFill>
        </w:rPr>
        <w:t>在投标截止时间后送达的任何投标文件（含样品），招标人均将拒绝接收。</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28．投标文件的修改和撤回</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28．1 投标人在提交投标文件后可对其投标文件进行修改或撤回，但必须在投标截止时间之前递交该修改或撤回的书面通知，该通知须有法人代表或法人代表委托的代理人签章。</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28．2 投标人对投标文件修改的书面材料或撤回的通知应按第25条和26条规定进行编写、密封、标注和递送，并注明“修改投标文件”或“撤回投标”字样。</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28．3 投标截止时间以后不得修改投标文件。</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28．4 投标人不得在开标时间起至投标文件有效期期满前撤回投标文件。否则招标人将按相关的规定没收其投标保证金。</w:t>
      </w:r>
    </w:p>
    <w:p>
      <w:pPr>
        <w:spacing w:before="240" w:beforeLines="100" w:after="240" w:afterLines="100"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五、开标</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29．开标</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29．1 招标人将按《采购公告》或《延期公告》（如果有的话）中规定的时间在《采购公告》和《投标人须知》内规定的指定地点组织公开开标，投标人派代表参加。招标人将在开标时宣读各投标人提交的开标一览表。参加开标仪式的投标人应在招标人编制的开标记录上签字确认。</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29．2 投标人对开标有异议的，应当在开标现场提出，招标人应当当场做出答复，并制作记录。</w:t>
      </w:r>
    </w:p>
    <w:p>
      <w:pPr>
        <w:spacing w:before="240" w:beforeLines="100" w:after="240" w:afterLines="100"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六、资格审查</w:t>
      </w:r>
    </w:p>
    <w:p>
      <w:pPr>
        <w:spacing w:line="360" w:lineRule="auto"/>
        <w:ind w:firstLine="422" w:firstLineChars="200"/>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30．资格审查</w:t>
      </w:r>
    </w:p>
    <w:p>
      <w:pPr>
        <w:spacing w:line="360" w:lineRule="auto"/>
        <w:ind w:firstLine="422" w:firstLineChars="200"/>
        <w:rPr>
          <w:b/>
          <w:color w:val="000000" w:themeColor="text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 xml:space="preserve">30．1 </w:t>
      </w:r>
      <w:r>
        <w:rPr>
          <w:rFonts w:ascii="宋体"/>
          <w:b/>
          <w:color w:val="000000" w:themeColor="text1"/>
          <w:szCs w:val="21"/>
          <w:highlight w:val="none"/>
          <w14:textFill>
            <w14:solidFill>
              <w14:schemeClr w14:val="tx1"/>
            </w14:solidFill>
          </w14:textFill>
        </w:rPr>
        <w:t>开标结束后，招标人将依法对投标人的资格进行审查，审查的内容包括：</w:t>
      </w:r>
    </w:p>
    <w:p>
      <w:pPr>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（1）投标人的资格是否符合本项目采购公告中列明的对合格投标人的资格要求（投标人应按要求提供相关证明材料）；</w:t>
      </w:r>
    </w:p>
    <w:p>
      <w:pPr>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（2）如接受联合投标的，投标联合体有没有提交“联合投标协议书”；</w:t>
      </w:r>
    </w:p>
    <w:p>
      <w:pPr>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（3）投标人是否按招标文件第24条的要求提交了投标保证金（包括投标保证金的金额、形式和有效期等）；</w:t>
      </w:r>
    </w:p>
    <w:p>
      <w:pPr>
        <w:spacing w:line="360" w:lineRule="auto"/>
        <w:ind w:firstLine="422" w:firstLineChars="200"/>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30．2 如果投标人未通过上述资格审查，其投标将被直接否决，不再进入后续评标程序。</w:t>
      </w:r>
    </w:p>
    <w:p>
      <w:pPr>
        <w:spacing w:line="360" w:lineRule="auto"/>
        <w:ind w:firstLine="422" w:firstLineChars="200"/>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30．3 如通过资格审查的投标人数量不足3家，本项目将直接发布评标结果公告（或废标公告），不再启动后续评标程序。</w:t>
      </w:r>
    </w:p>
    <w:p>
      <w:pPr>
        <w:spacing w:before="240" w:beforeLines="100" w:after="240" w:afterLines="100" w:line="360" w:lineRule="auto"/>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七、评标</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31．评标委员会</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31．1 招标人将依法组建评标委员会，评标委员会由采购人的代表和上海市政府采购评审专家组成，其中专家的人数不少于评标委员会成员总数的三分之二。</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 xml:space="preserve">31．2 评标委员会负责对投标文件进行评审和比较，并向招标人推荐中标候选人。 </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32．投标文件的符合性审查</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32．1 在详细评标之前，评标委员会要对投标人提交的投标文件进行符合性审查，审查每份投标文件是否实质性响应了招标文件的要求。实质性响应是指投标文件与招标文件要求的条款是否相符，是否存在招标文件所规定的无效投标情形。包括且不限于如下内容：</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（1）投标文件的内容、密封、签署和盖章情况是否符合本须知第25条的规定；</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（2）投标人承诺的投标有效期是否符合本须知第15条的规定；</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（3）提供了两份以上内容不同的投标文件或对任一报价项提出了可选择的报价（除招标文件允许投备选方案外）；</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（4）不得进行可变的或者附有条件的投标报价；</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（5）投标报价是否超过了本项目采购公告中可能列明的最高限价（含可能有和分项最高限价），或者在未规定最高限价的情况下是否超过了本项目采购公告中列明的采购预算（含可能有的分项预算）；</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（6）投标报价不得低于成本价；</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（7）交付日期是否符合本项目采购公告中列明的时间或期限；</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（8）是否对本项目合同进行转让或分包。</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除上述第（6）点，评标委员会认为投标人的报价明显低于其他通过符合性审查投标人的报价，有可能影响产品质量或者不能诚信履约的，应当要求其在评标现场合理的时间内提供书面说明，必要时提交相关证明材料外，评标委员会只根据投标文件本身的内容来判定投标文件的响应性，而不寻求外部的证据。</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32．2 没有实质性响应招标文件要求的投标文件不参加进一步的评审，投标人不得通过修正或撤销不符合要求的偏离或保留从而使其投标成为实质上响应的投标。</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32．3 对于投标文件中不构成实质性偏差的小的不正规、不一致或不规范的内容，招标人可以接受，但这种接受不能影响评标时投标人之间的相对排序。</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33．投标文件错误的修正</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投标文件中如果有下列计算上或表达上的错误或矛盾，将按以下原则或方法进行修正；其他错误或矛盾，将按不利于出错投标人的原则进行修正：</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（1）开标一览表内容与报价明细表及投标文件其它部分内容不一致的，以开标一览表内容为准；</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（2）投标文件的大写金额和小写金额不一致的，以大写金额为准；</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（3）总价与单价和数量的乘积不一致的，以单价计算结果为准，并修正总价；</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（4）对投标文件中不同文字文本的解释发生异议的，以中文文本为准。</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修正后的结果对投标人具有约束作用，投标人应接受并确认这种修正，否则，其投标将被作为无效投标处理。</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34． 投标文件的澄清</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34．1 为有助于对投标文件审查、评价和比较，评标委员会可分别要求投标人对其投标文件中含义不明确、同类问题表述不一致等有关问题进行澄清。投标人应按照招标人通知的时间和地点委派授权代表向评标委员会作出说明或答复。</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34．2 投标人对澄清问题的说明或答复，必要时还应以书面形式提交给招标人，并应由投标人授权代表签字和加盖投标人公章。</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34．3 投标人的澄清文件是其投标文件的组成部分。</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34．4 投标人的澄清不得改变其投标文件的实质性内容。</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35．投标文件的评价与比较</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35．1 评标委员会只对被确定为实质上响应招标文件要求的投标文件进行评价和比较。</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35．2 评标委员会根据《评标办法》中规定的方法进行评标，并向招标人提交书面评标报告和推荐中标候选人。</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 xml:space="preserve">35.3 </w:t>
      </w:r>
      <w:r>
        <w:rPr>
          <w:rFonts w:hint="eastAsia" w:ascii="宋体"/>
          <w:b/>
          <w:color w:val="000000" w:themeColor="text1"/>
          <w:szCs w:val="21"/>
          <w:highlight w:val="none"/>
          <w14:textFill>
            <w14:solidFill>
              <w14:schemeClr w14:val="tx1"/>
            </w14:solidFill>
          </w14:textFill>
        </w:rPr>
        <w:t>对于列入财政部、国家发展改革委发布的“节能产品政府采购品目清单”的非强制采购节能产品；列入财政部、生态环境部发布的“环境标志产品政府采购品目清单”的产品实施优先采购，在详细评审中，当两家或两家以上投标人最终的评审得分相等时，则提供了由《参与实施政府采购节能产品认证机构名录》和《参与实施政府采购环境标志产品认证机构名录》内认证机构出具的、处于有效期之内的节能产品、环境标志产品认证证书的投标人排序在前（当投标产品为集成产品时，则上述产品价格占比高的投标人排序在前）。</w:t>
      </w:r>
    </w:p>
    <w:p>
      <w:pPr>
        <w:spacing w:line="360" w:lineRule="auto"/>
        <w:ind w:firstLine="420" w:firstLineChars="200"/>
        <w:rPr>
          <w:rFonts w:ascii="宋体"/>
          <w:b/>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35.4</w:t>
      </w:r>
      <w:r>
        <w:rPr>
          <w:rFonts w:hint="eastAsia" w:ascii="宋体"/>
          <w:b/>
          <w:color w:val="000000" w:themeColor="text1"/>
          <w:szCs w:val="21"/>
          <w:highlight w:val="none"/>
          <w14:textFill>
            <w14:solidFill>
              <w14:schemeClr w14:val="tx1"/>
            </w14:solidFill>
          </w14:textFill>
        </w:rPr>
        <w:t xml:space="preserve"> 对列入财政部、国家发展改革委发布的“节能产品政府采购品目清单”且属于应当强制采购的节能（包括节水）产品，按照规定实行强制采购时，符合性审查阶段的否决投标条款中还包含：“对列入国家有关部门最新公布的节能产品政府采购品目清单且要求强制采购的节能（包括节水）产品，投标人未提供由国家确定的认证机构出具的、处于有效期之内的节能产品认证证书的，作否决投标处理。”</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36．评标的有关要求</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36．1 评标委员会应当公平、公正、客观，不带任何倾向性和启发性，评标委员会及有关工作人员不得私下与投标人接触。</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 xml:space="preserve">36．2 </w:t>
      </w:r>
      <w:r>
        <w:rPr>
          <w:rFonts w:hint="eastAsia" w:ascii="宋体" w:hAnsi="宋体"/>
          <w:color w:val="000000" w:themeColor="text1"/>
          <w:szCs w:val="21"/>
          <w:highlight w:val="none"/>
          <w14:textFill>
            <w14:solidFill>
              <w14:schemeClr w14:val="tx1"/>
            </w14:solidFill>
          </w14:textFill>
        </w:rPr>
        <w:t>评标过程严格保密。凡是属于审查、澄清、评价和比较有关的资料以及授标建议等，所有知情人均不得向投标人或其他无关的人员透露。</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36．3 任何单位和个人都不得干扰、影响评标活动的正常进行。</w:t>
      </w:r>
      <w:r>
        <w:rPr>
          <w:rFonts w:hint="eastAsia" w:ascii="宋体" w:hAnsi="宋体"/>
          <w:color w:val="000000" w:themeColor="text1"/>
          <w:szCs w:val="21"/>
          <w:highlight w:val="none"/>
          <w14:textFill>
            <w14:solidFill>
              <w14:schemeClr w14:val="tx1"/>
            </w14:solidFill>
          </w14:textFill>
        </w:rPr>
        <w:t>投标人在评标过程中所进行的试图影响评标结果的一切不符合法律或招标规定的活动，都可能导致其投标被拒绝。</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36．4 招标人和</w:t>
      </w:r>
      <w:r>
        <w:rPr>
          <w:rFonts w:hint="eastAsia" w:ascii="宋体" w:hAnsi="宋体"/>
          <w:color w:val="000000" w:themeColor="text1"/>
          <w:szCs w:val="21"/>
          <w:highlight w:val="none"/>
          <w14:textFill>
            <w14:solidFill>
              <w14:schemeClr w14:val="tx1"/>
            </w14:solidFill>
          </w14:textFill>
        </w:rPr>
        <w:t>评标委员会均无义务向投标人进行任何有关评标的解释。</w:t>
      </w:r>
    </w:p>
    <w:p>
      <w:pPr>
        <w:spacing w:before="240" w:beforeLines="100" w:after="240" w:afterLines="100" w:line="360" w:lineRule="auto"/>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八、定标</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37．确认中标人</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除了《投标人须知》第40条规定的招标失败情况之外，采购人将根据评标委员会推荐的中标候选人及排序情况，依法确认本采购项目的中标人。</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38．中标结果公示及中标和未中标通知</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38．1 采购人确认中标人后，招标人将通过</w:t>
      </w:r>
      <w:r>
        <w:rPr>
          <w:rFonts w:hint="eastAsia" w:ascii="宋体" w:hAnsi="宋体"/>
          <w:bCs/>
          <w:color w:val="000000" w:themeColor="text1"/>
          <w:kern w:val="0"/>
          <w:szCs w:val="21"/>
          <w:highlight w:val="none"/>
          <w14:textFill>
            <w14:solidFill>
              <w14:schemeClr w14:val="tx1"/>
            </w14:solidFill>
          </w14:textFill>
        </w:rPr>
        <w:t>“中国政府采购网（</w:t>
      </w:r>
      <w:r>
        <w:rPr>
          <w:rFonts w:ascii="宋体" w:hAnsi="宋体"/>
          <w:bCs/>
          <w:color w:val="000000" w:themeColor="text1"/>
          <w:kern w:val="0"/>
          <w:szCs w:val="21"/>
          <w:highlight w:val="none"/>
          <w14:textFill>
            <w14:solidFill>
              <w14:schemeClr w14:val="tx1"/>
            </w14:solidFill>
          </w14:textFill>
        </w:rPr>
        <w:t>www.ccgp.gov.cn</w:t>
      </w:r>
      <w:r>
        <w:rPr>
          <w:rFonts w:hint="eastAsia" w:ascii="宋体" w:hAnsi="宋体"/>
          <w:bCs/>
          <w:color w:val="000000" w:themeColor="text1"/>
          <w:kern w:val="0"/>
          <w:szCs w:val="21"/>
          <w:highlight w:val="none"/>
          <w14:textFill>
            <w14:solidFill>
              <w14:schemeClr w14:val="tx1"/>
            </w14:solidFill>
          </w14:textFill>
        </w:rPr>
        <w:t xml:space="preserve"> ）”和“复旦大学信息公开网（</w:t>
      </w:r>
      <w:r>
        <w:rPr>
          <w:rFonts w:ascii="宋体" w:hAnsi="宋体"/>
          <w:bCs/>
          <w:color w:val="000000" w:themeColor="text1"/>
          <w:kern w:val="0"/>
          <w:szCs w:val="21"/>
          <w:highlight w:val="none"/>
          <w14:textFill>
            <w14:solidFill>
              <w14:schemeClr w14:val="tx1"/>
            </w14:solidFill>
          </w14:textFill>
        </w:rPr>
        <w:t>xxgk.fudan.edu.cn</w:t>
      </w:r>
      <w:r>
        <w:rPr>
          <w:rFonts w:hint="eastAsia" w:ascii="宋体" w:hAnsi="宋体"/>
          <w:bCs/>
          <w:color w:val="000000" w:themeColor="text1"/>
          <w:kern w:val="0"/>
          <w:szCs w:val="21"/>
          <w:highlight w:val="none"/>
          <w14:textFill>
            <w14:solidFill>
              <w14:schemeClr w14:val="tx1"/>
            </w14:solidFill>
          </w14:textFill>
        </w:rPr>
        <w:t>）”对中标结果进行公示，公示期为1个工作日</w:t>
      </w:r>
      <w:r>
        <w:rPr>
          <w:rFonts w:hint="eastAsia" w:ascii="宋体"/>
          <w:color w:val="000000" w:themeColor="text1"/>
          <w:szCs w:val="21"/>
          <w:highlight w:val="none"/>
          <w14:textFill>
            <w14:solidFill>
              <w14:schemeClr w14:val="tx1"/>
            </w14:solidFill>
          </w14:textFill>
        </w:rPr>
        <w:t>。</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38．2 在公告中标结果的同时，采购人或者采购代理机构向中标人发出《中标通知书》，《中标通知书》对招标人和投标人均具有法律约束力。</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38．3 对未通过资格审查的投标人，将告知其未通过的原因；采用综合评分法评审的，将告知未中标人本人的评审得分与排序。</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 xml:space="preserve">38．4 </w:t>
      </w:r>
      <w:r>
        <w:rPr>
          <w:rFonts w:hint="eastAsia" w:ascii="宋体" w:hAnsi="宋体"/>
          <w:bCs/>
          <w:color w:val="000000" w:themeColor="text1"/>
          <w:kern w:val="0"/>
          <w:szCs w:val="21"/>
          <w:highlight w:val="none"/>
          <w14:textFill>
            <w14:solidFill>
              <w14:schemeClr w14:val="tx1"/>
            </w14:solidFill>
          </w14:textFill>
        </w:rPr>
        <w:t>中标结果公示同时也是对其他</w:t>
      </w:r>
      <w:r>
        <w:rPr>
          <w:rFonts w:hint="eastAsia" w:ascii="宋体"/>
          <w:color w:val="000000" w:themeColor="text1"/>
          <w:szCs w:val="21"/>
          <w:highlight w:val="none"/>
          <w14:textFill>
            <w14:solidFill>
              <w14:schemeClr w14:val="tx1"/>
            </w14:solidFill>
          </w14:textFill>
        </w:rPr>
        <w:t>未中标投标人的未中标通知。</w:t>
      </w:r>
      <w:r>
        <w:rPr>
          <w:rFonts w:hint="eastAsia" w:ascii="宋体" w:hAnsi="宋体"/>
          <w:bCs/>
          <w:color w:val="000000" w:themeColor="text1"/>
          <w:kern w:val="0"/>
          <w:szCs w:val="21"/>
          <w:highlight w:val="none"/>
          <w14:textFill>
            <w14:solidFill>
              <w14:schemeClr w14:val="tx1"/>
            </w14:solidFill>
          </w14:textFill>
        </w:rPr>
        <w:t>中标结果公示后</w:t>
      </w:r>
      <w:r>
        <w:rPr>
          <w:rFonts w:hint="eastAsia" w:ascii="宋体"/>
          <w:color w:val="000000" w:themeColor="text1"/>
          <w:szCs w:val="21"/>
          <w:highlight w:val="none"/>
          <w14:textFill>
            <w14:solidFill>
              <w14:schemeClr w14:val="tx1"/>
            </w14:solidFill>
          </w14:textFill>
        </w:rPr>
        <w:t>，未中标的投标人可执授权委托书领取本单位的《未中标结果通知》，同时可按《投标人须知》第24条的规定退还其投标保证金。</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39．投标文件的处理</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所有在开标会上接受并唱出的投标文件都将作为档案保存,不论中标与否，招标人均不退回投标文件。</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40．招标失败</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在投标截止时间结束后，参加投标的投标人不足三家的；或者在评标时，符合专业条件的投标人或对招标文件作出实质响应的投标人不足三家，评标委员会认为缺乏竞争性、确定为招标失败的，招标人将通过</w:t>
      </w:r>
      <w:r>
        <w:rPr>
          <w:rFonts w:hint="eastAsia" w:ascii="宋体" w:hAnsi="宋体"/>
          <w:bCs/>
          <w:color w:val="000000" w:themeColor="text1"/>
          <w:kern w:val="0"/>
          <w:szCs w:val="21"/>
          <w:highlight w:val="none"/>
          <w14:textFill>
            <w14:solidFill>
              <w14:schemeClr w14:val="tx1"/>
            </w14:solidFill>
          </w14:textFill>
        </w:rPr>
        <w:t>“中国政府采购网（</w:t>
      </w:r>
      <w:r>
        <w:rPr>
          <w:rFonts w:ascii="宋体" w:hAnsi="宋体"/>
          <w:bCs/>
          <w:color w:val="000000" w:themeColor="text1"/>
          <w:kern w:val="0"/>
          <w:szCs w:val="21"/>
          <w:highlight w:val="none"/>
          <w14:textFill>
            <w14:solidFill>
              <w14:schemeClr w14:val="tx1"/>
            </w14:solidFill>
          </w14:textFill>
        </w:rPr>
        <w:t>www.ccgp.gov.cn</w:t>
      </w:r>
      <w:r>
        <w:rPr>
          <w:rFonts w:hint="eastAsia" w:ascii="宋体" w:hAnsi="宋体"/>
          <w:bCs/>
          <w:color w:val="000000" w:themeColor="text1"/>
          <w:kern w:val="0"/>
          <w:szCs w:val="21"/>
          <w:highlight w:val="none"/>
          <w14:textFill>
            <w14:solidFill>
              <w14:schemeClr w14:val="tx1"/>
            </w14:solidFill>
          </w14:textFill>
        </w:rPr>
        <w:t xml:space="preserve"> ）”和“复旦大学信息公开网（</w:t>
      </w:r>
      <w:r>
        <w:rPr>
          <w:rFonts w:ascii="宋体" w:hAnsi="宋体"/>
          <w:bCs/>
          <w:color w:val="000000" w:themeColor="text1"/>
          <w:kern w:val="0"/>
          <w:szCs w:val="21"/>
          <w:highlight w:val="none"/>
          <w14:textFill>
            <w14:solidFill>
              <w14:schemeClr w14:val="tx1"/>
            </w14:solidFill>
          </w14:textFill>
        </w:rPr>
        <w:t>xxgk.fudan.edu.cn</w:t>
      </w:r>
      <w:r>
        <w:rPr>
          <w:rFonts w:hint="eastAsia" w:ascii="宋体" w:hAnsi="宋体"/>
          <w:bCs/>
          <w:color w:val="000000" w:themeColor="text1"/>
          <w:kern w:val="0"/>
          <w:szCs w:val="21"/>
          <w:highlight w:val="none"/>
          <w14:textFill>
            <w14:solidFill>
              <w14:schemeClr w14:val="tx1"/>
            </w14:solidFill>
          </w14:textFill>
        </w:rPr>
        <w:t>）”发布招标失败公告。</w:t>
      </w:r>
    </w:p>
    <w:p>
      <w:pPr>
        <w:spacing w:before="240" w:beforeLines="100" w:after="240" w:afterLines="100" w:line="360" w:lineRule="auto"/>
        <w:rPr>
          <w:rFonts w:ascii="宋体"/>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九、授予合同</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41．合同授予</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除了中标人无法履行合同义务之外，招标人将把合同授予根据《投标人须知》第37条规定所确定的中标人</w:t>
      </w:r>
      <w:r>
        <w:rPr>
          <w:rFonts w:hint="eastAsia" w:ascii="宋体" w:hAnsi="宋体"/>
          <w:color w:val="000000" w:themeColor="text1"/>
          <w:szCs w:val="21"/>
          <w:highlight w:val="none"/>
          <w14:textFill>
            <w14:solidFill>
              <w14:schemeClr w14:val="tx1"/>
            </w14:solidFill>
          </w14:textFill>
        </w:rPr>
        <w:t>。</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42．签订合同</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42．1 中标人与采购人应当在《中标通知书》发出之日起30日内签订采购合同。</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42．2 中标人应根据合同条款的规定，按照招标文件中提供的履约保证金格式向采购人提交履约保证金。</w:t>
      </w:r>
    </w:p>
    <w:p>
      <w:pPr>
        <w:spacing w:line="360" w:lineRule="auto"/>
        <w:ind w:firstLine="422" w:firstLineChars="20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43.其他</w:t>
      </w:r>
    </w:p>
    <w:p>
      <w:pPr>
        <w:spacing w:line="36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43.1 中标人应在领取到中标通知书时向招标代理方支付招标服务费，招标服务费以中标金额为基准，按标准收费（计价格[2002]1980号文）下浮33.27%计取。</w:t>
      </w:r>
    </w:p>
    <w:p>
      <w:pPr>
        <w:rPr>
          <w:color w:val="000000" w:themeColor="text1"/>
          <w:highlight w:val="none"/>
          <w14:textFill>
            <w14:solidFill>
              <w14:schemeClr w14:val="tx1"/>
            </w14:solidFill>
          </w14:textFill>
        </w:rPr>
      </w:pPr>
    </w:p>
    <w:p>
      <w:pPr>
        <w:snapToGrid w:val="0"/>
        <w:spacing w:before="240" w:beforeLines="100" w:after="240" w:afterLines="100"/>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第三章 政府采购主要政策</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根据政府采购法，政府采购应当有助于实现国家的经济和社会发展政策目标，包括保护环境，扶持不发达地区和少数民族地区，促进中小企业发展等。对列入</w:t>
      </w:r>
      <w:r>
        <w:rPr>
          <w:rFonts w:hint="eastAsia" w:ascii="宋体" w:hAnsi="宋体"/>
          <w:bCs/>
          <w:color w:val="000000" w:themeColor="text1"/>
          <w:szCs w:val="21"/>
          <w:highlight w:val="none"/>
          <w14:textFill>
            <w14:solidFill>
              <w14:schemeClr w14:val="tx1"/>
            </w14:solidFill>
          </w14:textFill>
        </w:rPr>
        <w:t>财政部、国家发展改革委发布的</w:t>
      </w:r>
      <w:r>
        <w:rPr>
          <w:rFonts w:hint="eastAsia" w:ascii="宋体" w:hAnsi="宋体"/>
          <w:color w:val="000000" w:themeColor="text1"/>
          <w:szCs w:val="21"/>
          <w:highlight w:val="none"/>
          <w14:textFill>
            <w14:solidFill>
              <w14:schemeClr w14:val="tx1"/>
            </w14:solidFill>
          </w14:textFill>
        </w:rPr>
        <w:t>“节能产品政府采购品目清单（财库〔2019〕19号）”且属于应当强制采购的节能（包括节水）产品，按照规定实行强制采购。对于列入</w:t>
      </w:r>
      <w:r>
        <w:rPr>
          <w:rFonts w:hint="eastAsia" w:ascii="宋体" w:hAnsi="宋体"/>
          <w:bCs/>
          <w:color w:val="000000" w:themeColor="text1"/>
          <w:szCs w:val="21"/>
          <w:highlight w:val="none"/>
          <w14:textFill>
            <w14:solidFill>
              <w14:schemeClr w14:val="tx1"/>
            </w14:solidFill>
          </w14:textFill>
        </w:rPr>
        <w:t>财政部、国家发展改革委发布的</w:t>
      </w:r>
      <w:r>
        <w:rPr>
          <w:rFonts w:hint="eastAsia" w:ascii="宋体" w:hAnsi="宋体"/>
          <w:color w:val="000000" w:themeColor="text1"/>
          <w:szCs w:val="21"/>
          <w:highlight w:val="none"/>
          <w14:textFill>
            <w14:solidFill>
              <w14:schemeClr w14:val="tx1"/>
            </w14:solidFill>
          </w14:textFill>
        </w:rPr>
        <w:t>“节能产品政府采购品目清单（财库〔2019〕19号）”的非强制采购节能产品；列入</w:t>
      </w:r>
      <w:r>
        <w:rPr>
          <w:rFonts w:hint="eastAsia" w:ascii="宋体" w:hAnsi="宋体"/>
          <w:bCs/>
          <w:color w:val="000000" w:themeColor="text1"/>
          <w:szCs w:val="21"/>
          <w:highlight w:val="none"/>
          <w14:textFill>
            <w14:solidFill>
              <w14:schemeClr w14:val="tx1"/>
            </w14:solidFill>
          </w14:textFill>
        </w:rPr>
        <w:t>财政部、生态环境部发布的</w:t>
      </w:r>
      <w:r>
        <w:rPr>
          <w:rFonts w:hint="eastAsia" w:ascii="宋体" w:hAnsi="宋体"/>
          <w:color w:val="000000" w:themeColor="text1"/>
          <w:szCs w:val="21"/>
          <w:highlight w:val="none"/>
          <w14:textFill>
            <w14:solidFill>
              <w14:schemeClr w14:val="tx1"/>
            </w14:solidFill>
          </w14:textFill>
        </w:rPr>
        <w:t>“环境标志产品政府采购品目清单（财库〔2019〕18号）”的产品；对于参与投标的中小企业以及经县级以上人民政府民政部门认定、获得福利企业证书的企业，按照国家和上海市的有关政策规定，评标时在同等条件下享受优先待遇，实行优先采购。</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上述“节能产品政府采购品目清单”、“</w:t>
      </w: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环境标志产品政府采购品目清单”所涉及的产品依据国家确定的认证机构（即《市场监管总局关于发布参与实施政府采购节能产品、环境标志产品认证机构名录的公告》2020年第16号）出具的、处于有效期之内的节能产品、环境标志产品认证证书或者在中国政府采购网（www.ccgp.gov.cn）节能产品、环境标志产品认证结果信息发布平台所查询到的产品信息作为评标时的依据。</w:t>
      </w:r>
    </w:p>
    <w:p>
      <w:pPr>
        <w:spacing w:line="480" w:lineRule="auto"/>
        <w:ind w:firstLine="420" w:firstLineChars="200"/>
        <w:rPr>
          <w:rFonts w:asci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如果有国家或者上海市规定政府采购应当强制采购或优先采购的其他产品和服务，按照其规定实行强制采购或优先采购。</w:t>
      </w:r>
    </w:p>
    <w:p>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政府采购对于非专门面向中小企业采购，对小型和微型企业投标人产品的价格给予6%的扣除，用扣除后的价格参与评审。如果政府采购非专门面向中小企业采购且接受联合体投标，联合协议中约定小型或微型企业的协议合同金额占到联合体协议合同总金额30%以上的，给予联合体2%的价格扣除，用扣除后的价格参与评审。联合体各方均为小型或微型企业的，联合体视同为小型、微型企业。组成联合体的大中型企业或者其他自然人、法人或其他组织，与小型、微型企业之间不得存在投资关系。一旦投标人中标，则将在中标公告中公告其声明函，接受社会监督，若提供声明函与事实不符的，将依据《中华人民共和国政府采购法》第七十七条第一款的规定追究其法律责任。（本项目不接受联合体投标）</w:t>
      </w:r>
    </w:p>
    <w:p>
      <w:pPr>
        <w:spacing w:line="480" w:lineRule="auto"/>
        <w:ind w:firstLine="482" w:firstLineChars="200"/>
        <w:rPr>
          <w:rFonts w:ascii="楷体_GB2312" w:eastAsia="楷体_GB2312"/>
          <w:b/>
          <w:color w:val="000000" w:themeColor="text1"/>
          <w:sz w:val="24"/>
          <w:highlight w:val="none"/>
          <w14:textFill>
            <w14:solidFill>
              <w14:schemeClr w14:val="tx1"/>
            </w14:solidFill>
          </w14:textFill>
        </w:rPr>
      </w:pPr>
    </w:p>
    <w:p>
      <w:pPr>
        <w:snapToGrid w:val="0"/>
        <w:spacing w:before="120" w:beforeLines="50" w:after="120" w:afterLines="50" w:line="380" w:lineRule="exact"/>
        <w:jc w:val="center"/>
        <w:rPr>
          <w:rFonts w:ascii="宋体" w:hAnsi="宋体"/>
          <w:b/>
          <w:color w:val="000000" w:themeColor="text1"/>
          <w:szCs w:val="21"/>
          <w:highlight w:val="none"/>
          <w14:textFill>
            <w14:solidFill>
              <w14:schemeClr w14:val="tx1"/>
            </w14:solidFill>
          </w14:textFill>
        </w:rPr>
        <w:sectPr>
          <w:headerReference r:id="rId6" w:type="default"/>
          <w:footerReference r:id="rId7" w:type="default"/>
          <w:pgSz w:w="11906" w:h="16838"/>
          <w:pgMar w:top="1440" w:right="1797" w:bottom="1440" w:left="1797" w:header="851" w:footer="992" w:gutter="0"/>
          <w:pgNumType w:start="1"/>
          <w:cols w:space="720" w:num="1"/>
          <w:docGrid w:linePitch="312" w:charSpace="0"/>
        </w:sectPr>
      </w:pPr>
    </w:p>
    <w:p>
      <w:pPr>
        <w:snapToGrid w:val="0"/>
        <w:spacing w:before="120" w:beforeLines="50" w:after="120" w:afterLines="50" w:line="38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第四章  项目</w:t>
      </w:r>
      <w:r>
        <w:rPr>
          <w:rFonts w:hint="eastAsia" w:ascii="宋体" w:hAnsi="宋体"/>
          <w:b/>
          <w:bCs/>
          <w:color w:val="000000" w:themeColor="text1"/>
          <w:szCs w:val="21"/>
          <w:highlight w:val="none"/>
          <w14:textFill>
            <w14:solidFill>
              <w14:schemeClr w14:val="tx1"/>
            </w14:solidFill>
          </w14:textFill>
        </w:rPr>
        <w:t>招</w:t>
      </w:r>
      <w:r>
        <w:rPr>
          <w:rFonts w:hint="eastAsia" w:ascii="宋体" w:hAnsi="宋体"/>
          <w:b/>
          <w:color w:val="000000" w:themeColor="text1"/>
          <w:szCs w:val="21"/>
          <w:highlight w:val="none"/>
          <w14:textFill>
            <w14:solidFill>
              <w14:schemeClr w14:val="tx1"/>
            </w14:solidFill>
          </w14:textFill>
        </w:rPr>
        <w:t>标需求</w:t>
      </w:r>
    </w:p>
    <w:p>
      <w:pPr>
        <w:spacing w:before="120" w:beforeLines="50" w:after="120" w:afterLines="50" w:line="360" w:lineRule="auto"/>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第一部分  货物需求一览表</w:t>
      </w:r>
    </w:p>
    <w:tbl>
      <w:tblPr>
        <w:tblStyle w:val="33"/>
        <w:tblW w:w="823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4394"/>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91" w:type="dxa"/>
            <w:noWrap/>
            <w:vAlign w:val="center"/>
          </w:tcPr>
          <w:p>
            <w:pPr>
              <w:widowControl/>
              <w:jc w:val="center"/>
              <w:rPr>
                <w:rFonts w:ascii="方正姚体" w:hAnsi="宋体" w:eastAsia="方正姚体" w:cs="宋体"/>
                <w:color w:val="000000" w:themeColor="text1"/>
                <w:kern w:val="0"/>
                <w:sz w:val="20"/>
                <w:szCs w:val="20"/>
                <w:highlight w:val="none"/>
                <w14:textFill>
                  <w14:solidFill>
                    <w14:schemeClr w14:val="tx1"/>
                  </w14:solidFill>
                </w14:textFill>
              </w:rPr>
            </w:pPr>
            <w:r>
              <w:rPr>
                <w:rFonts w:hint="eastAsia" w:ascii="方正姚体" w:hAnsi="宋体" w:eastAsia="方正姚体" w:cs="宋体"/>
                <w:color w:val="000000" w:themeColor="text1"/>
                <w:kern w:val="0"/>
                <w:sz w:val="20"/>
                <w:szCs w:val="20"/>
                <w:highlight w:val="none"/>
                <w14:textFill>
                  <w14:solidFill>
                    <w14:schemeClr w14:val="tx1"/>
                  </w14:solidFill>
                </w14:textFill>
              </w:rPr>
              <w:t>序号</w:t>
            </w:r>
          </w:p>
        </w:tc>
        <w:tc>
          <w:tcPr>
            <w:tcW w:w="4394" w:type="dxa"/>
            <w:noWrap/>
            <w:vAlign w:val="center"/>
          </w:tcPr>
          <w:p>
            <w:pPr>
              <w:widowControl/>
              <w:jc w:val="center"/>
              <w:rPr>
                <w:rFonts w:ascii="方正姚体" w:hAnsi="宋体" w:eastAsia="方正姚体" w:cs="宋体"/>
                <w:color w:val="000000" w:themeColor="text1"/>
                <w:kern w:val="0"/>
                <w:sz w:val="20"/>
                <w:szCs w:val="20"/>
                <w:highlight w:val="none"/>
                <w14:textFill>
                  <w14:solidFill>
                    <w14:schemeClr w14:val="tx1"/>
                  </w14:solidFill>
                </w14:textFill>
              </w:rPr>
            </w:pPr>
            <w:r>
              <w:rPr>
                <w:rFonts w:hint="eastAsia" w:ascii="方正姚体" w:hAnsi="宋体" w:eastAsia="方正姚体" w:cs="宋体"/>
                <w:color w:val="000000" w:themeColor="text1"/>
                <w:kern w:val="0"/>
                <w:sz w:val="20"/>
                <w:szCs w:val="20"/>
                <w:highlight w:val="none"/>
                <w14:textFill>
                  <w14:solidFill>
                    <w14:schemeClr w14:val="tx1"/>
                  </w14:solidFill>
                </w14:textFill>
              </w:rPr>
              <w:t>设备名称</w:t>
            </w:r>
          </w:p>
        </w:tc>
        <w:tc>
          <w:tcPr>
            <w:tcW w:w="1276" w:type="dxa"/>
            <w:noWrap/>
            <w:vAlign w:val="center"/>
          </w:tcPr>
          <w:p>
            <w:pPr>
              <w:widowControl/>
              <w:jc w:val="center"/>
              <w:rPr>
                <w:rFonts w:ascii="方正姚体" w:hAnsi="宋体" w:eastAsia="方正姚体" w:cs="宋体"/>
                <w:color w:val="000000" w:themeColor="text1"/>
                <w:kern w:val="0"/>
                <w:sz w:val="20"/>
                <w:szCs w:val="20"/>
                <w:highlight w:val="none"/>
                <w14:textFill>
                  <w14:solidFill>
                    <w14:schemeClr w14:val="tx1"/>
                  </w14:solidFill>
                </w14:textFill>
              </w:rPr>
            </w:pPr>
            <w:r>
              <w:rPr>
                <w:rFonts w:hint="eastAsia" w:ascii="方正姚体" w:hAnsi="宋体" w:eastAsia="方正姚体" w:cs="宋体"/>
                <w:color w:val="000000" w:themeColor="text1"/>
                <w:kern w:val="0"/>
                <w:sz w:val="20"/>
                <w:szCs w:val="20"/>
                <w:highlight w:val="none"/>
                <w14:textFill>
                  <w14:solidFill>
                    <w14:schemeClr w14:val="tx1"/>
                  </w14:solidFill>
                </w14:textFill>
              </w:rPr>
              <w:t>单位</w:t>
            </w:r>
          </w:p>
        </w:tc>
        <w:tc>
          <w:tcPr>
            <w:tcW w:w="1276" w:type="dxa"/>
            <w:noWrap/>
            <w:vAlign w:val="center"/>
          </w:tcPr>
          <w:p>
            <w:pPr>
              <w:widowControl/>
              <w:jc w:val="center"/>
              <w:rPr>
                <w:rFonts w:ascii="方正姚体" w:hAnsi="宋体" w:eastAsia="方正姚体" w:cs="宋体"/>
                <w:color w:val="000000" w:themeColor="text1"/>
                <w:kern w:val="0"/>
                <w:sz w:val="20"/>
                <w:szCs w:val="20"/>
                <w:highlight w:val="none"/>
                <w14:textFill>
                  <w14:solidFill>
                    <w14:schemeClr w14:val="tx1"/>
                  </w14:solidFill>
                </w14:textFill>
              </w:rPr>
            </w:pPr>
            <w:r>
              <w:rPr>
                <w:rFonts w:hint="eastAsia" w:ascii="方正姚体" w:hAnsi="宋体" w:eastAsia="方正姚体" w:cs="宋体"/>
                <w:color w:val="000000" w:themeColor="text1"/>
                <w:kern w:val="0"/>
                <w:sz w:val="20"/>
                <w:szCs w:val="20"/>
                <w:highlight w:val="none"/>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91" w:type="dxa"/>
            <w:vAlign w:val="center"/>
          </w:tcPr>
          <w:p>
            <w:pPr>
              <w:pStyle w:val="151"/>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1</w:t>
            </w:r>
          </w:p>
        </w:tc>
        <w:tc>
          <w:tcPr>
            <w:tcW w:w="4394" w:type="dxa"/>
            <w:noWrap/>
            <w:vAlign w:val="center"/>
          </w:tcPr>
          <w:p>
            <w:pPr>
              <w:pStyle w:val="151"/>
              <w:jc w:val="center"/>
              <w:rPr>
                <w:rFonts w:ascii="Times New Roman" w:hAnsi="Times New Roman"/>
                <w:color w:val="000000" w:themeColor="text1"/>
                <w:highlight w:val="none"/>
                <w:lang w:eastAsia="zh-CN"/>
                <w14:textFill>
                  <w14:solidFill>
                    <w14:schemeClr w14:val="tx1"/>
                  </w14:solidFill>
                </w14:textFill>
              </w:rPr>
            </w:pPr>
            <w:r>
              <w:rPr>
                <w:rFonts w:hint="eastAsia" w:ascii="Times New Roman" w:hAnsi="Times New Roman"/>
                <w:color w:val="000000" w:themeColor="text1"/>
                <w:highlight w:val="none"/>
                <w:lang w:eastAsia="zh-CN"/>
                <w14:textFill>
                  <w14:solidFill>
                    <w14:schemeClr w14:val="tx1"/>
                  </w14:solidFill>
                </w14:textFill>
              </w:rPr>
              <w:t>清醒动物脑活动解析系统平台</w:t>
            </w:r>
          </w:p>
        </w:tc>
        <w:tc>
          <w:tcPr>
            <w:tcW w:w="1276" w:type="dxa"/>
            <w:noWrap/>
            <w:vAlign w:val="center"/>
          </w:tcPr>
          <w:p>
            <w:pPr>
              <w:pStyle w:val="151"/>
              <w:jc w:val="center"/>
              <w:rPr>
                <w:rFonts w:ascii="Times New Roman" w:hAnsi="Times New Roman"/>
                <w:color w:val="000000" w:themeColor="text1"/>
                <w:highlight w:val="none"/>
                <w:lang w:eastAsia="zh-CN"/>
                <w14:textFill>
                  <w14:solidFill>
                    <w14:schemeClr w14:val="tx1"/>
                  </w14:solidFill>
                </w14:textFill>
              </w:rPr>
            </w:pPr>
            <w:r>
              <w:rPr>
                <w:rFonts w:hint="eastAsia" w:ascii="Times New Roman" w:hAnsi="Times New Roman"/>
                <w:color w:val="000000" w:themeColor="text1"/>
                <w:highlight w:val="none"/>
                <w:lang w:eastAsia="zh-CN"/>
                <w14:textFill>
                  <w14:solidFill>
                    <w14:schemeClr w14:val="tx1"/>
                  </w14:solidFill>
                </w14:textFill>
              </w:rPr>
              <w:t>套</w:t>
            </w:r>
          </w:p>
        </w:tc>
        <w:tc>
          <w:tcPr>
            <w:tcW w:w="1276" w:type="dxa"/>
            <w:noWrap/>
            <w:vAlign w:val="center"/>
          </w:tcPr>
          <w:p>
            <w:pPr>
              <w:pStyle w:val="151"/>
              <w:jc w:val="center"/>
              <w:rPr>
                <w:rFonts w:ascii="Times New Roman" w:hAnsi="Times New Roman"/>
                <w:color w:val="000000" w:themeColor="text1"/>
                <w:highlight w:val="none"/>
                <w:lang w:eastAsia="zh-CN"/>
                <w14:textFill>
                  <w14:solidFill>
                    <w14:schemeClr w14:val="tx1"/>
                  </w14:solidFill>
                </w14:textFill>
              </w:rPr>
            </w:pPr>
            <w:r>
              <w:rPr>
                <w:rFonts w:hint="eastAsia" w:ascii="Times New Roman" w:hAnsi="Times New Roman"/>
                <w:color w:val="000000" w:themeColor="text1"/>
                <w:highlight w:val="none"/>
                <w:lang w:eastAsia="zh-CN"/>
                <w14:textFill>
                  <w14:solidFill>
                    <w14:schemeClr w14:val="tx1"/>
                  </w14:solidFill>
                </w14:textFill>
              </w:rPr>
              <w:t>1</w:t>
            </w:r>
          </w:p>
        </w:tc>
      </w:tr>
    </w:tbl>
    <w:p>
      <w:pPr>
        <w:spacing w:before="480" w:beforeLines="200" w:after="160" w:line="360" w:lineRule="auto"/>
        <w:jc w:val="center"/>
        <w:outlineLvl w:val="1"/>
        <w:rPr>
          <w:rFonts w:hAnsi="宋体"/>
          <w:b/>
          <w:bCs/>
          <w:color w:val="000000" w:themeColor="text1"/>
          <w:kern w:val="44"/>
          <w:szCs w:val="21"/>
          <w:highlight w:val="none"/>
          <w14:textFill>
            <w14:solidFill>
              <w14:schemeClr w14:val="tx1"/>
            </w14:solidFill>
          </w14:textFill>
        </w:rPr>
      </w:pPr>
      <w:r>
        <w:rPr>
          <w:rFonts w:hint="eastAsia" w:hAnsi="宋体"/>
          <w:b/>
          <w:bCs/>
          <w:color w:val="000000" w:themeColor="text1"/>
          <w:kern w:val="44"/>
          <w:szCs w:val="21"/>
          <w:highlight w:val="none"/>
          <w14:textFill>
            <w14:solidFill>
              <w14:schemeClr w14:val="tx1"/>
            </w14:solidFill>
          </w14:textFill>
        </w:rPr>
        <w:t xml:space="preserve">第二部分  </w:t>
      </w:r>
      <w:r>
        <w:rPr>
          <w:rFonts w:hAnsi="宋体"/>
          <w:b/>
          <w:bCs/>
          <w:color w:val="000000" w:themeColor="text1"/>
          <w:kern w:val="44"/>
          <w:szCs w:val="21"/>
          <w:highlight w:val="none"/>
          <w14:textFill>
            <w14:solidFill>
              <w14:schemeClr w14:val="tx1"/>
            </w14:solidFill>
          </w14:textFill>
        </w:rPr>
        <w:t>技术规格要求</w:t>
      </w:r>
    </w:p>
    <w:p>
      <w:pPr>
        <w:widowControl/>
        <w:shd w:val="clear" w:color="auto" w:fill="FFFFFF"/>
        <w:snapToGrid w:val="0"/>
        <w:spacing w:line="360" w:lineRule="auto"/>
        <w:jc w:val="left"/>
        <w:outlineLvl w:val="1"/>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主要参数：</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三维坐标记录，可确保相同实验中不同动物起始位置一致，可与外部刺激设备，行为学设备良好的结合，可以通过软件控制给予刺激，可进行不同事件的输出标记；</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与虚拟迷宫环境相结合，可模拟动物在真实环境中的行为任务，从视觉、听觉、味觉、嗅觉等多维度给予刺激；</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可以根据需求为实验动物创建任意的活动场所，在创建的虚拟环境中实验动物可以任意行动而不受任何限制；</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采用超灵敏轴承，可结合气体悬浮，可实现动物在超低阻尼下的自由运动；</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定制化模块，可根据动物体型提供18-35 cm范围内，任意尺寸的球体的定制；</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光纤及</w:t>
      </w:r>
      <w:r>
        <w:rPr>
          <w:rFonts w:hint="eastAsia" w:ascii="宋体" w:hAnsi="宋体"/>
          <w:color w:val="000000" w:themeColor="text1"/>
          <w:szCs w:val="21"/>
          <w:highlight w:val="none"/>
          <w:lang w:eastAsia="zh-Hans"/>
          <w14:textFill>
            <w14:solidFill>
              <w14:schemeClr w14:val="tx1"/>
            </w14:solidFill>
          </w14:textFill>
        </w:rPr>
        <w:t>滑环</w:t>
      </w:r>
      <w:r>
        <w:rPr>
          <w:rFonts w:hint="eastAsia" w:ascii="宋体" w:hAnsi="宋体"/>
          <w:color w:val="000000" w:themeColor="text1"/>
          <w:szCs w:val="21"/>
          <w:highlight w:val="none"/>
          <w14:textFill>
            <w14:solidFill>
              <w14:schemeClr w14:val="tx1"/>
            </w14:solidFill>
          </w14:textFill>
        </w:rPr>
        <w:t>类型：FC或SMA接口，配备专用弱自发荧光光纤，有效减少背景荧光干扰，配置外径1.9 mm尾柄接头，实现近距离多位点记录</w:t>
      </w:r>
      <w:r>
        <w:rPr>
          <w:rFonts w:hint="eastAsia" w:ascii="宋体" w:hAnsi="宋体"/>
          <w:color w:val="000000" w:themeColor="text1"/>
          <w:szCs w:val="21"/>
          <w:highlight w:val="none"/>
          <w:lang w:eastAsia="zh-Hans"/>
          <w14:textFill>
            <w14:solidFill>
              <w14:schemeClr w14:val="tx1"/>
            </w14:solidFill>
          </w14:textFill>
        </w:rPr>
        <w:t>。配套外径小于</w:t>
      </w:r>
      <w:r>
        <w:rPr>
          <w:rFonts w:ascii="宋体" w:hAnsi="宋体"/>
          <w:color w:val="000000" w:themeColor="text1"/>
          <w:szCs w:val="21"/>
          <w:highlight w:val="none"/>
          <w:lang w:eastAsia="zh-Hans"/>
          <w14:textFill>
            <w14:solidFill>
              <w14:schemeClr w14:val="tx1"/>
            </w14:solidFill>
          </w14:textFill>
        </w:rPr>
        <w:t xml:space="preserve">13 </w:t>
      </w:r>
      <w:r>
        <w:rPr>
          <w:rFonts w:hint="eastAsia" w:ascii="宋体" w:hAnsi="宋体"/>
          <w:color w:val="000000" w:themeColor="text1"/>
          <w:szCs w:val="21"/>
          <w:highlight w:val="none"/>
          <w:lang w:eastAsia="zh-Hans"/>
          <w14:textFill>
            <w14:solidFill>
              <w14:schemeClr w14:val="tx1"/>
            </w14:solidFill>
          </w14:textFill>
        </w:rPr>
        <w:t>mm光纤滑环，</w:t>
      </w:r>
      <w:r>
        <w:rPr>
          <w:rFonts w:hint="eastAsia" w:ascii="宋体" w:hAnsi="宋体"/>
          <w:color w:val="000000" w:themeColor="text1"/>
          <w:szCs w:val="21"/>
          <w:highlight w:val="none"/>
          <w14:textFill>
            <w14:solidFill>
              <w14:schemeClr w14:val="tx1"/>
            </w14:solidFill>
          </w14:textFill>
        </w:rPr>
        <w:t>；</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激发光波长：410 nm，470 nm，635 nm</w:t>
      </w:r>
      <w:r>
        <w:rPr>
          <w:rFonts w:hint="eastAsia" w:ascii="宋体" w:hAnsi="宋体"/>
          <w:color w:val="000000" w:themeColor="text1"/>
          <w:szCs w:val="21"/>
          <w:highlight w:val="none"/>
          <w:lang w:eastAsia="zh-Hans"/>
          <w14:textFill>
            <w14:solidFill>
              <w14:schemeClr w14:val="tx1"/>
            </w14:solidFill>
          </w14:textFill>
        </w:rPr>
        <w:t>，</w:t>
      </w:r>
      <w:r>
        <w:rPr>
          <w:rFonts w:ascii="宋体" w:hAnsi="宋体"/>
          <w:color w:val="000000" w:themeColor="text1"/>
          <w:szCs w:val="21"/>
          <w:highlight w:val="none"/>
          <w:lang w:eastAsia="zh-Hans"/>
          <w14:textFill>
            <w14:solidFill>
              <w14:schemeClr w14:val="tx1"/>
            </w14:solidFill>
          </w14:textFill>
        </w:rPr>
        <w:t xml:space="preserve">465 </w:t>
      </w:r>
      <w:r>
        <w:rPr>
          <w:rFonts w:hint="eastAsia" w:ascii="宋体" w:hAnsi="宋体"/>
          <w:color w:val="000000" w:themeColor="text1"/>
          <w:szCs w:val="21"/>
          <w:highlight w:val="none"/>
          <w:lang w:eastAsia="zh-Hans"/>
          <w14:textFill>
            <w14:solidFill>
              <w14:schemeClr w14:val="tx1"/>
            </w14:solidFill>
          </w14:textFill>
        </w:rPr>
        <w:t>nm</w:t>
      </w:r>
      <w:r>
        <w:rPr>
          <w:rFonts w:hint="eastAsia" w:ascii="宋体" w:hAnsi="宋体"/>
          <w:color w:val="000000" w:themeColor="text1"/>
          <w:szCs w:val="21"/>
          <w:highlight w:val="none"/>
          <w14:textFill>
            <w14:solidFill>
              <w14:schemeClr w14:val="tx1"/>
            </w14:solidFill>
          </w14:textFill>
        </w:rPr>
        <w:t>；</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激发光功率范围：410nm 0-100μW，470 nm 0-100 μW，635 nm 0-100 mW，</w:t>
      </w:r>
      <w:r>
        <w:rPr>
          <w:rFonts w:ascii="宋体" w:hAnsi="宋体"/>
          <w:color w:val="000000" w:themeColor="text1"/>
          <w:szCs w:val="21"/>
          <w:highlight w:val="none"/>
          <w14:textFill>
            <w14:solidFill>
              <w14:schemeClr w14:val="tx1"/>
            </w14:solidFill>
          </w14:textFill>
        </w:rPr>
        <w:t xml:space="preserve">465 </w:t>
      </w:r>
      <w:r>
        <w:rPr>
          <w:rFonts w:hint="eastAsia" w:ascii="宋体" w:hAnsi="宋体"/>
          <w:color w:val="000000" w:themeColor="text1"/>
          <w:szCs w:val="21"/>
          <w:highlight w:val="none"/>
          <w:lang w:eastAsia="zh-Hans"/>
          <w14:textFill>
            <w14:solidFill>
              <w14:schemeClr w14:val="tx1"/>
            </w14:solidFill>
          </w14:textFill>
        </w:rPr>
        <w:t>nm</w:t>
      </w:r>
      <w:r>
        <w:rPr>
          <w:rFonts w:ascii="宋体" w:hAnsi="宋体"/>
          <w:color w:val="000000" w:themeColor="text1"/>
          <w:szCs w:val="21"/>
          <w:highlight w:val="none"/>
          <w:lang w:eastAsia="zh-Hans"/>
          <w14:textFill>
            <w14:solidFill>
              <w14:schemeClr w14:val="tx1"/>
            </w14:solidFill>
          </w14:textFill>
        </w:rPr>
        <w:t xml:space="preserve"> 0-100 </w:t>
      </w:r>
      <w:r>
        <w:rPr>
          <w:rFonts w:hint="eastAsia" w:ascii="宋体" w:hAnsi="宋体"/>
          <w:color w:val="000000" w:themeColor="text1"/>
          <w:szCs w:val="21"/>
          <w:highlight w:val="none"/>
          <w:lang w:eastAsia="zh-Hans"/>
          <w14:textFill>
            <w14:solidFill>
              <w14:schemeClr w14:val="tx1"/>
            </w14:solidFill>
          </w14:textFill>
        </w:rPr>
        <w:t>mW，</w:t>
      </w:r>
      <w:r>
        <w:rPr>
          <w:rFonts w:hint="eastAsia" w:ascii="宋体" w:hAnsi="宋体"/>
          <w:color w:val="000000" w:themeColor="text1"/>
          <w:szCs w:val="21"/>
          <w:highlight w:val="none"/>
          <w14:textFill>
            <w14:solidFill>
              <w14:schemeClr w14:val="tx1"/>
            </w14:solidFill>
          </w14:textFill>
        </w:rPr>
        <w:t>光源控制：软件控制激发光功率大小及开关状态，光功率调节精度0.1 μW；</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采集模式：可通过软件设置采集模式，可选择持续采集和间隔采集两种模式；可同时采集数字信号与模拟信号，软件可同步EEG，EMG等生理信号</w:t>
      </w:r>
      <w:r>
        <w:rPr>
          <w:rFonts w:hint="eastAsia" w:ascii="宋体" w:hAnsi="宋体"/>
          <w:color w:val="000000" w:themeColor="text1"/>
          <w:szCs w:val="21"/>
          <w:highlight w:val="none"/>
          <w:lang w:eastAsia="zh-Hans"/>
          <w14:textFill>
            <w14:solidFill>
              <w14:schemeClr w14:val="tx1"/>
            </w14:solidFill>
          </w14:textFill>
        </w:rPr>
        <w:t>。</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感光元件与信号采集：高灵敏度sCMOS芯片采集方案；</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荧光信号有效通道数：采样通道数9路，每个通道可同进行双色记录，可根据实验需求订制扩展；</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接口类型：8路BNC接口，其中6路Input接口，2路Output接口，可同时实现6路信号标记，2路信号输出；</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w:t>
      </w:r>
      <w:r>
        <w:rPr>
          <w:rFonts w:hint="eastAsia" w:ascii="宋体"/>
          <w:color w:val="000000" w:themeColor="text1"/>
          <w:szCs w:val="21"/>
          <w:highlight w:val="none"/>
          <w:lang w:eastAsia="zh-Hans"/>
          <w14:textFill>
            <w14:solidFill>
              <w14:schemeClr w14:val="tx1"/>
            </w14:solidFill>
          </w14:textFill>
        </w:rPr>
        <w:t>标记功能</w:t>
      </w:r>
      <w:r>
        <w:rPr>
          <w:rFonts w:hint="eastAsia" w:ascii="宋体" w:hAnsi="宋体"/>
          <w:color w:val="000000" w:themeColor="text1"/>
          <w:szCs w:val="21"/>
          <w:highlight w:val="none"/>
          <w:lang w:eastAsia="zh-Hans"/>
          <w14:textFill>
            <w14:solidFill>
              <w14:schemeClr w14:val="tx1"/>
            </w14:solidFill>
          </w14:textFill>
        </w:rPr>
        <w:t>：累计</w:t>
      </w:r>
      <w:r>
        <w:rPr>
          <w:rFonts w:ascii="宋体" w:hAnsi="宋体"/>
          <w:color w:val="000000" w:themeColor="text1"/>
          <w:szCs w:val="21"/>
          <w:highlight w:val="none"/>
          <w:lang w:eastAsia="zh-Hans"/>
          <w14:textFill>
            <w14:solidFill>
              <w14:schemeClr w14:val="tx1"/>
            </w14:solidFill>
          </w14:textFill>
        </w:rPr>
        <w:t>11</w:t>
      </w:r>
      <w:r>
        <w:rPr>
          <w:rFonts w:hint="eastAsia" w:ascii="宋体" w:hAnsi="宋体"/>
          <w:color w:val="000000" w:themeColor="text1"/>
          <w:szCs w:val="21"/>
          <w:highlight w:val="none"/>
          <w:lang w:eastAsia="zh-Hans"/>
          <w14:textFill>
            <w14:solidFill>
              <w14:schemeClr w14:val="tx1"/>
            </w14:solidFill>
          </w14:textFill>
        </w:rPr>
        <w:t>路标记方式，其中</w:t>
      </w:r>
      <w:r>
        <w:rPr>
          <w:rFonts w:ascii="宋体" w:hAnsi="宋体"/>
          <w:color w:val="000000" w:themeColor="text1"/>
          <w:szCs w:val="21"/>
          <w:highlight w:val="none"/>
          <w:lang w:eastAsia="zh-Hans"/>
          <w14:textFill>
            <w14:solidFill>
              <w14:schemeClr w14:val="tx1"/>
            </w14:solidFill>
          </w14:textFill>
        </w:rPr>
        <w:t>6</w:t>
      </w:r>
      <w:r>
        <w:rPr>
          <w:rFonts w:hint="eastAsia" w:ascii="宋体" w:hAnsi="宋体"/>
          <w:color w:val="000000" w:themeColor="text1"/>
          <w:szCs w:val="21"/>
          <w:highlight w:val="none"/>
          <w:lang w:eastAsia="zh-Hans"/>
          <w14:textFill>
            <w14:solidFill>
              <w14:schemeClr w14:val="tx1"/>
            </w14:solidFill>
          </w14:textFill>
        </w:rPr>
        <w:t>路硬件标记，</w:t>
      </w:r>
      <w:r>
        <w:rPr>
          <w:rFonts w:ascii="宋体" w:hAnsi="宋体"/>
          <w:color w:val="000000" w:themeColor="text1"/>
          <w:szCs w:val="21"/>
          <w:highlight w:val="none"/>
          <w:lang w:eastAsia="zh-Hans"/>
          <w14:textFill>
            <w14:solidFill>
              <w14:schemeClr w14:val="tx1"/>
            </w14:solidFill>
          </w14:textFill>
        </w:rPr>
        <w:t>3</w:t>
      </w:r>
      <w:r>
        <w:rPr>
          <w:rFonts w:hint="eastAsia" w:ascii="宋体" w:hAnsi="宋体"/>
          <w:color w:val="000000" w:themeColor="text1"/>
          <w:szCs w:val="21"/>
          <w:highlight w:val="none"/>
          <w:lang w:eastAsia="zh-Hans"/>
          <w14:textFill>
            <w14:solidFill>
              <w14:schemeClr w14:val="tx1"/>
            </w14:solidFill>
          </w14:textFill>
        </w:rPr>
        <w:t>路手动标记，</w:t>
      </w:r>
      <w:r>
        <w:rPr>
          <w:rFonts w:ascii="宋体" w:hAnsi="宋体"/>
          <w:color w:val="000000" w:themeColor="text1"/>
          <w:szCs w:val="21"/>
          <w:highlight w:val="none"/>
          <w:lang w:eastAsia="zh-Hans"/>
          <w14:textFill>
            <w14:solidFill>
              <w14:schemeClr w14:val="tx1"/>
            </w14:solidFill>
          </w14:textFill>
        </w:rPr>
        <w:t>2</w:t>
      </w:r>
      <w:r>
        <w:rPr>
          <w:rFonts w:hint="eastAsia" w:ascii="宋体" w:hAnsi="宋体"/>
          <w:color w:val="000000" w:themeColor="text1"/>
          <w:szCs w:val="21"/>
          <w:highlight w:val="none"/>
          <w:lang w:eastAsia="zh-Hans"/>
          <w14:textFill>
            <w14:solidFill>
              <w14:schemeClr w14:val="tx1"/>
            </w14:solidFill>
          </w14:textFill>
        </w:rPr>
        <w:t>路自动标记；</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软硬件连接方式：通过USB3.0接口连接；</w:t>
      </w:r>
      <w:r>
        <w:rPr>
          <w:rFonts w:hint="eastAsia" w:ascii="宋体" w:hAnsi="宋体"/>
          <w:color w:val="000000" w:themeColor="text1"/>
          <w:szCs w:val="21"/>
          <w:highlight w:val="none"/>
          <w:lang w:eastAsia="zh-Hans"/>
          <w14:textFill>
            <w14:solidFill>
              <w14:schemeClr w14:val="tx1"/>
            </w14:solidFill>
          </w14:textFill>
        </w:rPr>
        <w:t>同时内置WIFI模块，可无线加密连接，提供Windows平台及iOS平台软件</w:t>
      </w:r>
      <w:r>
        <w:rPr>
          <w:rFonts w:hint="eastAsia" w:ascii="宋体" w:hAnsi="宋体"/>
          <w:color w:val="000000" w:themeColor="text1"/>
          <w:szCs w:val="21"/>
          <w:highlight w:val="none"/>
          <w14:textFill>
            <w14:solidFill>
              <w14:schemeClr w14:val="tx1"/>
            </w14:solidFill>
          </w14:textFill>
        </w:rPr>
        <w:t>；</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信号标记功能：软件可对大于设定的ΔF/F阈值信号进行自动标记；</w:t>
      </w:r>
    </w:p>
    <w:p>
      <w:pPr>
        <w:numPr>
          <w:ilvl w:val="0"/>
          <w:numId w:val="1"/>
        </w:numPr>
        <w:spacing w:line="480" w:lineRule="exact"/>
        <w:rPr>
          <w:rFonts w:ascii="宋体" w:hAnsi="宋体"/>
          <w:color w:val="000000" w:themeColor="text1"/>
          <w:szCs w:val="21"/>
          <w:highlight w:val="none"/>
          <w14:textFill>
            <w14:solidFill>
              <w14:schemeClr w14:val="tx1"/>
            </w14:solidFill>
          </w14:textFill>
        </w:rPr>
      </w:pPr>
      <w:r>
        <w:rPr>
          <w:rFonts w:hint="eastAsia" w:asci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配套软件：配置专用软件，软件包含记录与分析功能，分析结果可不借助Matlab直接导出</w:t>
      </w:r>
      <w:r>
        <w:rPr>
          <w:rFonts w:hint="eastAsia" w:ascii="宋体" w:hAnsi="宋体"/>
          <w:color w:val="000000" w:themeColor="text1"/>
          <w:szCs w:val="21"/>
          <w:highlight w:val="none"/>
          <w:lang w:eastAsia="zh-Hans"/>
          <w14:textFill>
            <w14:solidFill>
              <w14:schemeClr w14:val="tx1"/>
            </w14:solidFill>
          </w14:textFill>
        </w:rPr>
        <w:t>热图，DeltaF</w:t>
      </w:r>
      <w:r>
        <w:rPr>
          <w:rFonts w:ascii="宋体" w:hAnsi="宋体"/>
          <w:color w:val="000000" w:themeColor="text1"/>
          <w:szCs w:val="21"/>
          <w:highlight w:val="none"/>
          <w:lang w:eastAsia="zh-Hans"/>
          <w14:textFill>
            <w14:solidFill>
              <w14:schemeClr w14:val="tx1"/>
            </w14:solidFill>
          </w14:textFill>
        </w:rPr>
        <w:t>/</w:t>
      </w:r>
      <w:r>
        <w:rPr>
          <w:rFonts w:hint="eastAsia" w:ascii="宋体" w:hAnsi="宋体"/>
          <w:color w:val="000000" w:themeColor="text1"/>
          <w:szCs w:val="21"/>
          <w:highlight w:val="none"/>
          <w:lang w:eastAsia="zh-Hans"/>
          <w14:textFill>
            <w14:solidFill>
              <w14:schemeClr w14:val="tx1"/>
            </w14:solidFill>
          </w14:textFill>
        </w:rPr>
        <w:t>F，Z-Score</w:t>
      </w:r>
      <w:r>
        <w:rPr>
          <w:rFonts w:hint="eastAsia" w:ascii="宋体" w:hAnsi="宋体"/>
          <w:color w:val="000000" w:themeColor="text1"/>
          <w:szCs w:val="21"/>
          <w:highlight w:val="none"/>
          <w14:textFill>
            <w14:solidFill>
              <w14:schemeClr w14:val="tx1"/>
            </w14:solidFill>
          </w14:textFill>
        </w:rPr>
        <w:t>矢量图格式，并提供定制化数据分析功能；</w:t>
      </w:r>
    </w:p>
    <w:p>
      <w:pPr>
        <w:numPr>
          <w:ilvl w:val="0"/>
          <w:numId w:val="1"/>
        </w:numPr>
        <w:spacing w:line="480" w:lineRule="exact"/>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软件集成行为学视频与荧光信号采集，实现离线打标分析；软件数据分析支持同步对齐其他生理信号数据，实现人工数据同步打标。</w:t>
      </w:r>
    </w:p>
    <w:p>
      <w:pPr>
        <w:spacing w:before="480" w:beforeLines="200" w:after="160" w:line="360" w:lineRule="auto"/>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第三部分  商务条款和其他</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1）硬件安装调试服务：投标人需负责对硬件进行安装调试。</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2）软件安装调试服务：投标人需负责对客户常用软件进行安装调试并负责调优服务。</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货物送达后，由采购人组织对货物的规格、数量、技术参数进行验收，验收通过后出具书面证明。如发现货物与技术参数要求规定不符的，采购人应当通知中标人提出退货或换货的要求，中标人应在接到采购人通知后的3个工作日内予以退换，费用由中标人承担。</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4）货物送达后，提交的具体文件包括：a.产品使用手册及维护操作指南；b. 产品合格证、保修卡；c. 产品权威性检验报告；d.验收报告（包括验收数据资料）。</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5）服务团队：有专门的售后服务团队，提供维修保障服务。</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r>
        <w:rPr>
          <w:rFonts w:hint="eastAsia"/>
          <w:color w:val="000000" w:themeColor="text1"/>
          <w:szCs w:val="21"/>
          <w:highlight w:val="none"/>
          <w14:textFill>
            <w14:solidFill>
              <w14:schemeClr w14:val="tx1"/>
            </w14:solidFill>
          </w14:textFill>
        </w:rPr>
        <w:t>免费维保期限：</w:t>
      </w:r>
      <w:r>
        <w:rPr>
          <w:rFonts w:hint="eastAsia"/>
          <w:color w:val="000000" w:themeColor="text1"/>
          <w:szCs w:val="21"/>
          <w:highlight w:val="none"/>
          <w14:textFill>
            <w14:solidFill>
              <w14:schemeClr w14:val="tx1"/>
            </w14:solidFill>
          </w14:textFill>
        </w:rPr>
        <w:t xml:space="preserve">提供 </w:t>
      </w:r>
      <w:r>
        <w:rPr>
          <w:color w:val="000000" w:themeColor="text1"/>
          <w:szCs w:val="21"/>
          <w:highlight w:val="none"/>
          <w14:textFill>
            <w14:solidFill>
              <w14:schemeClr w14:val="tx1"/>
            </w14:solidFill>
          </w14:textFill>
        </w:rPr>
        <w:t xml:space="preserve">5 </w:t>
      </w:r>
      <w:r>
        <w:rPr>
          <w:rFonts w:hint="eastAsia"/>
          <w:color w:val="000000" w:themeColor="text1"/>
          <w:szCs w:val="21"/>
          <w:highlight w:val="none"/>
          <w14:textFill>
            <w14:solidFill>
              <w14:schemeClr w14:val="tx1"/>
            </w14:solidFill>
          </w14:textFill>
        </w:rPr>
        <w:t>年</w:t>
      </w:r>
      <w:r>
        <w:rPr>
          <w:rFonts w:hint="eastAsia"/>
          <w:color w:val="000000" w:themeColor="text1"/>
          <w:szCs w:val="21"/>
          <w:highlight w:val="none"/>
          <w14:textFill>
            <w14:solidFill>
              <w14:schemeClr w14:val="tx1"/>
            </w14:solidFill>
          </w14:textFill>
        </w:rPr>
        <w:t>或以上质保，所有更换的硬件设备均为制造商全新件，自双方验收合格之日起计算；保修期内所有因更换或修理部件、模块而导致设备停止运行的，保修期将按停运天数（按24小时计算）相应延长。要求提供 5 年或以上 7*24 免费售后服务，提供售后服务承诺函。</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免费维保期内服务：①远程支持服务：提供制造商7*24小时远程支持服务。②现场支持服务：发生故障时服务团队应能在1小时内响应，并能在4小时内赶到现场处理。③免费维修服务：保修期内所有设备维修，所涉及部件、人工应免费提供，且为制造商提供，同一台设备两次现场维修尚未解决问题的，投标人应免费提供备机。④服务文档要求：服务团队须提供每次维修的记录，一式两份，双方签字后，一份交与用户保存备查，一份交由供应商留存。⑤</w:t>
      </w:r>
      <w:r>
        <w:rPr>
          <w:rFonts w:hint="eastAsia"/>
          <w:color w:val="000000" w:themeColor="text1"/>
          <w:szCs w:val="21"/>
          <w:highlight w:val="none"/>
          <w14:textFill>
            <w14:solidFill>
              <w14:schemeClr w14:val="tx1"/>
            </w14:solidFill>
          </w14:textFill>
        </w:rPr>
        <w:t>免费维保期内所有耗材配件价格按市场目录价8折优惠提供，</w:t>
      </w:r>
      <w:r>
        <w:rPr>
          <w:rFonts w:hint="eastAsia"/>
          <w:b/>
          <w:bCs/>
          <w:color w:val="000000" w:themeColor="text1"/>
          <w:szCs w:val="21"/>
          <w:highlight w:val="none"/>
          <w14:textFill>
            <w14:solidFill>
              <w14:schemeClr w14:val="tx1"/>
            </w14:solidFill>
          </w14:textFill>
        </w:rPr>
        <w:t>需提供承诺函</w:t>
      </w:r>
      <w:r>
        <w:rPr>
          <w:rFonts w:hint="eastAsia"/>
          <w:color w:val="000000" w:themeColor="text1"/>
          <w:szCs w:val="21"/>
          <w:highlight w:val="none"/>
          <w14:textFill>
            <w14:solidFill>
              <w14:schemeClr w14:val="tx1"/>
            </w14:solidFill>
          </w14:textFill>
        </w:rPr>
        <w:t>。</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8）免费维保期外服务：硬件更换服务：超出保修期外以不高于市场价进行故障设备的更新。</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r>
        <w:rPr>
          <w:rFonts w:hint="eastAsia"/>
          <w:color w:val="000000" w:themeColor="text1"/>
          <w:szCs w:val="21"/>
          <w:highlight w:val="none"/>
          <w14:textFill>
            <w14:solidFill>
              <w14:schemeClr w14:val="tx1"/>
            </w14:solidFill>
          </w14:textFill>
        </w:rPr>
        <w:t>付款方式：</w:t>
      </w:r>
      <w:r>
        <w:rPr>
          <w:rFonts w:hint="eastAsia"/>
          <w:color w:val="000000" w:themeColor="text1"/>
          <w:szCs w:val="21"/>
          <w:highlight w:val="none"/>
          <w:lang w:eastAsia="zh-Hans"/>
          <w14:textFill>
            <w14:solidFill>
              <w14:schemeClr w14:val="tx1"/>
            </w14:solidFill>
          </w14:textFill>
        </w:rPr>
        <w:t>合同签订，产品到货、安装调试并验收合格后支付合同金额的95%，预留质量保证金为合同价格的5%，质量保证金在验收合格一年后予以结清。</w:t>
      </w:r>
    </w:p>
    <w:p>
      <w:pPr>
        <w:spacing w:after="160" w:line="360" w:lineRule="auto"/>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10）</w:t>
      </w:r>
      <w:r>
        <w:rPr>
          <w:rFonts w:hint="eastAsia"/>
          <w:color w:val="000000" w:themeColor="text1"/>
          <w:szCs w:val="21"/>
          <w:highlight w:val="none"/>
          <w14:textFill>
            <w14:solidFill>
              <w14:schemeClr w14:val="tx1"/>
            </w14:solidFill>
          </w14:textFill>
        </w:rPr>
        <w:t>交货期：</w:t>
      </w:r>
      <w:r>
        <w:rPr>
          <w:rFonts w:hint="eastAsia"/>
          <w:color w:val="000000" w:themeColor="text1"/>
          <w:szCs w:val="21"/>
          <w:highlight w:val="none"/>
          <w14:textFill>
            <w14:solidFill>
              <w14:schemeClr w14:val="tx1"/>
            </w14:solidFill>
          </w14:textFill>
        </w:rPr>
        <w:t>签订合同后 30 日内完成全部设备的到货、安装调试及验收等全部工作。</w:t>
      </w:r>
    </w:p>
    <w:p>
      <w:pPr>
        <w:spacing w:line="360" w:lineRule="auto"/>
        <w:rPr>
          <w:color w:val="000000" w:themeColor="text1"/>
          <w:highlight w:val="none"/>
          <w14:textFill>
            <w14:solidFill>
              <w14:schemeClr w14:val="tx1"/>
            </w14:solidFill>
          </w14:textFill>
        </w:rPr>
      </w:pPr>
    </w:p>
    <w:p>
      <w:pPr>
        <w:keepNext/>
        <w:keepLines/>
        <w:spacing w:before="340" w:after="330" w:line="578" w:lineRule="auto"/>
        <w:jc w:val="center"/>
        <w:outlineLvl w:val="0"/>
        <w:rPr>
          <w:color w:val="000000" w:themeColor="text1"/>
          <w:highlight w:val="none"/>
          <w14:textFill>
            <w14:solidFill>
              <w14:schemeClr w14:val="tx1"/>
            </w14:solidFill>
          </w14:textFill>
        </w:rPr>
        <w:sectPr>
          <w:pgSz w:w="11906" w:h="16838"/>
          <w:pgMar w:top="1440" w:right="1797" w:bottom="1440" w:left="1797" w:header="567" w:footer="567" w:gutter="0"/>
          <w:cols w:space="720" w:num="1"/>
          <w:docGrid w:linePitch="312" w:charSpace="0"/>
        </w:sectPr>
      </w:pPr>
    </w:p>
    <w:p>
      <w:pPr>
        <w:keepNext/>
        <w:keepLines/>
        <w:spacing w:before="340" w:after="330" w:line="578" w:lineRule="auto"/>
        <w:jc w:val="center"/>
        <w:outlineLvl w:val="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第五章   评标方法与程序</w:t>
      </w: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一、资格审查</w:t>
      </w:r>
    </w:p>
    <w:p>
      <w:pPr>
        <w:spacing w:line="30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招标人将依据法律法规和招标文件的《投标人须知》、《资格条件响应表》，对投标人进行资格审查。确定符合资格的投标人不少于3家的，将组织评标委员会进行评标。</w:t>
      </w: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二、投标无效情形</w:t>
      </w:r>
    </w:p>
    <w:p>
      <w:pPr>
        <w:spacing w:line="30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1、投标文件不符合《资格条件响应表》以及《实质性要求响应表》所列任何情形之一的，将被认定为无效投标。</w:t>
      </w:r>
    </w:p>
    <w:p>
      <w:pPr>
        <w:spacing w:line="300" w:lineRule="auto"/>
        <w:ind w:firstLine="42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、单位负责人或法定代表人为同一人，或者存在控股、管理关系的不同供应商，参加同一项目投标的，相关投标均无效。</w:t>
      </w:r>
    </w:p>
    <w:p>
      <w:pPr>
        <w:spacing w:line="300" w:lineRule="auto"/>
        <w:ind w:firstLine="42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、除上述以及政府采购法律法规、规章、《投标人须知》所规定的投标无效情形外，投标文件有其他不符合招标文件要求的均作为评标时的考虑因素，而不导致投标无效。</w:t>
      </w:r>
    </w:p>
    <w:p>
      <w:pPr>
        <w:spacing w:line="360" w:lineRule="auto"/>
        <w:ind w:firstLine="482"/>
        <w:rPr>
          <w:rFonts w:ascii="宋体" w:hAnsi="宋体"/>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三、评标方法与程序</w:t>
      </w:r>
    </w:p>
    <w:p>
      <w:pPr>
        <w:pStyle w:val="19"/>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（一）评标方法</w:t>
      </w:r>
    </w:p>
    <w:p>
      <w:pPr>
        <w:pStyle w:val="19"/>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根据《中华人民共和国政府采购法》及政府采购相关规定，结合项目特点，本项目采用“综合评分法”评标，总分为100分。</w:t>
      </w:r>
    </w:p>
    <w:p>
      <w:pPr>
        <w:spacing w:line="360" w:lineRule="auto"/>
        <w:ind w:firstLine="42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（二）评标委员会</w:t>
      </w:r>
    </w:p>
    <w:p>
      <w:pPr>
        <w:spacing w:line="36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w:t>
      </w:r>
      <w:r>
        <w:rPr>
          <w:rFonts w:hint="eastAsia" w:ascii="宋体" w:hAnsi="宋体"/>
          <w:color w:val="000000" w:themeColor="text1"/>
          <w:kern w:val="0"/>
          <w:szCs w:val="21"/>
          <w:highlight w:val="none"/>
          <w14:textFill>
            <w14:solidFill>
              <w14:schemeClr w14:val="tx1"/>
            </w14:solidFill>
          </w14:textFill>
        </w:rPr>
        <w:t>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pPr>
        <w:spacing w:line="36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2、中标候选人推荐办法：</w:t>
      </w:r>
      <w:bookmarkStart w:id="39" w:name="评标委员会2"/>
      <w:r>
        <w:rPr>
          <w:rFonts w:hint="eastAsia" w:ascii="宋体" w:hAnsi="宋体"/>
          <w:color w:val="000000" w:themeColor="text1"/>
          <w:szCs w:val="21"/>
          <w:highlight w:val="none"/>
          <w14:textFill>
            <w14:solidFill>
              <w14:schemeClr w14:val="tx1"/>
            </w14:solidFill>
          </w14:textFill>
        </w:rPr>
        <w:t>本项目评标委员会由5</w:t>
      </w:r>
      <w:r>
        <w:rPr>
          <w:rFonts w:ascii="宋体" w:hAnsi="宋体"/>
          <w:color w:val="000000" w:themeColor="text1"/>
          <w:szCs w:val="21"/>
          <w:highlight w:val="none"/>
          <w14:textFill>
            <w14:solidFill>
              <w14:schemeClr w14:val="tx1"/>
            </w14:solidFill>
          </w14:textFill>
        </w:rPr>
        <w:t>人组成，各评委按照评标办法对每个投标人进行独立评分，再计算平均分值，按照每个投标人最终平均得分的高低依次排名，推荐出中标候选人。</w:t>
      </w:r>
      <w:bookmarkEnd w:id="39"/>
    </w:p>
    <w:p>
      <w:pPr>
        <w:spacing w:line="360" w:lineRule="auto"/>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3、评委应坚持公平、公正原则，依据投标文件对招标文件响应情况、投标文件编制情况等，按照《投标评分细则》逐项进行综合、科学、客观评分。</w:t>
      </w:r>
    </w:p>
    <w:p>
      <w:pPr>
        <w:pStyle w:val="19"/>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（三）评标程序</w:t>
      </w:r>
    </w:p>
    <w:p>
      <w:pPr>
        <w:pStyle w:val="19"/>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本项目评标工作程序如下：</w:t>
      </w:r>
    </w:p>
    <w:p>
      <w:pPr>
        <w:pStyle w:val="19"/>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作出了响应。</w:t>
      </w:r>
    </w:p>
    <w:p>
      <w:pPr>
        <w:pStyle w:val="19"/>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澄清有关问题。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pPr>
        <w:pStyle w:val="19"/>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3、比较与评分。按招标文件规定的《投标评分细则》，对资格性检查和符合性检查合格的投标文件进行评分。</w:t>
      </w:r>
    </w:p>
    <w:p>
      <w:pPr>
        <w:pStyle w:val="19"/>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4、推荐中标候选供应商名单。</w:t>
      </w:r>
      <w:r>
        <w:rPr>
          <w:rFonts w:hint="eastAsia" w:hAnsi="宋体"/>
          <w:bCs/>
          <w:color w:val="000000" w:themeColor="text1"/>
          <w:szCs w:val="21"/>
          <w:highlight w:val="none"/>
          <w14:textFill>
            <w14:solidFill>
              <w14:schemeClr w14:val="tx1"/>
            </w14:solidFill>
          </w14:textFill>
        </w:rPr>
        <w:t>评标委员会按照评标得分的高低</w:t>
      </w:r>
      <w:r>
        <w:rPr>
          <w:rFonts w:hint="eastAsia" w:hAnsi="宋体"/>
          <w:color w:val="000000" w:themeColor="text1"/>
          <w:szCs w:val="21"/>
          <w:highlight w:val="none"/>
          <w14:textFill>
            <w14:solidFill>
              <w14:schemeClr w14:val="tx1"/>
            </w14:solidFill>
          </w14:textFill>
        </w:rPr>
        <w:t>依次排名，推荐得分最高者为第一中标候选人，依此类推。如果供应商最终得分相同，则按报价由低到高确定排名顺序。</w:t>
      </w:r>
    </w:p>
    <w:p>
      <w:pPr>
        <w:pStyle w:val="19"/>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（四）评分细则</w:t>
      </w:r>
    </w:p>
    <w:p>
      <w:pPr>
        <w:pStyle w:val="19"/>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本项目具体评分细则如下：</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1、投标价格分按照以下方式进行计算：</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（1）价格评分：报价分＝价格分值×（评标基准价/评审价） </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（2）评标基准价：是经初审合格（技术、商务基本符合要求，无重大缺、漏项）满足招标文件要求且投标价格最低的投标报价。</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评审价：无缺漏项的报价，投标报价即评审价；有缺漏项的报价，对投标价中缺漏项按照对其最不利原则（即按照投标人中该项最高报价计算）修正后的投标修正价为其评审价；报价严重不符合要求或者缺漏项按照对其最不利原则修正后，修正价超过其投标报价10%的，经评标委员会确认后，其价格评分为0分。评审价不等于中标价，一旦中标，仍按该投标人的投标报价签订本项目合同。</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如果本项目非专门面向中小企业采购，对小型和微型企业投标人的投标价格给予6%的扣除，用扣除后的价格参与评审。如果本项目非专门面向中小企业采购且接受联合体投标（或参加谈判、报价），联合协议中约定小型或微型企业的协议合同金额占到联合体协议合同总金额30%以上的，给予联合体2%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一旦投标人中标，则将在中标公告中公告其声明函，接受社会监督，若提供声明函与事实不符的，将依据《中华人民共和国政府采购法》第七十七条第一款的规定追究其法律责任。</w:t>
      </w:r>
    </w:p>
    <w:p>
      <w:pPr>
        <w:spacing w:line="360" w:lineRule="auto"/>
        <w:ind w:firstLine="48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pPr>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2、投标文件其他</w:t>
      </w:r>
      <w:r>
        <w:rPr>
          <w:rFonts w:hint="eastAsia" w:ascii="宋体" w:hAnsi="宋体"/>
          <w:bCs/>
          <w:color w:val="000000" w:themeColor="text1"/>
          <w:szCs w:val="21"/>
          <w:highlight w:val="none"/>
          <w14:textFill>
            <w14:solidFill>
              <w14:schemeClr w14:val="tx1"/>
            </w14:solidFill>
          </w14:textFill>
        </w:rPr>
        <w:t>评分因素及分值设置等详见《投标评分细则》。</w:t>
      </w: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kern w:val="0"/>
          <w:szCs w:val="21"/>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投标评分细则（100分）</w:t>
      </w:r>
    </w:p>
    <w:tbl>
      <w:tblPr>
        <w:tblStyle w:val="33"/>
        <w:tblW w:w="87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28"/>
        <w:gridCol w:w="1486"/>
        <w:gridCol w:w="1290"/>
        <w:gridCol w:w="53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6" w:hRule="atLeast"/>
          <w:tblHeader/>
          <w:jc w:val="center"/>
        </w:trPr>
        <w:tc>
          <w:tcPr>
            <w:tcW w:w="628" w:type="dxa"/>
            <w:vAlign w:val="center"/>
          </w:tcPr>
          <w:p>
            <w:pPr>
              <w:jc w:val="center"/>
              <w:rPr>
                <w:b/>
                <w:color w:val="000000" w:themeColor="text1"/>
                <w:highlight w:val="none"/>
                <w14:textFill>
                  <w14:solidFill>
                    <w14:schemeClr w14:val="tx1"/>
                  </w14:solidFill>
                </w14:textFill>
              </w:rPr>
            </w:pPr>
            <w:bookmarkStart w:id="40" w:name="评标办法"/>
            <w:bookmarkEnd w:id="40"/>
            <w:r>
              <w:rPr>
                <w:rFonts w:hint="eastAsia"/>
                <w:b/>
                <w:color w:val="000000" w:themeColor="text1"/>
                <w:highlight w:val="none"/>
                <w14:textFill>
                  <w14:solidFill>
                    <w14:schemeClr w14:val="tx1"/>
                  </w14:solidFill>
                </w14:textFill>
              </w:rPr>
              <w:t>序号</w:t>
            </w:r>
          </w:p>
        </w:tc>
        <w:tc>
          <w:tcPr>
            <w:tcW w:w="1486" w:type="dxa"/>
            <w:vAlign w:val="center"/>
          </w:tcPr>
          <w:p>
            <w:pPr>
              <w:spacing w:before="120" w:after="160" w:line="360" w:lineRule="auto"/>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评标要素</w:t>
            </w:r>
          </w:p>
        </w:tc>
        <w:tc>
          <w:tcPr>
            <w:tcW w:w="1290" w:type="dxa"/>
            <w:vAlign w:val="center"/>
          </w:tcPr>
          <w:p>
            <w:pPr>
              <w:spacing w:before="120" w:after="160" w:line="360" w:lineRule="auto"/>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满分分值</w:t>
            </w:r>
          </w:p>
        </w:tc>
        <w:tc>
          <w:tcPr>
            <w:tcW w:w="5315" w:type="dxa"/>
            <w:vAlign w:val="center"/>
          </w:tcPr>
          <w:p>
            <w:pPr>
              <w:spacing w:before="120" w:after="160" w:line="360" w:lineRule="auto"/>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主要评审内容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36" w:hRule="atLeast"/>
          <w:jc w:val="center"/>
        </w:trPr>
        <w:tc>
          <w:tcPr>
            <w:tcW w:w="628" w:type="dxa"/>
            <w:vAlign w:val="center"/>
          </w:tcPr>
          <w:p>
            <w:pPr>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p>
        </w:tc>
        <w:tc>
          <w:tcPr>
            <w:tcW w:w="1486" w:type="dxa"/>
            <w:vAlign w:val="center"/>
          </w:tcPr>
          <w:p>
            <w:pPr>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投标报价</w:t>
            </w:r>
          </w:p>
        </w:tc>
        <w:tc>
          <w:tcPr>
            <w:tcW w:w="1290" w:type="dxa"/>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t>分</w:t>
            </w:r>
          </w:p>
        </w:tc>
        <w:tc>
          <w:tcPr>
            <w:tcW w:w="5315" w:type="dxa"/>
            <w:vAlign w:val="center"/>
          </w:tcPr>
          <w:p>
            <w:pPr>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对小型和微型企业投标人的投标价格给予6%的扣除，用扣除后的价格参与评审。</w:t>
            </w:r>
          </w:p>
          <w:p>
            <w:pPr>
              <w:spacing w:after="120" w:afterLine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有效投标报价</w:t>
            </w:r>
            <w:r>
              <w:rPr>
                <w:rFonts w:hint="eastAsia"/>
                <w:color w:val="000000" w:themeColor="text1"/>
                <w:highlight w:val="none"/>
                <w14:textFill>
                  <w14:solidFill>
                    <w14:schemeClr w14:val="tx1"/>
                  </w14:solidFill>
                </w14:textFill>
              </w:rPr>
              <w:t>最低价</w:t>
            </w:r>
            <w:r>
              <w:rPr>
                <w:color w:val="000000" w:themeColor="text1"/>
                <w:highlight w:val="none"/>
                <w14:textFill>
                  <w14:solidFill>
                    <w14:schemeClr w14:val="tx1"/>
                  </w14:solidFill>
                </w14:textFill>
              </w:rPr>
              <w:t>的为评标基准价，基准价为满分</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高于基准价按［投标报价得分=（评标基准价/投标报价）*30分］的计算公式计算</w:t>
            </w:r>
            <w:r>
              <w:rPr>
                <w:rFonts w:hint="eastAsia"/>
                <w:color w:val="000000" w:themeColor="text1"/>
                <w:highlight w:val="none"/>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84" w:hRule="atLeast"/>
          <w:jc w:val="center"/>
        </w:trPr>
        <w:tc>
          <w:tcPr>
            <w:tcW w:w="628" w:type="dxa"/>
            <w:tcBorders>
              <w:right w:val="single" w:color="auto" w:sz="4" w:space="0"/>
            </w:tcBorders>
            <w:vAlign w:val="center"/>
          </w:tcPr>
          <w:p>
            <w:pPr>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p>
        </w:tc>
        <w:tc>
          <w:tcPr>
            <w:tcW w:w="1486" w:type="dxa"/>
            <w:tcBorders>
              <w:right w:val="single" w:color="auto" w:sz="4" w:space="0"/>
            </w:tcBorders>
            <w:vAlign w:val="center"/>
          </w:tcPr>
          <w:p>
            <w:pPr>
              <w:pStyle w:val="151"/>
              <w:adjustRightInd w:val="0"/>
              <w:snapToGrid w:val="0"/>
              <w:jc w:val="center"/>
              <w:rPr>
                <w:rFonts w:ascii="Times New Roman" w:hAnsi="Times New Roman"/>
                <w:color w:val="000000" w:themeColor="text1"/>
                <w:kern w:val="2"/>
                <w:highlight w:val="none"/>
                <w:lang w:eastAsia="zh-CN"/>
                <w14:textFill>
                  <w14:solidFill>
                    <w14:schemeClr w14:val="tx1"/>
                  </w14:solidFill>
                </w14:textFill>
              </w:rPr>
            </w:pPr>
            <w:r>
              <w:rPr>
                <w:rFonts w:ascii="Times New Roman" w:hAnsi="Times New Roman"/>
                <w:color w:val="000000" w:themeColor="text1"/>
                <w:kern w:val="2"/>
                <w:highlight w:val="none"/>
                <w:lang w:eastAsia="zh-CN"/>
                <w14:textFill>
                  <w14:solidFill>
                    <w14:schemeClr w14:val="tx1"/>
                  </w14:solidFill>
                </w14:textFill>
              </w:rPr>
              <w:t>产品的选型和配置</w:t>
            </w:r>
          </w:p>
        </w:tc>
        <w:tc>
          <w:tcPr>
            <w:tcW w:w="1290" w:type="dxa"/>
            <w:tcBorders>
              <w:lef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t>分</w:t>
            </w:r>
          </w:p>
        </w:tc>
        <w:tc>
          <w:tcPr>
            <w:tcW w:w="5315" w:type="dxa"/>
            <w:vAlign w:val="center"/>
          </w:tcPr>
          <w:p>
            <w:pPr>
              <w:numPr>
                <w:ilvl w:val="0"/>
                <w:numId w:val="2"/>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各产品参数能够实现预期使用功能的程度。</w:t>
            </w:r>
          </w:p>
          <w:p>
            <w:pPr>
              <w:numPr>
                <w:ilvl w:val="0"/>
                <w:numId w:val="2"/>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主要材料的可靠性、环保性和安全性。</w:t>
            </w:r>
          </w:p>
          <w:p>
            <w:pPr>
              <w:numPr>
                <w:ilvl w:val="0"/>
                <w:numId w:val="2"/>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产品的配置是否齐全有无漏项或缺陷。</w:t>
            </w:r>
          </w:p>
          <w:p>
            <w:pPr>
              <w:numPr>
                <w:ilvl w:val="0"/>
                <w:numId w:val="2"/>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产品、材料或配件的制造商是否具有足够的技术能力。</w:t>
            </w:r>
          </w:p>
          <w:p>
            <w:pPr>
              <w:numPr>
                <w:ilvl w:val="0"/>
                <w:numId w:val="2"/>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所供产品的维修性和经济性是否先进。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52" w:hRule="atLeast"/>
          <w:jc w:val="center"/>
        </w:trPr>
        <w:tc>
          <w:tcPr>
            <w:tcW w:w="628" w:type="dxa"/>
            <w:tcBorders>
              <w:right w:val="single" w:color="auto" w:sz="4" w:space="0"/>
            </w:tcBorders>
            <w:vAlign w:val="center"/>
          </w:tcPr>
          <w:p>
            <w:pPr>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w:t>
            </w:r>
          </w:p>
        </w:tc>
        <w:tc>
          <w:tcPr>
            <w:tcW w:w="1486" w:type="dxa"/>
            <w:tcBorders>
              <w:right w:val="single" w:color="auto" w:sz="4" w:space="0"/>
            </w:tcBorders>
            <w:vAlign w:val="center"/>
          </w:tcPr>
          <w:p>
            <w:pPr>
              <w:pStyle w:val="151"/>
              <w:adjustRightInd w:val="0"/>
              <w:snapToGrid w:val="0"/>
              <w:jc w:val="center"/>
              <w:rPr>
                <w:rFonts w:ascii="Times New Roman" w:hAnsi="Times New Roman"/>
                <w:color w:val="000000" w:themeColor="text1"/>
                <w:kern w:val="2"/>
                <w:highlight w:val="none"/>
                <w:lang w:eastAsia="zh-CN"/>
                <w14:textFill>
                  <w14:solidFill>
                    <w14:schemeClr w14:val="tx1"/>
                  </w14:solidFill>
                </w14:textFill>
              </w:rPr>
            </w:pPr>
            <w:r>
              <w:rPr>
                <w:rFonts w:ascii="Times New Roman" w:hAnsi="Times New Roman"/>
                <w:color w:val="000000" w:themeColor="text1"/>
                <w:kern w:val="2"/>
                <w:highlight w:val="none"/>
                <w:lang w:eastAsia="zh-CN"/>
                <w14:textFill>
                  <w14:solidFill>
                    <w14:schemeClr w14:val="tx1"/>
                  </w14:solidFill>
                </w14:textFill>
              </w:rPr>
              <w:t>项目实施计划</w:t>
            </w:r>
          </w:p>
        </w:tc>
        <w:tc>
          <w:tcPr>
            <w:tcW w:w="1290" w:type="dxa"/>
            <w:tcBorders>
              <w:top w:val="single" w:color="auto" w:sz="4" w:space="0"/>
              <w:lef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分</w:t>
            </w:r>
          </w:p>
        </w:tc>
        <w:tc>
          <w:tcPr>
            <w:tcW w:w="5315" w:type="dxa"/>
            <w:tcBorders>
              <w:top w:val="single" w:color="auto" w:sz="4" w:space="0"/>
              <w:bottom w:val="single" w:color="auto" w:sz="4" w:space="0"/>
            </w:tcBorders>
            <w:vAlign w:val="center"/>
          </w:tcPr>
          <w:p>
            <w:pPr>
              <w:numPr>
                <w:ilvl w:val="0"/>
                <w:numId w:val="3"/>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项目实施进度计划。</w:t>
            </w:r>
          </w:p>
          <w:p>
            <w:pPr>
              <w:numPr>
                <w:ilvl w:val="0"/>
                <w:numId w:val="3"/>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产品的安装及调试方案。</w:t>
            </w:r>
          </w:p>
          <w:p>
            <w:pPr>
              <w:numPr>
                <w:ilvl w:val="0"/>
                <w:numId w:val="3"/>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产品所需的各项资源保障。</w:t>
            </w:r>
          </w:p>
          <w:p>
            <w:pPr>
              <w:numPr>
                <w:ilvl w:val="0"/>
                <w:numId w:val="3"/>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质量保证措施。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52" w:hRule="atLeast"/>
          <w:jc w:val="center"/>
        </w:trPr>
        <w:tc>
          <w:tcPr>
            <w:tcW w:w="628" w:type="dxa"/>
            <w:tcBorders>
              <w:right w:val="single" w:color="auto" w:sz="4" w:space="0"/>
            </w:tcBorders>
            <w:vAlign w:val="center"/>
          </w:tcPr>
          <w:p>
            <w:pPr>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4</w:t>
            </w:r>
          </w:p>
        </w:tc>
        <w:tc>
          <w:tcPr>
            <w:tcW w:w="1486" w:type="dxa"/>
            <w:tcBorders>
              <w:right w:val="single" w:color="auto" w:sz="4" w:space="0"/>
            </w:tcBorders>
            <w:vAlign w:val="center"/>
          </w:tcPr>
          <w:p>
            <w:pPr>
              <w:pStyle w:val="151"/>
              <w:adjustRightInd w:val="0"/>
              <w:snapToGrid w:val="0"/>
              <w:jc w:val="center"/>
              <w:rPr>
                <w:rFonts w:ascii="Times New Roman" w:hAnsi="Times New Roman"/>
                <w:color w:val="000000" w:themeColor="text1"/>
                <w:kern w:val="2"/>
                <w:highlight w:val="none"/>
                <w:lang w:eastAsia="zh-CN"/>
                <w14:textFill>
                  <w14:solidFill>
                    <w14:schemeClr w14:val="tx1"/>
                  </w14:solidFill>
                </w14:textFill>
              </w:rPr>
            </w:pPr>
            <w:r>
              <w:rPr>
                <w:rFonts w:ascii="Times New Roman" w:hAnsi="Times New Roman"/>
                <w:color w:val="000000" w:themeColor="text1"/>
                <w:kern w:val="2"/>
                <w:highlight w:val="none"/>
                <w:lang w:eastAsia="zh-CN"/>
                <w14:textFill>
                  <w14:solidFill>
                    <w14:schemeClr w14:val="tx1"/>
                  </w14:solidFill>
                </w14:textFill>
              </w:rPr>
              <w:t>验收保障</w:t>
            </w:r>
          </w:p>
        </w:tc>
        <w:tc>
          <w:tcPr>
            <w:tcW w:w="1290" w:type="dxa"/>
            <w:tcBorders>
              <w:top w:val="single" w:color="auto" w:sz="4" w:space="0"/>
              <w:lef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分</w:t>
            </w:r>
          </w:p>
        </w:tc>
        <w:tc>
          <w:tcPr>
            <w:tcW w:w="5315" w:type="dxa"/>
            <w:tcBorders>
              <w:top w:val="single" w:color="auto" w:sz="4" w:space="0"/>
              <w:bottom w:val="single" w:color="auto" w:sz="4" w:space="0"/>
            </w:tcBorders>
            <w:vAlign w:val="center"/>
          </w:tcPr>
          <w:p>
            <w:pPr>
              <w:numPr>
                <w:ilvl w:val="0"/>
                <w:numId w:val="4"/>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产品的验收指标体系是否完整。</w:t>
            </w:r>
          </w:p>
          <w:p>
            <w:pPr>
              <w:numPr>
                <w:ilvl w:val="0"/>
                <w:numId w:val="4"/>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验收方法是否具有针对性和可操作性。</w:t>
            </w:r>
          </w:p>
          <w:p>
            <w:pPr>
              <w:numPr>
                <w:ilvl w:val="0"/>
                <w:numId w:val="4"/>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承诺的验收缺陷处置方案是否可行。</w:t>
            </w:r>
          </w:p>
          <w:p>
            <w:pPr>
              <w:numPr>
                <w:ilvl w:val="0"/>
                <w:numId w:val="4"/>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承诺的性能违约赔偿是否符合足以保护采购人的权益。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628" w:type="dxa"/>
            <w:vAlign w:val="center"/>
          </w:tcPr>
          <w:p>
            <w:pPr>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5</w:t>
            </w:r>
          </w:p>
        </w:tc>
        <w:tc>
          <w:tcPr>
            <w:tcW w:w="1486" w:type="dxa"/>
            <w:vAlign w:val="center"/>
          </w:tcPr>
          <w:p>
            <w:pPr>
              <w:pStyle w:val="151"/>
              <w:adjustRightInd w:val="0"/>
              <w:snapToGrid w:val="0"/>
              <w:jc w:val="center"/>
              <w:rPr>
                <w:rFonts w:ascii="Times New Roman" w:hAnsi="Times New Roman"/>
                <w:color w:val="000000" w:themeColor="text1"/>
                <w:kern w:val="2"/>
                <w:highlight w:val="none"/>
                <w:lang w:eastAsia="zh-CN"/>
                <w14:textFill>
                  <w14:solidFill>
                    <w14:schemeClr w14:val="tx1"/>
                  </w14:solidFill>
                </w14:textFill>
              </w:rPr>
            </w:pPr>
            <w:r>
              <w:rPr>
                <w:rFonts w:ascii="Times New Roman" w:hAnsi="Times New Roman"/>
                <w:color w:val="000000" w:themeColor="text1"/>
                <w:kern w:val="2"/>
                <w:highlight w:val="none"/>
                <w:lang w:eastAsia="zh-CN"/>
                <w14:textFill>
                  <w14:solidFill>
                    <w14:schemeClr w14:val="tx1"/>
                  </w14:solidFill>
                </w14:textFill>
              </w:rPr>
              <w:t>售后服务</w:t>
            </w:r>
          </w:p>
        </w:tc>
        <w:tc>
          <w:tcPr>
            <w:tcW w:w="1290" w:type="dxa"/>
            <w:tcBorders>
              <w:bottom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分</w:t>
            </w:r>
          </w:p>
        </w:tc>
        <w:tc>
          <w:tcPr>
            <w:tcW w:w="5315" w:type="dxa"/>
            <w:tcBorders>
              <w:bottom w:val="single" w:color="auto" w:sz="4" w:space="0"/>
            </w:tcBorders>
            <w:vAlign w:val="center"/>
          </w:tcPr>
          <w:p>
            <w:pPr>
              <w:numPr>
                <w:ilvl w:val="0"/>
                <w:numId w:val="5"/>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供应商需提供所投产品制造商授权函及制造商售后服务承诺函，设备制造商应承诺提供不少于 5 年的7*24小时售后服务</w:t>
            </w:r>
          </w:p>
          <w:p>
            <w:pPr>
              <w:numPr>
                <w:ilvl w:val="0"/>
                <w:numId w:val="5"/>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供应商响应时间及接报后到场时间的情况。</w:t>
            </w:r>
          </w:p>
          <w:p>
            <w:pPr>
              <w:numPr>
                <w:ilvl w:val="0"/>
                <w:numId w:val="5"/>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质保方案是否对招标人有利。</w:t>
            </w:r>
          </w:p>
          <w:p>
            <w:pPr>
              <w:numPr>
                <w:ilvl w:val="0"/>
                <w:numId w:val="5"/>
              </w:num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售后服务计划（包括网点设置、服务流程等）。</w:t>
            </w:r>
          </w:p>
          <w:p>
            <w:pPr>
              <w:numPr>
                <w:ilvl w:val="0"/>
                <w:numId w:val="5"/>
              </w:numPr>
              <w:rPr>
                <w:strike/>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备品、备件的供应渠道、方式。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628" w:type="dxa"/>
            <w:tcBorders>
              <w:bottom w:val="single" w:color="auto" w:sz="4" w:space="0"/>
            </w:tcBorders>
            <w:vAlign w:val="center"/>
          </w:tcPr>
          <w:p>
            <w:pPr>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6</w:t>
            </w:r>
          </w:p>
        </w:tc>
        <w:tc>
          <w:tcPr>
            <w:tcW w:w="1486" w:type="dxa"/>
            <w:tcBorders>
              <w:bottom w:val="single" w:color="auto" w:sz="4" w:space="0"/>
            </w:tcBorders>
            <w:vAlign w:val="center"/>
          </w:tcPr>
          <w:p>
            <w:pPr>
              <w:pStyle w:val="151"/>
              <w:adjustRightInd w:val="0"/>
              <w:snapToGrid w:val="0"/>
              <w:jc w:val="center"/>
              <w:rPr>
                <w:rFonts w:ascii="Times New Roman" w:hAnsi="Times New Roman"/>
                <w:color w:val="000000" w:themeColor="text1"/>
                <w:kern w:val="2"/>
                <w:highlight w:val="none"/>
                <w:lang w:eastAsia="zh-CN"/>
                <w14:textFill>
                  <w14:solidFill>
                    <w14:schemeClr w14:val="tx1"/>
                  </w14:solidFill>
                </w14:textFill>
              </w:rPr>
            </w:pPr>
            <w:r>
              <w:rPr>
                <w:rFonts w:ascii="Times New Roman" w:hAnsi="Times New Roman"/>
                <w:color w:val="000000" w:themeColor="text1"/>
                <w:kern w:val="2"/>
                <w:highlight w:val="none"/>
                <w:lang w:eastAsia="zh-CN"/>
                <w14:textFill>
                  <w14:solidFill>
                    <w14:schemeClr w14:val="tx1"/>
                  </w14:solidFill>
                </w14:textFill>
              </w:rPr>
              <w:t>类似项目业绩</w:t>
            </w:r>
          </w:p>
        </w:tc>
        <w:tc>
          <w:tcPr>
            <w:tcW w:w="1290" w:type="dxa"/>
            <w:tcBorders>
              <w:bottom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分</w:t>
            </w:r>
          </w:p>
        </w:tc>
        <w:tc>
          <w:tcPr>
            <w:tcW w:w="5315" w:type="dxa"/>
            <w:tcBorders>
              <w:bottom w:val="single" w:color="auto" w:sz="4" w:space="0"/>
            </w:tcBorders>
            <w:vAlign w:val="center"/>
          </w:tcPr>
          <w:p>
            <w:pPr>
              <w:spacing w:before="120" w:beforeLines="50" w:after="120" w:after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提供投标人近三年内相关产品采购合同复印件作为证明文件；每提供1个得1分、最多得5分。</w:t>
            </w:r>
          </w:p>
        </w:tc>
      </w:tr>
    </w:tbl>
    <w:p>
      <w:pPr>
        <w:adjustRightInd w:val="0"/>
        <w:spacing w:line="360" w:lineRule="atLeast"/>
        <w:textAlignment w:val="baseline"/>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注：1.  各项评标要素所涉及的评审内容包括但不限于表中所列的“主要评审内容”。</w:t>
      </w:r>
    </w:p>
    <w:p>
      <w:pPr>
        <w:adjustRightInd w:val="0"/>
        <w:spacing w:line="360" w:lineRule="atLeast"/>
        <w:ind w:firstLine="425"/>
        <w:textAlignment w:val="baseline"/>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  表中除</w:t>
      </w:r>
      <w:r>
        <w:rPr>
          <w:rFonts w:hint="eastAsia"/>
          <w:color w:val="000000" w:themeColor="text1"/>
          <w:kern w:val="0"/>
          <w:szCs w:val="21"/>
          <w:highlight w:val="none"/>
          <w14:textFill>
            <w14:solidFill>
              <w14:schemeClr w14:val="tx1"/>
            </w14:solidFill>
          </w14:textFill>
        </w:rPr>
        <w:t>1、6</w:t>
      </w:r>
      <w:r>
        <w:rPr>
          <w:color w:val="000000" w:themeColor="text1"/>
          <w:kern w:val="0"/>
          <w:szCs w:val="21"/>
          <w:highlight w:val="none"/>
          <w14:textFill>
            <w14:solidFill>
              <w14:schemeClr w14:val="tx1"/>
            </w14:solidFill>
          </w14:textFill>
        </w:rPr>
        <w:t>外的评标要素的评分标准为：</w:t>
      </w:r>
    </w:p>
    <w:p>
      <w:pPr>
        <w:adjustRightInd w:val="0"/>
        <w:spacing w:line="360" w:lineRule="atLeast"/>
        <w:ind w:firstLine="425"/>
        <w:textAlignment w:val="baseline"/>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ab/>
      </w:r>
      <w:r>
        <w:rPr>
          <w:color w:val="000000" w:themeColor="text1"/>
          <w:kern w:val="0"/>
          <w:szCs w:val="21"/>
          <w:highlight w:val="none"/>
          <w14:textFill>
            <w14:solidFill>
              <w14:schemeClr w14:val="tx1"/>
            </w14:solidFill>
          </w14:textFill>
        </w:rPr>
        <w:t>情况好的得该要素的满分分值；</w:t>
      </w:r>
    </w:p>
    <w:p>
      <w:pPr>
        <w:adjustRightInd w:val="0"/>
        <w:spacing w:line="360" w:lineRule="atLeast"/>
        <w:ind w:firstLine="425"/>
        <w:textAlignment w:val="baseline"/>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ab/>
      </w:r>
      <w:r>
        <w:rPr>
          <w:color w:val="000000" w:themeColor="text1"/>
          <w:kern w:val="0"/>
          <w:szCs w:val="21"/>
          <w:highlight w:val="none"/>
          <w14:textFill>
            <w14:solidFill>
              <w14:schemeClr w14:val="tx1"/>
            </w14:solidFill>
          </w14:textFill>
        </w:rPr>
        <w:t>情况较好的得该要素的满分分值×0.8；</w:t>
      </w:r>
    </w:p>
    <w:p>
      <w:pPr>
        <w:adjustRightInd w:val="0"/>
        <w:spacing w:line="360" w:lineRule="atLeast"/>
        <w:ind w:firstLine="425"/>
        <w:textAlignment w:val="baseline"/>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ab/>
      </w:r>
      <w:r>
        <w:rPr>
          <w:color w:val="000000" w:themeColor="text1"/>
          <w:kern w:val="0"/>
          <w:szCs w:val="21"/>
          <w:highlight w:val="none"/>
          <w14:textFill>
            <w14:solidFill>
              <w14:schemeClr w14:val="tx1"/>
            </w14:solidFill>
          </w14:textFill>
        </w:rPr>
        <w:t>情况一般的得该要素的满分分值×0.6；</w:t>
      </w:r>
    </w:p>
    <w:p>
      <w:pPr>
        <w:adjustRightInd w:val="0"/>
        <w:spacing w:line="360" w:lineRule="atLeast"/>
        <w:ind w:firstLine="425"/>
        <w:textAlignment w:val="baseline"/>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ab/>
      </w:r>
      <w:r>
        <w:rPr>
          <w:color w:val="000000" w:themeColor="text1"/>
          <w:kern w:val="0"/>
          <w:szCs w:val="21"/>
          <w:highlight w:val="none"/>
          <w14:textFill>
            <w14:solidFill>
              <w14:schemeClr w14:val="tx1"/>
            </w14:solidFill>
          </w14:textFill>
        </w:rPr>
        <w:t>情况较差的得该要素的满分分值×0.4。</w:t>
      </w:r>
    </w:p>
    <w:p>
      <w:pPr>
        <w:tabs>
          <w:tab w:val="left" w:pos="426"/>
        </w:tabs>
        <w:adjustRightInd w:val="0"/>
        <w:spacing w:line="360" w:lineRule="atLeast"/>
        <w:ind w:left="850" w:leftChars="202" w:hanging="426"/>
        <w:textAlignment w:val="baseline"/>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 xml:space="preserve">2.1  </w:t>
      </w:r>
      <w:r>
        <w:rPr>
          <w:color w:val="000000" w:themeColor="text1"/>
          <w:kern w:val="0"/>
          <w:szCs w:val="21"/>
          <w:highlight w:val="none"/>
          <w14:textFill>
            <w14:solidFill>
              <w14:schemeClr w14:val="tx1"/>
            </w14:solidFill>
          </w14:textFill>
        </w:rPr>
        <w:t>响应情况好是指针对招标文件“技术规格”所提出各项要求响应性说明系统、翔实、准确，针对性强；无负偏离或缺漏项；响应性表述清晰，技术指标或参数具体、明确、有冗余；设备或装置选型合理，类似业绩丰富；验收标准和方法科学、合理、可操作性强；承诺的违约责任具有约束力，对保证项目达到预期目标有利。</w:t>
      </w:r>
    </w:p>
    <w:p>
      <w:pPr>
        <w:tabs>
          <w:tab w:val="left" w:pos="426"/>
        </w:tabs>
        <w:adjustRightInd w:val="0"/>
        <w:spacing w:line="360" w:lineRule="atLeast"/>
        <w:ind w:left="850" w:leftChars="202" w:hanging="426"/>
        <w:textAlignment w:val="baseline"/>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 xml:space="preserve">2.2  </w:t>
      </w:r>
      <w:r>
        <w:rPr>
          <w:color w:val="000000" w:themeColor="text1"/>
          <w:kern w:val="0"/>
          <w:szCs w:val="21"/>
          <w:highlight w:val="none"/>
          <w14:textFill>
            <w14:solidFill>
              <w14:schemeClr w14:val="tx1"/>
            </w14:solidFill>
          </w14:textFill>
        </w:rPr>
        <w:t>响应情况较好是指针对招标文件“技术规格”所提出各项要求响应性说明比较系统，针对性较强；无负偏离或大的缺漏项；响应性表述较清晰，技术指标或参数较具体、明确、基本无冗余；设备选型较合理，类似业绩较丰富；验收标准和方法较科学、合理；承诺的违约责任具较有约束力，能够达到预期目标有利。</w:t>
      </w:r>
    </w:p>
    <w:p>
      <w:pPr>
        <w:tabs>
          <w:tab w:val="left" w:pos="426"/>
        </w:tabs>
        <w:adjustRightInd w:val="0"/>
        <w:spacing w:line="360" w:lineRule="atLeast"/>
        <w:ind w:left="850" w:leftChars="202" w:hanging="426"/>
        <w:textAlignment w:val="baseline"/>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 xml:space="preserve">2.3  </w:t>
      </w:r>
      <w:r>
        <w:rPr>
          <w:color w:val="000000" w:themeColor="text1"/>
          <w:kern w:val="0"/>
          <w:szCs w:val="21"/>
          <w:highlight w:val="none"/>
          <w14:textFill>
            <w14:solidFill>
              <w14:schemeClr w14:val="tx1"/>
            </w14:solidFill>
          </w14:textFill>
        </w:rPr>
        <w:t>响应情况一般是指针对招标文件“技术规格”所提出各项要求响应性说明基本完整，针对性一般；有负偏离或较多缺漏项；个别内容的响应性表述不够清晰，技术指标或参数较不够具体或明确、无冗余；设备选型基本符合要求，有类似业绩，但相对较少；有验收标准和方法，但不够完整；承诺的违约责任不太具有约束力。</w:t>
      </w:r>
    </w:p>
    <w:p>
      <w:pPr>
        <w:tabs>
          <w:tab w:val="left" w:pos="426"/>
        </w:tabs>
        <w:adjustRightInd w:val="0"/>
        <w:spacing w:line="360" w:lineRule="atLeast"/>
        <w:ind w:left="850" w:leftChars="202" w:hanging="426"/>
        <w:textAlignment w:val="baseline"/>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 xml:space="preserve">2.4  </w:t>
      </w:r>
      <w:r>
        <w:rPr>
          <w:color w:val="000000" w:themeColor="text1"/>
          <w:kern w:val="0"/>
          <w:szCs w:val="21"/>
          <w:highlight w:val="none"/>
          <w14:textFill>
            <w14:solidFill>
              <w14:schemeClr w14:val="tx1"/>
            </w14:solidFill>
          </w14:textFill>
        </w:rPr>
        <w:t>响应情况较差是指针对招标文件“技术规格”所提出各项要求响应性说明内容不完整，针对性不强；有较多负偏离和缺漏项；部分内容响应性表述不清晰，部分技术指标或参数不具体或不明确，导致评委无法作出准确判断；设备选型不太符合要求，无类似业绩；未提及验收标准和方法或虽有提及但相关内容不具操作性；未承诺的违约责任。</w:t>
      </w:r>
    </w:p>
    <w:p>
      <w:pPr>
        <w:snapToGrid w:val="0"/>
        <w:spacing w:before="120" w:beforeLines="50" w:after="120" w:afterLines="50" w:line="380" w:lineRule="exact"/>
        <w:jc w:val="center"/>
        <w:rPr>
          <w:rFonts w:ascii="宋体" w:hAnsi="宋体"/>
          <w:b/>
          <w:color w:val="000000" w:themeColor="text1"/>
          <w:szCs w:val="21"/>
          <w:highlight w:val="none"/>
          <w14:textFill>
            <w14:solidFill>
              <w14:schemeClr w14:val="tx1"/>
            </w14:solidFill>
          </w14:textFill>
        </w:rPr>
      </w:pPr>
    </w:p>
    <w:p>
      <w:pPr>
        <w:snapToGrid w:val="0"/>
        <w:spacing w:before="120" w:beforeLines="50" w:after="120" w:afterLines="50" w:line="38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第六章    投标文件有关格式</w:t>
      </w:r>
    </w:p>
    <w:p>
      <w:pPr>
        <w:spacing w:line="360" w:lineRule="auto"/>
        <w:outlineLvl w:val="0"/>
        <w:rPr>
          <w:rFonts w:ascii="宋体" w:hAnsi="宋体"/>
          <w:b/>
          <w:color w:val="000000" w:themeColor="text1"/>
          <w:szCs w:val="21"/>
          <w:highlight w:val="none"/>
          <w14:textFill>
            <w14:solidFill>
              <w14:schemeClr w14:val="tx1"/>
            </w14:solidFill>
          </w14:textFill>
        </w:rPr>
      </w:pP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一、商务响应文件有关格式</w:t>
      </w:r>
    </w:p>
    <w:p>
      <w:pPr>
        <w:spacing w:line="360" w:lineRule="auto"/>
        <w:jc w:val="center"/>
        <w:outlineLvl w:val="0"/>
        <w:rPr>
          <w:rFonts w:ascii="宋体" w:hAnsi="宋体"/>
          <w:b/>
          <w:color w:val="000000" w:themeColor="text1"/>
          <w:szCs w:val="21"/>
          <w:highlight w:val="none"/>
          <w14:textFill>
            <w14:solidFill>
              <w14:schemeClr w14:val="tx1"/>
            </w14:solidFill>
          </w14:textFill>
        </w:rPr>
      </w:pP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1、投标函格式</w:t>
      </w:r>
    </w:p>
    <w:p>
      <w:pPr>
        <w:spacing w:line="360" w:lineRule="auto"/>
        <w:jc w:val="center"/>
        <w:rPr>
          <w:rFonts w:ascii="宋体" w:hAnsi="宋体"/>
          <w:b/>
          <w:color w:val="000000" w:themeColor="text1"/>
          <w:szCs w:val="21"/>
          <w:highlight w:val="none"/>
          <w14:textFill>
            <w14:solidFill>
              <w14:schemeClr w14:val="tx1"/>
            </w14:solidFill>
          </w14:textFill>
        </w:rPr>
      </w:pPr>
    </w:p>
    <w:p>
      <w:pPr>
        <w:spacing w:line="360" w:lineRule="auto"/>
        <w:outlineLvl w:val="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（招标人名称）</w:t>
      </w:r>
    </w:p>
    <w:p>
      <w:pPr>
        <w:spacing w:line="360" w:lineRule="auto"/>
        <w:ind w:firstLine="420" w:firstLineChars="200"/>
        <w:outlineLvl w:val="0"/>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根据贵方</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（项目名称、招标编号）采购的招标公告及采购公告，</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（姓名和职务）被正式授权代表投标人</w:t>
      </w:r>
      <w:r>
        <w:rPr>
          <w:rFonts w:hint="eastAsia" w:ascii="宋体" w:hAnsi="宋体"/>
          <w:color w:val="000000" w:themeColor="text1"/>
          <w:szCs w:val="21"/>
          <w:highlight w:val="none"/>
          <w:u w:val="single"/>
          <w14:textFill>
            <w14:solidFill>
              <w14:schemeClr w14:val="tx1"/>
            </w14:solidFill>
          </w14:textFill>
        </w:rPr>
        <w:t xml:space="preserve">         </w:t>
      </w:r>
    </w:p>
    <w:p>
      <w:pPr>
        <w:spacing w:line="360" w:lineRule="auto"/>
        <w:outlineLvl w:val="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（投标人名称、地址），向贵方在提交投标文件正本1份、副本4份。</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据此函，投标人兹宣布同意如下：</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1.按招标文件规定，我方的投标总价为</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（大写）元人民币。</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2.我方已详细研究了全部招标文件，包括招标文件的澄清和修改文件（如果有的话）、参考资料及有关附件，我们已完全理解并接受招标文件的各项规定和要求，对招标文件的合理性、合法性不再有异议。</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3.投标有效期为自开标之日起 ______日。</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4.如我方中标，投标文件将作为本项目合同的组成部分，直至合同履行完毕止均保持有效，我方将按招标文件及政府采购法律、法规的规定，</w:t>
      </w:r>
      <w:r>
        <w:rPr>
          <w:rFonts w:hint="eastAsia" w:ascii="宋体"/>
          <w:color w:val="000000" w:themeColor="text1"/>
          <w:szCs w:val="21"/>
          <w:highlight w:val="none"/>
          <w14:textFill>
            <w14:solidFill>
              <w14:schemeClr w14:val="tx1"/>
            </w14:solidFill>
          </w14:textFill>
        </w:rPr>
        <w:t>承担完成合同的全部责任和义务。</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5.如果我方有招标文件规定的不予退还投标保证金的任何行为，我方的投标保证金可被贵方没收。</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6.我方同意向贵方提供贵方可能进一步要求的与本投标有关的一切证据或资料。</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7.我方完全理解贵方不一定要接受最低报价的投标或其他任何投标。</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8.为便于贵方公正、择优地确定中标人，我方就本次投标有关事项郑重声明如下：</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（1）我方向贵方提交的所有投标文件、资料都是准确的和真实的。</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（2）我方不是采购人的附属机构。</w:t>
      </w:r>
    </w:p>
    <w:p>
      <w:pPr>
        <w:pStyle w:val="17"/>
        <w:snapToGrid w:val="0"/>
        <w:spacing w:line="360" w:lineRule="auto"/>
        <w:ind w:firstLine="420" w:firstLineChars="200"/>
        <w:rPr>
          <w:rFonts w:hAnsi="宋体"/>
          <w:color w:val="000000" w:themeColor="text1"/>
          <w:sz w:val="21"/>
          <w:szCs w:val="21"/>
          <w:highlight w:val="none"/>
          <w14:textFill>
            <w14:solidFill>
              <w14:schemeClr w14:val="tx1"/>
            </w14:solidFill>
          </w14:textFill>
        </w:rPr>
      </w:pPr>
      <w:r>
        <w:rPr>
          <w:rFonts w:hint="eastAsia" w:hAnsi="宋体"/>
          <w:color w:val="000000" w:themeColor="text1"/>
          <w:sz w:val="21"/>
          <w:szCs w:val="21"/>
          <w:highlight w:val="none"/>
          <w14:textFill>
            <w14:solidFill>
              <w14:schemeClr w14:val="tx1"/>
            </w14:solidFill>
          </w14:textFill>
        </w:rPr>
        <w:t>（3）我方最近三年（2017年10月至今）内因违法行为被通报或者被处罚的情况：</w:t>
      </w:r>
    </w:p>
    <w:p>
      <w:pPr>
        <w:snapToGrid w:val="0"/>
        <w:spacing w:before="120" w:beforeLines="50" w:line="360" w:lineRule="auto"/>
        <w:ind w:firstLine="420" w:firstLineChars="200"/>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u w:val="single"/>
          <w14:textFill>
            <w14:solidFill>
              <w14:schemeClr w14:val="tx1"/>
            </w14:solidFill>
          </w14:textFill>
        </w:rPr>
        <w:t>　　　　　　　　　　　　　　　　　　　　　　　　　　　</w:t>
      </w:r>
    </w:p>
    <w:p>
      <w:pPr>
        <w:snapToGrid w:val="0"/>
        <w:spacing w:before="120" w:beforeLines="50" w:line="360" w:lineRule="auto"/>
        <w:ind w:firstLine="420" w:firstLineChars="200"/>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u w:val="single"/>
          <w14:textFill>
            <w14:solidFill>
              <w14:schemeClr w14:val="tx1"/>
            </w14:solidFill>
          </w14:textFill>
        </w:rPr>
        <w:t>　　　　　　　　　　　　　　　　　　　　　　　　　　　</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（4）以上事项如有虚假或隐瞒，我方愿意承担一切后果，并不再寻求任何旨在减轻或免除法律责任的辩解。</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46976" behindDoc="0" locked="0" layoutInCell="0" allowOverlap="1">
                <wp:simplePos x="0" y="0"/>
                <wp:positionH relativeFrom="column">
                  <wp:posOffset>889000</wp:posOffset>
                </wp:positionH>
                <wp:positionV relativeFrom="paragraph">
                  <wp:posOffset>180340</wp:posOffset>
                </wp:positionV>
                <wp:extent cx="3746500" cy="0"/>
                <wp:effectExtent l="10795" t="8890" r="5080" b="10160"/>
                <wp:wrapNone/>
                <wp:docPr id="46" name="直线 2"/>
                <wp:cNvGraphicFramePr/>
                <a:graphic xmlns:a="http://schemas.openxmlformats.org/drawingml/2006/main">
                  <a:graphicData uri="http://schemas.microsoft.com/office/word/2010/wordprocessingShape">
                    <wps:wsp>
                      <wps:cNvCnPr>
                        <a:cxnSpLocks noChangeShapeType="1"/>
                      </wps:cNvCnPr>
                      <wps:spPr bwMode="auto">
                        <a:xfrm>
                          <a:off x="0" y="0"/>
                          <a:ext cx="3746500" cy="0"/>
                        </a:xfrm>
                        <a:prstGeom prst="line">
                          <a:avLst/>
                        </a:prstGeom>
                        <a:noFill/>
                        <a:ln w="9525">
                          <a:solidFill>
                            <a:srgbClr val="000000"/>
                          </a:solidFill>
                          <a:round/>
                        </a:ln>
                      </wps:spPr>
                      <wps:bodyPr/>
                    </wps:wsp>
                  </a:graphicData>
                </a:graphic>
              </wp:anchor>
            </w:drawing>
          </mc:Choice>
          <mc:Fallback>
            <w:pict>
              <v:line id="直线 2" o:spid="_x0000_s1026" o:spt="20" style="position:absolute;left:0pt;margin-left:70pt;margin-top:14.2pt;height:0pt;width:295pt;z-index:251646976;mso-width-relative:page;mso-height-relative:page;" filled="f" stroked="t" coordsize="21600,21600" o:allowincell="f" o:gfxdata="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7lyqPVAAAACQEAAA8AAAAAAAAAAQAg&#10;AAAAIgAAAGRycy9kb3ducmV2LnhtbFBLAQIUABQAAAAIAIdO4kBiNSxT2AEAAKIDAAAOAAAAAAAA&#10;AAEAIAAAACQBAABkcnMvZTJvRG9jLnhtbFBLBQYAAAAABgAGAFkBAABuBQ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 xml:space="preserve">  地址：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48000" behindDoc="0" locked="0" layoutInCell="0" allowOverlap="1">
                <wp:simplePos x="0" y="0"/>
                <wp:positionH relativeFrom="column">
                  <wp:posOffset>1456690</wp:posOffset>
                </wp:positionH>
                <wp:positionV relativeFrom="paragraph">
                  <wp:posOffset>180340</wp:posOffset>
                </wp:positionV>
                <wp:extent cx="3178810" cy="0"/>
                <wp:effectExtent l="6985" t="11430" r="5080" b="7620"/>
                <wp:wrapNone/>
                <wp:docPr id="45" name="直线 3"/>
                <wp:cNvGraphicFramePr/>
                <a:graphic xmlns:a="http://schemas.openxmlformats.org/drawingml/2006/main">
                  <a:graphicData uri="http://schemas.microsoft.com/office/word/2010/wordprocessingShape">
                    <wps:wsp>
                      <wps:cNvCnPr>
                        <a:cxnSpLocks noChangeShapeType="1"/>
                      </wps:cNvCnPr>
                      <wps:spPr bwMode="auto">
                        <a:xfrm>
                          <a:off x="0" y="0"/>
                          <a:ext cx="3178810" cy="0"/>
                        </a:xfrm>
                        <a:prstGeom prst="line">
                          <a:avLst/>
                        </a:prstGeom>
                        <a:noFill/>
                        <a:ln w="9525">
                          <a:solidFill>
                            <a:srgbClr val="000000"/>
                          </a:solidFill>
                          <a:round/>
                        </a:ln>
                      </wps:spPr>
                      <wps:bodyPr/>
                    </wps:wsp>
                  </a:graphicData>
                </a:graphic>
              </wp:anchor>
            </w:drawing>
          </mc:Choice>
          <mc:Fallback>
            <w:pict>
              <v:line id="直线 3" o:spid="_x0000_s1026" o:spt="20" style="position:absolute;left:0pt;margin-left:114.7pt;margin-top:14.2pt;height:0pt;width:250.3pt;z-index:251648000;mso-width-relative:page;mso-height-relative:page;" filled="f" stroked="t" coordsize="21600,21600" o:allowincell="f" o:gfxdata="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k/VdTVAAAACQEAAA8AAAAAAAAAAQAg&#10;AAAAIgAAAGRycy9kb3ducmV2LnhtbFBLAQIUABQAAAAIAIdO4kAladxd2AEAAKIDAAAOAAAAAAAA&#10;AAEAIAAAACQBAABkcnMvZTJvRG9jLnhtbFBLBQYAAAAABgAGAFkBAABuBQ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 xml:space="preserve">  电话、传真：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49024" behindDoc="0" locked="0" layoutInCell="0" allowOverlap="1">
                <wp:simplePos x="0" y="0"/>
                <wp:positionH relativeFrom="column">
                  <wp:posOffset>1206500</wp:posOffset>
                </wp:positionH>
                <wp:positionV relativeFrom="paragraph">
                  <wp:posOffset>172720</wp:posOffset>
                </wp:positionV>
                <wp:extent cx="3429000" cy="0"/>
                <wp:effectExtent l="13970" t="5715" r="5080" b="13335"/>
                <wp:wrapNone/>
                <wp:docPr id="44" name="直线 4"/>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round/>
                        </a:ln>
                      </wps:spPr>
                      <wps:bodyPr/>
                    </wps:wsp>
                  </a:graphicData>
                </a:graphic>
              </wp:anchor>
            </w:drawing>
          </mc:Choice>
          <mc:Fallback>
            <w:pict>
              <v:line id="直线 4" o:spid="_x0000_s1026" o:spt="20" style="position:absolute;left:0pt;margin-left:95pt;margin-top:13.6pt;height:0pt;width:270pt;z-index:251649024;mso-width-relative:page;mso-height-relative:page;" filled="f" stroked="t" coordsize="21600,21600" o:allowincell="f" o:gfxdata="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5Y7tcNUAAAAJAQAADwAAAAAAAAABACAA&#10;AAAiAAAAZHJzL2Rvd25yZXYueG1sUEsBAhQAFAAAAAgAh07iQA65KZLXAQAAogMAAA4AAAAAAAAA&#10;AQAgAAAAJAEAAGRycy9lMm9Eb2MueG1sUEsFBgAAAAAGAAYAWQEAAG0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 xml:space="preserve">  邮政编码：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0048" behindDoc="0" locked="0" layoutInCell="0" allowOverlap="1">
                <wp:simplePos x="0" y="0"/>
                <wp:positionH relativeFrom="column">
                  <wp:posOffset>1270000</wp:posOffset>
                </wp:positionH>
                <wp:positionV relativeFrom="paragraph">
                  <wp:posOffset>180340</wp:posOffset>
                </wp:positionV>
                <wp:extent cx="3394710" cy="0"/>
                <wp:effectExtent l="10795" t="6350" r="13970" b="12700"/>
                <wp:wrapNone/>
                <wp:docPr id="43" name="直线 5"/>
                <wp:cNvGraphicFramePr/>
                <a:graphic xmlns:a="http://schemas.openxmlformats.org/drawingml/2006/main">
                  <a:graphicData uri="http://schemas.microsoft.com/office/word/2010/wordprocessingShape">
                    <wps:wsp>
                      <wps:cNvCnPr>
                        <a:cxnSpLocks noChangeShapeType="1"/>
                      </wps:cNvCnPr>
                      <wps:spPr bwMode="auto">
                        <a:xfrm>
                          <a:off x="0" y="0"/>
                          <a:ext cx="3394710" cy="0"/>
                        </a:xfrm>
                        <a:prstGeom prst="line">
                          <a:avLst/>
                        </a:prstGeom>
                        <a:noFill/>
                        <a:ln w="9525">
                          <a:solidFill>
                            <a:srgbClr val="000000"/>
                          </a:solidFill>
                          <a:round/>
                        </a:ln>
                      </wps:spPr>
                      <wps:bodyPr/>
                    </wps:wsp>
                  </a:graphicData>
                </a:graphic>
              </wp:anchor>
            </w:drawing>
          </mc:Choice>
          <mc:Fallback>
            <w:pict>
              <v:line id="直线 5" o:spid="_x0000_s1026" o:spt="20" style="position:absolute;left:0pt;margin-left:100pt;margin-top:14.2pt;height:0pt;width:267.3pt;z-index:251650048;mso-width-relative:page;mso-height-relative:page;" filled="f" stroked="t" coordsize="21600,21600" o:allowincell="f" o:gfxdata="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fOZiG1gAAAAkBAAAPAAAAAAAAAAEA&#10;IAAAACIAAABkcnMvZG93bnJldi54bWxQSwECFAAUAAAACACHTuJA824f8dgBAACiAwAADgAAAAAA&#10;AAABACAAAAAlAQAAZHJzL2Uyb0RvYy54bWxQSwUGAAAAAAYABgBZAQAAbwU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 xml:space="preserve">  开户银行：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1072" behindDoc="0" locked="0" layoutInCell="1" allowOverlap="1">
                <wp:simplePos x="0" y="0"/>
                <wp:positionH relativeFrom="column">
                  <wp:posOffset>1257300</wp:posOffset>
                </wp:positionH>
                <wp:positionV relativeFrom="paragraph">
                  <wp:posOffset>220345</wp:posOffset>
                </wp:positionV>
                <wp:extent cx="3746500" cy="0"/>
                <wp:effectExtent l="7620" t="10160" r="8255" b="8890"/>
                <wp:wrapNone/>
                <wp:docPr id="42" name="直线 6"/>
                <wp:cNvGraphicFramePr/>
                <a:graphic xmlns:a="http://schemas.openxmlformats.org/drawingml/2006/main">
                  <a:graphicData uri="http://schemas.microsoft.com/office/word/2010/wordprocessingShape">
                    <wps:wsp>
                      <wps:cNvCnPr>
                        <a:cxnSpLocks noChangeShapeType="1"/>
                      </wps:cNvCnPr>
                      <wps:spPr bwMode="auto">
                        <a:xfrm>
                          <a:off x="0" y="0"/>
                          <a:ext cx="3746500" cy="0"/>
                        </a:xfrm>
                        <a:prstGeom prst="line">
                          <a:avLst/>
                        </a:prstGeom>
                        <a:noFill/>
                        <a:ln w="9525">
                          <a:solidFill>
                            <a:srgbClr val="000000"/>
                          </a:solidFill>
                          <a:round/>
                        </a:ln>
                      </wps:spPr>
                      <wps:bodyPr/>
                    </wps:wsp>
                  </a:graphicData>
                </a:graphic>
              </wp:anchor>
            </w:drawing>
          </mc:Choice>
          <mc:Fallback>
            <w:pict>
              <v:line id="直线 6" o:spid="_x0000_s1026" o:spt="20" style="position:absolute;left:0pt;margin-left:99pt;margin-top:17.35pt;height:0pt;width:295pt;z-index:251651072;mso-width-relative:page;mso-height-relative:page;" filled="f" stroked="t" coordsize="21600,21600" o:gfxdata="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qUQB7VAAAACQEAAA8AAAAAAAAAAQAg&#10;AAAAIgAAAGRycy9kb3ducmV2LnhtbFBLAQIUABQAAAAIAIdO4kAZgTBj2AEAAKIDAAAOAAAAAAAA&#10;AAEAIAAAACQBAABkcnMvZTJvRG9jLnhtbFBLBQYAAAAABgAGAFkBAABuBQ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 xml:space="preserve">  银行账号：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2096" behindDoc="0" locked="0" layoutInCell="0" allowOverlap="1">
                <wp:simplePos x="0" y="0"/>
                <wp:positionH relativeFrom="column">
                  <wp:posOffset>1968500</wp:posOffset>
                </wp:positionH>
                <wp:positionV relativeFrom="paragraph">
                  <wp:posOffset>194945</wp:posOffset>
                </wp:positionV>
                <wp:extent cx="2984500" cy="0"/>
                <wp:effectExtent l="13970" t="6350" r="11430" b="12700"/>
                <wp:wrapNone/>
                <wp:docPr id="41" name="直线 7"/>
                <wp:cNvGraphicFramePr/>
                <a:graphic xmlns:a="http://schemas.openxmlformats.org/drawingml/2006/main">
                  <a:graphicData uri="http://schemas.microsoft.com/office/word/2010/wordprocessingShape">
                    <wps:wsp>
                      <wps:cNvCnPr>
                        <a:cxnSpLocks noChangeShapeType="1"/>
                      </wps:cNvCnPr>
                      <wps:spPr bwMode="auto">
                        <a:xfrm>
                          <a:off x="0" y="0"/>
                          <a:ext cx="2984500" cy="0"/>
                        </a:xfrm>
                        <a:prstGeom prst="line">
                          <a:avLst/>
                        </a:prstGeom>
                        <a:noFill/>
                        <a:ln w="9525">
                          <a:solidFill>
                            <a:srgbClr val="000000"/>
                          </a:solidFill>
                          <a:round/>
                        </a:ln>
                      </wps:spPr>
                      <wps:bodyPr/>
                    </wps:wsp>
                  </a:graphicData>
                </a:graphic>
              </wp:anchor>
            </w:drawing>
          </mc:Choice>
          <mc:Fallback>
            <w:pict>
              <v:line id="直线 7" o:spid="_x0000_s1026" o:spt="20" style="position:absolute;left:0pt;margin-left:155pt;margin-top:15.35pt;height:0pt;width:235pt;z-index:251652096;mso-width-relative:page;mso-height-relative:page;" filled="f" stroked="t" coordsize="21600,21600" o:allowincell="f" o:gfxdata="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c1brtdUAAAAJAQAADwAAAAAAAAABACAA&#10;AAAiAAAAZHJzL2Rvd25yZXYueG1sUEsBAhQAFAAAAAgAh07iQBLEoq7XAQAAogMAAA4AAAAAAAAA&#10;AQAgAAAAJAEAAGRycy9lMm9Eb2MueG1sUEsFBgAAAAAGAAYAWQEAAG0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 xml:space="preserve">  投标人授权代表签名：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3120" behindDoc="0" locked="0" layoutInCell="0" allowOverlap="1">
                <wp:simplePos x="0" y="0"/>
                <wp:positionH relativeFrom="column">
                  <wp:posOffset>2000885</wp:posOffset>
                </wp:positionH>
                <wp:positionV relativeFrom="paragraph">
                  <wp:posOffset>180340</wp:posOffset>
                </wp:positionV>
                <wp:extent cx="2952115" cy="0"/>
                <wp:effectExtent l="8255" t="12700" r="11430" b="6350"/>
                <wp:wrapNone/>
                <wp:docPr id="40" name="直线 8"/>
                <wp:cNvGraphicFramePr/>
                <a:graphic xmlns:a="http://schemas.openxmlformats.org/drawingml/2006/main">
                  <a:graphicData uri="http://schemas.microsoft.com/office/word/2010/wordprocessingShape">
                    <wps:wsp>
                      <wps:cNvCnPr>
                        <a:cxnSpLocks noChangeShapeType="1"/>
                      </wps:cNvCnPr>
                      <wps:spPr bwMode="auto">
                        <a:xfrm>
                          <a:off x="0" y="0"/>
                          <a:ext cx="2952115" cy="0"/>
                        </a:xfrm>
                        <a:prstGeom prst="line">
                          <a:avLst/>
                        </a:prstGeom>
                        <a:noFill/>
                        <a:ln w="9525">
                          <a:solidFill>
                            <a:srgbClr val="000000"/>
                          </a:solidFill>
                          <a:round/>
                        </a:ln>
                      </wps:spPr>
                      <wps:bodyPr/>
                    </wps:wsp>
                  </a:graphicData>
                </a:graphic>
              </wp:anchor>
            </w:drawing>
          </mc:Choice>
          <mc:Fallback>
            <w:pict>
              <v:line id="直线 8" o:spid="_x0000_s1026" o:spt="20" style="position:absolute;left:0pt;margin-left:157.55pt;margin-top:14.2pt;height:0pt;width:232.45pt;z-index:251653120;mso-width-relative:page;mso-height-relative:page;" filled="f" stroked="t" coordsize="21600,21600" o:allowincell="f" o:gfxdata="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SRUHS9YAAAAJAQAADwAAAAAAAAABACAA&#10;AAAiAAAAZHJzL2Rvd25yZXYueG1sUEsBAhQAFAAAAAgAh07iQAEKlPjWAQAAogMAAA4AAAAAAAAA&#10;AQAgAAAAJQEAAGRycy9lMm9Eb2MueG1sUEsFBgAAAAAGAAYAWQEAAG0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 xml:space="preserve">  投标人名称（公章）：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br w:type="page"/>
      </w:r>
    </w:p>
    <w:p>
      <w:pPr>
        <w:spacing w:line="360" w:lineRule="auto"/>
        <w:ind w:firstLine="422"/>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2、开标一览表格式</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招标编号：</w:t>
      </w:r>
    </w:p>
    <w:tbl>
      <w:tblPr>
        <w:tblStyle w:val="33"/>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769"/>
        <w:gridCol w:w="1701"/>
        <w:gridCol w:w="1843"/>
        <w:gridCol w:w="1275"/>
        <w:gridCol w:w="127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24"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bookmarkStart w:id="41" w:name="开标一览表"/>
            <w:bookmarkEnd w:id="41"/>
            <w:r>
              <w:rPr>
                <w:rFonts w:hint="eastAsia"/>
                <w:color w:val="000000" w:themeColor="text1"/>
                <w:highlight w:val="none"/>
                <w14:textFill>
                  <w14:solidFill>
                    <w14:schemeClr w14:val="tx1"/>
                  </w14:solidFill>
                </w14:textFill>
              </w:rPr>
              <w:t>包号</w:t>
            </w:r>
          </w:p>
        </w:tc>
        <w:tc>
          <w:tcPr>
            <w:tcW w:w="1671"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项目名称</w:t>
            </w:r>
          </w:p>
        </w:tc>
        <w:tc>
          <w:tcPr>
            <w:tcW w:w="1813" w:type="dxa"/>
            <w:tcBorders>
              <w:top w:val="outset" w:color="auto" w:sz="6" w:space="0"/>
              <w:left w:val="outset" w:color="auto" w:sz="6" w:space="0"/>
              <w:bottom w:val="outset" w:color="auto" w:sz="6" w:space="0"/>
              <w:right w:val="outset" w:color="auto" w:sz="6" w:space="0"/>
            </w:tcBorders>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交付日期</w:t>
            </w:r>
          </w:p>
        </w:tc>
        <w:tc>
          <w:tcPr>
            <w:tcW w:w="1245" w:type="dxa"/>
            <w:tcBorders>
              <w:top w:val="outset" w:color="auto" w:sz="6" w:space="0"/>
              <w:left w:val="outset" w:color="auto" w:sz="6" w:space="0"/>
              <w:bottom w:val="outset" w:color="auto" w:sz="6" w:space="0"/>
              <w:right w:val="outset" w:color="auto" w:sz="6" w:space="0"/>
            </w:tcBorders>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质保期（年）</w:t>
            </w:r>
          </w:p>
        </w:tc>
        <w:tc>
          <w:tcPr>
            <w:tcW w:w="123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金额(元)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24"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671"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813" w:type="dxa"/>
            <w:tcBorders>
              <w:top w:val="outset" w:color="auto" w:sz="6" w:space="0"/>
              <w:left w:val="outset" w:color="auto" w:sz="6" w:space="0"/>
              <w:bottom w:val="outset" w:color="auto" w:sz="6" w:space="0"/>
              <w:right w:val="outset" w:color="auto" w:sz="6" w:space="0"/>
            </w:tcBorders>
          </w:tcPr>
          <w:p>
            <w:pPr>
              <w:rPr>
                <w:color w:val="000000" w:themeColor="text1"/>
                <w:highlight w:val="none"/>
                <w14:textFill>
                  <w14:solidFill>
                    <w14:schemeClr w14:val="tx1"/>
                  </w14:solidFill>
                </w14:textFill>
              </w:rPr>
            </w:pPr>
          </w:p>
        </w:tc>
        <w:tc>
          <w:tcPr>
            <w:tcW w:w="1245" w:type="dxa"/>
            <w:tcBorders>
              <w:top w:val="outset" w:color="auto" w:sz="6" w:space="0"/>
              <w:left w:val="outset" w:color="auto" w:sz="6" w:space="0"/>
              <w:bottom w:val="outset" w:color="auto" w:sz="6" w:space="0"/>
              <w:right w:val="outset" w:color="auto" w:sz="6" w:space="0"/>
            </w:tcBorders>
          </w:tcPr>
          <w:p>
            <w:pPr>
              <w:rPr>
                <w:color w:val="000000" w:themeColor="text1"/>
                <w:highlight w:val="none"/>
                <w14:textFill>
                  <w14:solidFill>
                    <w14:schemeClr w14:val="tx1"/>
                  </w14:solidFill>
                </w14:textFill>
              </w:rPr>
            </w:pPr>
          </w:p>
        </w:tc>
        <w:tc>
          <w:tcPr>
            <w:tcW w:w="123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bl>
    <w:p>
      <w:pPr>
        <w:rPr>
          <w:color w:val="000000" w:themeColor="text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说明：（1）“金额（元）”指本项目的投标报价，所有价格均系用人民币表示，单位为元，精确到个数位。</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（2）投标人应按照《项目概况及招标需求》和《投标人须知》的要求报价。</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（3）开标一览表内容与投标文件其它部分内容不一致时以开标一览表内容为准。</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4144" behindDoc="0" locked="0" layoutInCell="0" allowOverlap="1">
                <wp:simplePos x="0" y="0"/>
                <wp:positionH relativeFrom="column">
                  <wp:posOffset>1520825</wp:posOffset>
                </wp:positionH>
                <wp:positionV relativeFrom="paragraph">
                  <wp:posOffset>180340</wp:posOffset>
                </wp:positionV>
                <wp:extent cx="1908175" cy="0"/>
                <wp:effectExtent l="13970" t="8255" r="11430" b="10795"/>
                <wp:wrapNone/>
                <wp:docPr id="39" name="直线 9"/>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9" o:spid="_x0000_s1026" o:spt="20" style="position:absolute;left:0pt;margin-left:119.75pt;margin-top:14.2pt;height:0pt;width:150.25pt;z-index:251654144;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1UxML1gAAAAkBAAAPAAAAAAAAAAEA&#10;IAAAACIAAABkcnMvZG93bnJldi54bWxQSwECFAAUAAAACACHTuJA1i/6o9gBAACiAwAADgAAAAAA&#10;AAABACAAAAAlAQAAZHJzL2Uyb0RvYy54bWxQSwUGAAAAAAYABgBZAQAAbwU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6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5168" behindDoc="0" locked="0" layoutInCell="0" allowOverlap="1">
                <wp:simplePos x="0" y="0"/>
                <wp:positionH relativeFrom="column">
                  <wp:posOffset>1141095</wp:posOffset>
                </wp:positionH>
                <wp:positionV relativeFrom="paragraph">
                  <wp:posOffset>180340</wp:posOffset>
                </wp:positionV>
                <wp:extent cx="2307590" cy="0"/>
                <wp:effectExtent l="5715" t="10160" r="10795" b="8890"/>
                <wp:wrapNone/>
                <wp:docPr id="38" name="直线 10"/>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10" o:spid="_x0000_s1026" o:spt="20" style="position:absolute;left:0pt;margin-left:89.85pt;margin-top:14.2pt;height:0pt;width:181.7pt;z-index:251655168;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LVKzazWAAAACQEAAA8AAAAAAAAA&#10;AQAgAAAAIgAAAGRycy9kb3ducmV2LnhtbFBLAQIUABQAAAAIAIdO4kD4ejzB2gEAAKMDAAAOAAAA&#10;AAAAAAEAIAAAACUBAABkcnMvZTJvRG9jLnhtbFBLBQYAAAAABgAGAFkBAABxBQ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widowControl/>
        <w:spacing w:line="360" w:lineRule="auto"/>
        <w:jc w:val="left"/>
        <w:rPr>
          <w:rFonts w:ascii="宋体" w:hAnsi="宋体"/>
          <w:color w:val="000000" w:themeColor="text1"/>
          <w:kern w:val="0"/>
          <w:szCs w:val="21"/>
          <w:highlight w:val="none"/>
          <w14:textFill>
            <w14:solidFill>
              <w14:schemeClr w14:val="tx1"/>
            </w14:solidFill>
          </w14:textFill>
        </w:rPr>
        <w:sectPr>
          <w:pgSz w:w="11906" w:h="16838"/>
          <w:pgMar w:top="1440" w:right="1797" w:bottom="1440" w:left="1797" w:header="851" w:footer="992" w:gutter="0"/>
          <w:cols w:space="720" w:num="1"/>
          <w:docGrid w:linePitch="312" w:charSpace="0"/>
        </w:sectPr>
      </w:pP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3、分项报价表格式</w:t>
      </w:r>
    </w:p>
    <w:p>
      <w:pPr>
        <w:jc w:val="center"/>
        <w:rPr>
          <w:rFonts w:ascii="宋体" w:hAnsi="宋体"/>
          <w:b/>
          <w:color w:val="000000" w:themeColor="text1"/>
          <w:szCs w:val="21"/>
          <w:highlight w:val="none"/>
          <w14:textFill>
            <w14:solidFill>
              <w14:schemeClr w14:val="tx1"/>
            </w14:solidFill>
          </w14:textFill>
        </w:rPr>
      </w:pPr>
    </w:p>
    <w:p>
      <w:pPr>
        <w:adjustRightInd w:val="0"/>
        <w:spacing w:line="360" w:lineRule="atLeast"/>
        <w:ind w:firstLine="482"/>
        <w:jc w:val="center"/>
        <w:textAlignment w:val="baseline"/>
        <w:rPr>
          <w:b/>
          <w:color w:val="000000" w:themeColor="text1"/>
          <w:kern w:val="0"/>
          <w:sz w:val="24"/>
          <w:szCs w:val="20"/>
          <w:highlight w:val="none"/>
          <w14:textFill>
            <w14:solidFill>
              <w14:schemeClr w14:val="tx1"/>
            </w14:solidFill>
          </w14:textFill>
        </w:rPr>
      </w:pPr>
      <w:r>
        <w:rPr>
          <w:b/>
          <w:color w:val="000000" w:themeColor="text1"/>
          <w:kern w:val="0"/>
          <w:sz w:val="24"/>
          <w:szCs w:val="20"/>
          <w:highlight w:val="none"/>
          <w14:textFill>
            <w14:solidFill>
              <w14:schemeClr w14:val="tx1"/>
            </w14:solidFill>
          </w14:textFill>
        </w:rPr>
        <w:t>投标分项报价表</w:t>
      </w:r>
    </w:p>
    <w:p>
      <w:pPr>
        <w:adjustRightInd w:val="0"/>
        <w:spacing w:line="360" w:lineRule="atLeast"/>
        <w:ind w:firstLine="482"/>
        <w:jc w:val="center"/>
        <w:textAlignment w:val="baseline"/>
        <w:rPr>
          <w:b/>
          <w:color w:val="000000" w:themeColor="text1"/>
          <w:kern w:val="0"/>
          <w:sz w:val="24"/>
          <w:szCs w:val="20"/>
          <w:highlight w:val="none"/>
          <w14:textFill>
            <w14:solidFill>
              <w14:schemeClr w14:val="tx1"/>
            </w14:solidFill>
          </w14:textFill>
        </w:rPr>
      </w:pPr>
    </w:p>
    <w:p>
      <w:pPr>
        <w:tabs>
          <w:tab w:val="left" w:pos="4305"/>
          <w:tab w:val="left" w:pos="7335"/>
        </w:tabs>
        <w:adjustRightInd w:val="0"/>
        <w:spacing w:line="360" w:lineRule="atLeast"/>
        <w:textAlignment w:val="baseline"/>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招标编号：_________</w:t>
      </w:r>
    </w:p>
    <w:p>
      <w:pPr>
        <w:adjustRightInd w:val="0"/>
        <w:spacing w:line="120" w:lineRule="exact"/>
        <w:textAlignment w:val="baseline"/>
        <w:rPr>
          <w:rFonts w:eastAsia="仿宋_GB2312"/>
          <w:color w:val="000000" w:themeColor="text1"/>
          <w:kern w:val="0"/>
          <w:sz w:val="30"/>
          <w:szCs w:val="20"/>
          <w:highlight w:val="none"/>
          <w14:textFill>
            <w14:solidFill>
              <w14:schemeClr w14:val="tx1"/>
            </w14:solidFill>
          </w14:textFill>
        </w:rPr>
      </w:pPr>
    </w:p>
    <w:tbl>
      <w:tblPr>
        <w:tblStyle w:val="33"/>
        <w:tblW w:w="896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49"/>
        <w:gridCol w:w="2198"/>
        <w:gridCol w:w="1325"/>
        <w:gridCol w:w="851"/>
        <w:gridCol w:w="992"/>
        <w:gridCol w:w="1403"/>
        <w:gridCol w:w="13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tblHeader/>
          <w:jc w:val="center"/>
        </w:trPr>
        <w:tc>
          <w:tcPr>
            <w:tcW w:w="849" w:type="dxa"/>
            <w:tcBorders>
              <w:top w:val="single" w:color="auto" w:sz="12" w:space="0"/>
              <w:bottom w:val="double" w:color="auto" w:sz="6" w:space="0"/>
            </w:tcBorders>
            <w:vAlign w:val="center"/>
          </w:tcPr>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序号</w:t>
            </w:r>
          </w:p>
        </w:tc>
        <w:tc>
          <w:tcPr>
            <w:tcW w:w="2198" w:type="dxa"/>
            <w:tcBorders>
              <w:top w:val="single" w:color="auto" w:sz="12" w:space="0"/>
              <w:bottom w:val="double" w:color="auto" w:sz="6" w:space="0"/>
            </w:tcBorders>
            <w:vAlign w:val="center"/>
          </w:tcPr>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名称</w:t>
            </w:r>
          </w:p>
        </w:tc>
        <w:tc>
          <w:tcPr>
            <w:tcW w:w="1325" w:type="dxa"/>
            <w:tcBorders>
              <w:top w:val="single" w:color="auto" w:sz="12" w:space="0"/>
              <w:bottom w:val="double" w:color="auto" w:sz="6" w:space="0"/>
            </w:tcBorders>
            <w:vAlign w:val="center"/>
          </w:tcPr>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型号和规格</w:t>
            </w:r>
          </w:p>
        </w:tc>
        <w:tc>
          <w:tcPr>
            <w:tcW w:w="851" w:type="dxa"/>
            <w:tcBorders>
              <w:top w:val="single" w:color="auto" w:sz="12" w:space="0"/>
              <w:bottom w:val="double" w:color="auto" w:sz="6" w:space="0"/>
            </w:tcBorders>
            <w:vAlign w:val="center"/>
          </w:tcPr>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制造商名称</w:t>
            </w:r>
          </w:p>
        </w:tc>
        <w:tc>
          <w:tcPr>
            <w:tcW w:w="992" w:type="dxa"/>
            <w:tcBorders>
              <w:top w:val="single" w:color="auto" w:sz="12" w:space="0"/>
              <w:bottom w:val="double" w:color="auto" w:sz="6" w:space="0"/>
            </w:tcBorders>
            <w:vAlign w:val="center"/>
          </w:tcPr>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数量</w:t>
            </w:r>
          </w:p>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（a）</w:t>
            </w:r>
          </w:p>
        </w:tc>
        <w:tc>
          <w:tcPr>
            <w:tcW w:w="1403" w:type="dxa"/>
            <w:tcBorders>
              <w:top w:val="single" w:color="auto" w:sz="12" w:space="0"/>
              <w:bottom w:val="double" w:color="auto" w:sz="6" w:space="0"/>
            </w:tcBorders>
            <w:vAlign w:val="center"/>
          </w:tcPr>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单价</w:t>
            </w:r>
          </w:p>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(b)</w:t>
            </w:r>
          </w:p>
        </w:tc>
        <w:tc>
          <w:tcPr>
            <w:tcW w:w="1351" w:type="dxa"/>
            <w:tcBorders>
              <w:top w:val="single" w:color="auto" w:sz="12" w:space="0"/>
              <w:bottom w:val="double" w:color="auto" w:sz="6" w:space="0"/>
            </w:tcBorders>
            <w:vAlign w:val="center"/>
          </w:tcPr>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总价</w:t>
            </w:r>
          </w:p>
          <w:p>
            <w:pPr>
              <w:adjustRightInd w:val="0"/>
              <w:spacing w:after="60" w:line="360" w:lineRule="atLeast"/>
              <w:ind w:left="57" w:right="57"/>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(a)×(</w:t>
            </w:r>
            <w:r>
              <w:rPr>
                <w:rFonts w:hint="eastAsia" w:ascii="宋体" w:hAnsi="宋体"/>
                <w:color w:val="000000" w:themeColor="text1"/>
                <w:kern w:val="0"/>
                <w:szCs w:val="20"/>
                <w:highlight w:val="none"/>
                <w14:textFill>
                  <w14:solidFill>
                    <w14:schemeClr w14:val="tx1"/>
                  </w14:solidFill>
                </w14:textFill>
              </w:rPr>
              <w:t>b</w:t>
            </w:r>
            <w:r>
              <w:rPr>
                <w:rFonts w:ascii="宋体" w:hAnsi="宋体"/>
                <w:color w:val="000000" w:themeColor="text1"/>
                <w:kern w:val="0"/>
                <w:szCs w:val="20"/>
                <w:highlight w:val="none"/>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849" w:type="dxa"/>
            <w:vAlign w:val="center"/>
          </w:tcPr>
          <w:p>
            <w:pPr>
              <w:pStyle w:val="151"/>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1</w:t>
            </w:r>
          </w:p>
        </w:tc>
        <w:tc>
          <w:tcPr>
            <w:tcW w:w="2198" w:type="dxa"/>
            <w:vAlign w:val="center"/>
          </w:tcPr>
          <w:p>
            <w:pPr>
              <w:pStyle w:val="151"/>
              <w:ind w:left="105" w:leftChars="50" w:right="105" w:rightChars="50"/>
              <w:rPr>
                <w:rFonts w:ascii="Times New Roman" w:hAnsi="Times New Roman"/>
                <w:color w:val="000000" w:themeColor="text1"/>
                <w:highlight w:val="none"/>
                <w:lang w:eastAsia="zh-CN"/>
                <w14:textFill>
                  <w14:solidFill>
                    <w14:schemeClr w14:val="tx1"/>
                  </w14:solidFill>
                </w14:textFill>
              </w:rPr>
            </w:pPr>
            <w:r>
              <w:rPr>
                <w:rFonts w:hint="eastAsia" w:ascii="Times New Roman" w:hAnsi="Times New Roman"/>
                <w:color w:val="000000" w:themeColor="text1"/>
                <w:highlight w:val="none"/>
                <w:lang w:eastAsia="zh-CN"/>
                <w14:textFill>
                  <w14:solidFill>
                    <w14:schemeClr w14:val="tx1"/>
                  </w14:solidFill>
                </w14:textFill>
              </w:rPr>
              <w:t>清醒动物脑活动解析系统平台</w:t>
            </w:r>
          </w:p>
        </w:tc>
        <w:tc>
          <w:tcPr>
            <w:tcW w:w="1325" w:type="dxa"/>
            <w:vAlign w:val="center"/>
          </w:tcPr>
          <w:p>
            <w:pPr>
              <w:adjustRightInd w:val="0"/>
              <w:spacing w:after="60" w:line="360" w:lineRule="atLeast"/>
              <w:ind w:left="63" w:leftChars="30" w:right="63" w:rightChars="30"/>
              <w:jc w:val="center"/>
              <w:textAlignment w:val="baseline"/>
              <w:rPr>
                <w:rFonts w:ascii="宋体" w:hAnsi="宋体"/>
                <w:color w:val="000000" w:themeColor="text1"/>
                <w:kern w:val="0"/>
                <w:szCs w:val="20"/>
                <w:highlight w:val="none"/>
                <w14:textFill>
                  <w14:solidFill>
                    <w14:schemeClr w14:val="tx1"/>
                  </w14:solidFill>
                </w14:textFill>
              </w:rPr>
            </w:pPr>
          </w:p>
        </w:tc>
        <w:tc>
          <w:tcPr>
            <w:tcW w:w="851" w:type="dxa"/>
            <w:vAlign w:val="center"/>
          </w:tcPr>
          <w:p>
            <w:pPr>
              <w:adjustRightInd w:val="0"/>
              <w:spacing w:after="60" w:line="360" w:lineRule="atLeast"/>
              <w:ind w:left="63" w:leftChars="30" w:right="63" w:rightChars="30"/>
              <w:jc w:val="center"/>
              <w:textAlignment w:val="baseline"/>
              <w:rPr>
                <w:rFonts w:ascii="宋体" w:hAnsi="宋体"/>
                <w:color w:val="000000" w:themeColor="text1"/>
                <w:kern w:val="0"/>
                <w:szCs w:val="20"/>
                <w:highlight w:val="none"/>
                <w14:textFill>
                  <w14:solidFill>
                    <w14:schemeClr w14:val="tx1"/>
                  </w14:solidFill>
                </w14:textFill>
              </w:rPr>
            </w:pPr>
          </w:p>
        </w:tc>
        <w:tc>
          <w:tcPr>
            <w:tcW w:w="992" w:type="dxa"/>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1套</w:t>
            </w:r>
          </w:p>
        </w:tc>
        <w:tc>
          <w:tcPr>
            <w:tcW w:w="1403" w:type="dxa"/>
            <w:vAlign w:val="center"/>
          </w:tcPr>
          <w:p>
            <w:pPr>
              <w:adjustRightInd w:val="0"/>
              <w:spacing w:after="60" w:line="360" w:lineRule="atLeast"/>
              <w:ind w:left="63" w:leftChars="30" w:right="63" w:rightChars="30"/>
              <w:jc w:val="center"/>
              <w:textAlignment w:val="baseline"/>
              <w:rPr>
                <w:rFonts w:ascii="宋体" w:hAnsi="宋体"/>
                <w:color w:val="000000" w:themeColor="text1"/>
                <w:kern w:val="0"/>
                <w:szCs w:val="20"/>
                <w:highlight w:val="none"/>
                <w14:textFill>
                  <w14:solidFill>
                    <w14:schemeClr w14:val="tx1"/>
                  </w14:solidFill>
                </w14:textFill>
              </w:rPr>
            </w:pPr>
          </w:p>
        </w:tc>
        <w:tc>
          <w:tcPr>
            <w:tcW w:w="1351" w:type="dxa"/>
            <w:vAlign w:val="center"/>
          </w:tcPr>
          <w:p>
            <w:pPr>
              <w:adjustRightInd w:val="0"/>
              <w:spacing w:after="60" w:line="360" w:lineRule="atLeast"/>
              <w:ind w:left="63" w:leftChars="30" w:right="63" w:rightChars="30"/>
              <w:jc w:val="center"/>
              <w:textAlignment w:val="baseline"/>
              <w:rPr>
                <w:rFonts w:ascii="宋体" w:hAnsi="宋体"/>
                <w:color w:val="000000" w:themeColor="text1"/>
                <w:kern w:val="0"/>
                <w:szCs w:val="20"/>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7618" w:type="dxa"/>
            <w:gridSpan w:val="6"/>
            <w:vAlign w:val="center"/>
          </w:tcPr>
          <w:p>
            <w:pPr>
              <w:adjustRightInd w:val="0"/>
              <w:spacing w:after="60" w:line="360" w:lineRule="atLeast"/>
              <w:ind w:left="63" w:leftChars="30" w:right="63" w:rightChars="30"/>
              <w:jc w:val="center"/>
              <w:textAlignment w:val="baseline"/>
              <w:rPr>
                <w:rFonts w:ascii="宋体" w:hAnsi="宋体"/>
                <w:color w:val="000000" w:themeColor="text1"/>
                <w:kern w:val="0"/>
                <w:szCs w:val="20"/>
                <w:highlight w:val="none"/>
                <w14:textFill>
                  <w14:solidFill>
                    <w14:schemeClr w14:val="tx1"/>
                  </w14:solidFill>
                </w14:textFill>
              </w:rPr>
            </w:pPr>
            <w:r>
              <w:rPr>
                <w:rFonts w:ascii="宋体" w:hAnsi="宋体"/>
                <w:color w:val="000000" w:themeColor="text1"/>
                <w:kern w:val="0"/>
                <w:szCs w:val="20"/>
                <w:highlight w:val="none"/>
                <w14:textFill>
                  <w14:solidFill>
                    <w14:schemeClr w14:val="tx1"/>
                  </w14:solidFill>
                </w14:textFill>
              </w:rPr>
              <w:t>总计</w:t>
            </w:r>
          </w:p>
        </w:tc>
        <w:tc>
          <w:tcPr>
            <w:tcW w:w="1351" w:type="dxa"/>
            <w:vAlign w:val="center"/>
          </w:tcPr>
          <w:p>
            <w:pPr>
              <w:adjustRightInd w:val="0"/>
              <w:spacing w:after="60" w:line="360" w:lineRule="atLeast"/>
              <w:ind w:left="63" w:leftChars="30" w:right="63" w:rightChars="30"/>
              <w:jc w:val="center"/>
              <w:textAlignment w:val="baseline"/>
              <w:rPr>
                <w:rFonts w:ascii="宋体" w:hAnsi="宋体"/>
                <w:color w:val="000000" w:themeColor="text1"/>
                <w:kern w:val="0"/>
                <w:szCs w:val="20"/>
                <w:highlight w:val="none"/>
                <w14:textFill>
                  <w14:solidFill>
                    <w14:schemeClr w14:val="tx1"/>
                  </w14:solidFill>
                </w14:textFill>
              </w:rPr>
            </w:pPr>
          </w:p>
        </w:tc>
      </w:tr>
    </w:tbl>
    <w:p>
      <w:pPr>
        <w:adjustRightInd w:val="0"/>
        <w:spacing w:line="360" w:lineRule="atLeast"/>
        <w:ind w:right="-292" w:rightChars="-139"/>
        <w:textAlignment w:val="baseline"/>
        <w:rPr>
          <w:rFonts w:eastAsia="仿宋_GB2312"/>
          <w:color w:val="000000" w:themeColor="text1"/>
          <w:kern w:val="0"/>
          <w:sz w:val="24"/>
          <w:szCs w:val="20"/>
          <w:highlight w:val="none"/>
          <w14:textFill>
            <w14:solidFill>
              <w14:schemeClr w14:val="tx1"/>
            </w14:solidFill>
          </w14:textFill>
        </w:rPr>
      </w:pPr>
    </w:p>
    <w:p>
      <w:pPr>
        <w:spacing w:line="500" w:lineRule="exact"/>
        <w:rPr>
          <w:rFonts w:ascii="宋体"/>
          <w:color w:val="000000" w:themeColor="text1"/>
          <w:sz w:val="24"/>
          <w:highlight w:val="none"/>
          <w:u w:val="single"/>
          <w14:textFill>
            <w14:solidFill>
              <w14:schemeClr w14:val="tx1"/>
            </w14:solidFill>
          </w14:textFill>
        </w:rPr>
      </w:pPr>
      <w:r>
        <w:rPr>
          <w:rFonts w:hint="eastAsia" w:ascii="宋体"/>
          <w:color w:val="000000" w:themeColor="text1"/>
          <w:sz w:val="24"/>
          <w:highlight w:val="none"/>
          <w14:textFill>
            <w14:solidFill>
              <w14:schemeClr w14:val="tx1"/>
            </w14:solidFill>
          </w14:textFill>
        </w:rPr>
        <w:t>投标人授权代表签字：</w:t>
      </w:r>
      <w:r>
        <w:rPr>
          <w:rFonts w:hint="eastAsia" w:ascii="宋体"/>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u w:val="single"/>
          <w14:textFill>
            <w14:solidFill>
              <w14:schemeClr w14:val="tx1"/>
            </w14:solidFill>
          </w14:textFill>
        </w:rPr>
      </w:pPr>
      <w:r>
        <w:rPr>
          <w:rFonts w:hint="eastAsia"/>
          <w:color w:val="000000" w:themeColor="text1"/>
          <w:sz w:val="24"/>
          <w:highlight w:val="none"/>
          <w14:textFill>
            <w14:solidFill>
              <w14:schemeClr w14:val="tx1"/>
            </w14:solidFill>
          </w14:textFill>
        </w:rPr>
        <w:t>投标人（公章）：</w:t>
      </w:r>
      <w:r>
        <w:rPr>
          <w:rFonts w:hint="eastAsia"/>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日期：  年   月   日</w:t>
      </w:r>
    </w:p>
    <w:p>
      <w:pPr>
        <w:adjustRightInd w:val="0"/>
        <w:spacing w:line="120" w:lineRule="exact"/>
        <w:textAlignment w:val="baseline"/>
        <w:rPr>
          <w:rFonts w:eastAsia="仿宋_GB2312"/>
          <w:color w:val="000000" w:themeColor="text1"/>
          <w:kern w:val="0"/>
          <w:sz w:val="30"/>
          <w:szCs w:val="20"/>
          <w:highlight w:val="none"/>
          <w14:textFill>
            <w14:solidFill>
              <w14:schemeClr w14:val="tx1"/>
            </w14:solidFill>
          </w14:textFill>
        </w:rPr>
      </w:pPr>
    </w:p>
    <w:p>
      <w:pPr>
        <w:adjustRightInd w:val="0"/>
        <w:spacing w:line="360" w:lineRule="atLeast"/>
        <w:ind w:left="433" w:leftChars="6" w:hanging="420"/>
        <w:textAlignment w:val="baseline"/>
        <w:rPr>
          <w:color w:val="000000" w:themeColor="text1"/>
          <w:kern w:val="0"/>
          <w:szCs w:val="20"/>
          <w:highlight w:val="none"/>
          <w14:textFill>
            <w14:solidFill>
              <w14:schemeClr w14:val="tx1"/>
            </w14:solidFill>
          </w14:textFill>
        </w:rPr>
      </w:pPr>
      <w:r>
        <w:rPr>
          <w:color w:val="000000" w:themeColor="text1"/>
          <w:kern w:val="0"/>
          <w:szCs w:val="20"/>
          <w:highlight w:val="none"/>
          <w14:textFill>
            <w14:solidFill>
              <w14:schemeClr w14:val="tx1"/>
            </w14:solidFill>
          </w14:textFill>
        </w:rPr>
        <w:t>注：1. 如果按单价计算的结果与总价不一致，以单价为准修正总价（明显的小数点错位除外）。</w:t>
      </w:r>
    </w:p>
    <w:p>
      <w:pPr>
        <w:adjustRightInd w:val="0"/>
        <w:spacing w:line="360" w:lineRule="atLeast"/>
        <w:ind w:left="380" w:leftChars="181"/>
        <w:textAlignment w:val="baseline"/>
        <w:rPr>
          <w:color w:val="000000" w:themeColor="text1"/>
          <w:kern w:val="0"/>
          <w:szCs w:val="20"/>
          <w:highlight w:val="none"/>
          <w14:textFill>
            <w14:solidFill>
              <w14:schemeClr w14:val="tx1"/>
            </w14:solidFill>
          </w14:textFill>
        </w:rPr>
      </w:pPr>
      <w:r>
        <w:rPr>
          <w:color w:val="000000" w:themeColor="text1"/>
          <w:kern w:val="0"/>
          <w:szCs w:val="20"/>
          <w:highlight w:val="none"/>
          <w14:textFill>
            <w14:solidFill>
              <w14:schemeClr w14:val="tx1"/>
            </w14:solidFill>
          </w14:textFill>
        </w:rPr>
        <w:t>2. 如果不提供详细分项报价将视为没有实质性响应招标文件。</w:t>
      </w:r>
    </w:p>
    <w:p>
      <w:pPr>
        <w:adjustRightInd w:val="0"/>
        <w:spacing w:line="360" w:lineRule="atLeast"/>
        <w:ind w:left="380" w:leftChars="181"/>
        <w:textAlignment w:val="baseline"/>
        <w:rPr>
          <w:color w:val="000000" w:themeColor="text1"/>
          <w:kern w:val="0"/>
          <w:szCs w:val="20"/>
          <w:highlight w:val="none"/>
          <w14:textFill>
            <w14:solidFill>
              <w14:schemeClr w14:val="tx1"/>
            </w14:solidFill>
          </w14:textFill>
        </w:rPr>
      </w:pPr>
      <w:r>
        <w:rPr>
          <w:color w:val="000000" w:themeColor="text1"/>
          <w:kern w:val="0"/>
          <w:szCs w:val="20"/>
          <w:highlight w:val="none"/>
          <w14:textFill>
            <w14:solidFill>
              <w14:schemeClr w14:val="tx1"/>
            </w14:solidFill>
          </w14:textFill>
        </w:rPr>
        <w:t>3．投标人必须根据技术规格自行编制备品</w:t>
      </w:r>
      <w:r>
        <w:rPr>
          <w:rFonts w:hint="eastAsia"/>
          <w:color w:val="000000" w:themeColor="text1"/>
          <w:kern w:val="0"/>
          <w:szCs w:val="20"/>
          <w:highlight w:val="none"/>
          <w14:textFill>
            <w14:solidFill>
              <w14:schemeClr w14:val="tx1"/>
            </w14:solidFill>
          </w14:textFill>
        </w:rPr>
        <w:t>备件</w:t>
      </w:r>
      <w:r>
        <w:rPr>
          <w:color w:val="000000" w:themeColor="text1"/>
          <w:kern w:val="0"/>
          <w:szCs w:val="20"/>
          <w:highlight w:val="none"/>
          <w14:textFill>
            <w14:solidFill>
              <w14:schemeClr w14:val="tx1"/>
            </w14:solidFill>
          </w14:textFill>
        </w:rPr>
        <w:t xml:space="preserve">报价明细表，且承诺质保期满后三年内以此单价向招标人提供备品备件。 </w:t>
      </w:r>
    </w:p>
    <w:p>
      <w:pPr>
        <w:adjustRightInd w:val="0"/>
        <w:spacing w:line="360" w:lineRule="atLeast"/>
        <w:ind w:left="380" w:leftChars="181"/>
        <w:textAlignment w:val="baseline"/>
        <w:rPr>
          <w:rFonts w:ascii="宋体" w:hAnsi="宋体"/>
          <w:b/>
          <w:color w:val="000000" w:themeColor="text1"/>
          <w:szCs w:val="21"/>
          <w:highlight w:val="none"/>
          <w14:textFill>
            <w14:solidFill>
              <w14:schemeClr w14:val="tx1"/>
            </w14:solidFill>
          </w14:textFill>
        </w:rPr>
      </w:pPr>
      <w:r>
        <w:rPr>
          <w:rFonts w:hint="eastAsia"/>
          <w:color w:val="000000" w:themeColor="text1"/>
          <w:kern w:val="0"/>
          <w:szCs w:val="20"/>
          <w:highlight w:val="none"/>
          <w14:textFill>
            <w14:solidFill>
              <w14:schemeClr w14:val="tx1"/>
            </w14:solidFill>
          </w14:textFill>
        </w:rPr>
        <w:t>4. 单台设备金额超过50万元的投标不予接受。</w:t>
      </w:r>
    </w:p>
    <w:p>
      <w:pPr>
        <w:spacing w:line="360" w:lineRule="auto"/>
        <w:jc w:val="center"/>
        <w:rPr>
          <w:b/>
          <w:color w:val="000000" w:themeColor="text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4、</w:t>
      </w:r>
      <w:r>
        <w:rPr>
          <w:rFonts w:hint="eastAsia"/>
          <w:b/>
          <w:color w:val="000000" w:themeColor="text1"/>
          <w:highlight w:val="none"/>
          <w14:textFill>
            <w14:solidFill>
              <w14:schemeClr w14:val="tx1"/>
            </w14:solidFill>
          </w14:textFill>
        </w:rPr>
        <w:t>资格条件响应表</w:t>
      </w: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招标编号：</w:t>
      </w:r>
    </w:p>
    <w:p>
      <w:pPr>
        <w:rPr>
          <w:color w:val="000000" w:themeColor="text1"/>
          <w:highlight w:val="none"/>
          <w14:textFill>
            <w14:solidFill>
              <w14:schemeClr w14:val="tx1"/>
            </w14:solidFill>
          </w14:textFill>
        </w:rPr>
      </w:pPr>
    </w:p>
    <w:tbl>
      <w:tblPr>
        <w:tblStyle w:val="33"/>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73"/>
        <w:gridCol w:w="5349"/>
        <w:gridCol w:w="1015"/>
        <w:gridCol w:w="1095"/>
        <w:gridCol w:w="3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bookmarkStart w:id="42" w:name="招标文件编制要求"/>
            <w:bookmarkEnd w:id="42"/>
            <w:r>
              <w:rPr>
                <w:rFonts w:hint="eastAsia"/>
                <w:color w:val="000000" w:themeColor="text1"/>
                <w:highlight w:val="none"/>
                <w14:textFill>
                  <w14:solidFill>
                    <w14:schemeClr w14:val="tx1"/>
                  </w14:solidFill>
                </w14:textFill>
              </w:rPr>
              <w:t>项目内容（资格条件、实质性要求）</w:t>
            </w:r>
          </w:p>
        </w:tc>
        <w:tc>
          <w:tcPr>
            <w:tcW w:w="531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具备的条件说明（要求）</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投标检查项（响应内容说明(是/否)）</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详细内容所对应投标文件名称</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法定基本条件</w:t>
            </w:r>
          </w:p>
        </w:tc>
        <w:tc>
          <w:tcPr>
            <w:tcW w:w="531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符合《中华人民共和国政府采购法》第二十二条规定的条件：营业执照（或事业单位、社会团体法人证书）、税务登记证（若为多证合一的，仅需提供营业执照）符合要求，提供财务情况、依法缴纳税收和社会保障资金及参加政府采购活动前三年内在经营活动中没有重大违法记录的书面声明。</w:t>
            </w:r>
          </w:p>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2、未被列入“信用中国”网站(www.creditchina.gov.cn)失信被执行人名单、重大税收违法案件当事人名单和中国政府采购网(www.ccgp.gov.cn)政府采购严重违法失信行为记录名单的供应商。</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投标人资质</w:t>
            </w:r>
          </w:p>
        </w:tc>
        <w:tc>
          <w:tcPr>
            <w:tcW w:w="531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满足招标公告及投标人须知中合格的投标人必须具备的资质条件</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5" w:hRule="atLeast"/>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联合投标</w:t>
            </w:r>
          </w:p>
        </w:tc>
        <w:tc>
          <w:tcPr>
            <w:tcW w:w="531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不接受联合投标。</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投标保证金</w:t>
            </w:r>
          </w:p>
        </w:tc>
        <w:tc>
          <w:tcPr>
            <w:tcW w:w="5319" w:type="dxa"/>
            <w:tcBorders>
              <w:top w:val="outset" w:color="auto" w:sz="6" w:space="0"/>
              <w:left w:val="outset" w:color="auto" w:sz="6" w:space="0"/>
              <w:bottom w:val="outset" w:color="auto" w:sz="6" w:space="0"/>
              <w:right w:val="outset" w:color="auto" w:sz="6" w:space="0"/>
            </w:tcBorders>
            <w:vAlign w:val="center"/>
          </w:tcPr>
          <w:p>
            <w:pPr>
              <w:ind w:firstLine="33" w:firstLineChars="16"/>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是否按规定提交</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bl>
    <w:p>
      <w:pPr>
        <w:spacing w:line="300" w:lineRule="auto"/>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5408" behindDoc="0" locked="0" layoutInCell="0" allowOverlap="1">
                <wp:simplePos x="0" y="0"/>
                <wp:positionH relativeFrom="column">
                  <wp:posOffset>1520825</wp:posOffset>
                </wp:positionH>
                <wp:positionV relativeFrom="paragraph">
                  <wp:posOffset>180340</wp:posOffset>
                </wp:positionV>
                <wp:extent cx="1908175" cy="0"/>
                <wp:effectExtent l="13970" t="13970" r="11430" b="5080"/>
                <wp:wrapNone/>
                <wp:docPr id="37" name="直线 13"/>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13" o:spid="_x0000_s1026" o:spt="20" style="position:absolute;left:0pt;margin-left:119.75pt;margin-top:14.2pt;height:0pt;width:150.25pt;z-index:251665408;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VMTC9YAAAAJAQAADwAAAAAAAAAB&#10;ACAAAAAiAAAAZHJzL2Rvd25yZXYueG1sUEsBAhQAFAAAAAgAh07iQLv7miv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6432" behindDoc="0" locked="0" layoutInCell="0" allowOverlap="1">
                <wp:simplePos x="0" y="0"/>
                <wp:positionH relativeFrom="column">
                  <wp:posOffset>1141095</wp:posOffset>
                </wp:positionH>
                <wp:positionV relativeFrom="paragraph">
                  <wp:posOffset>180340</wp:posOffset>
                </wp:positionV>
                <wp:extent cx="2307590" cy="0"/>
                <wp:effectExtent l="5715" t="10795" r="10795" b="8255"/>
                <wp:wrapNone/>
                <wp:docPr id="36" name="直线 14"/>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14" o:spid="_x0000_s1026" o:spt="20" style="position:absolute;left:0pt;margin-left:89.85pt;margin-top:14.2pt;height:0pt;width:181.7pt;z-index:251666432;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UrNrNYAAAAJAQAADwAAAAAAAAAB&#10;ACAAAAAiAAAAZHJzL2Rvd25yZXYueG1sUEsBAhQAFAAAAAgAh07iQOfkk/3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00" w:lineRule="auto"/>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spacing w:line="360" w:lineRule="auto"/>
        <w:jc w:val="center"/>
        <w:rPr>
          <w:b/>
          <w:color w:val="000000" w:themeColor="text1"/>
          <w:highlight w:val="none"/>
          <w14:textFill>
            <w14:solidFill>
              <w14:schemeClr w14:val="tx1"/>
            </w14:solidFill>
          </w14:textFill>
        </w:rPr>
      </w:pPr>
      <w:r>
        <w:rPr>
          <w:color w:val="000000" w:themeColor="text1"/>
          <w:kern w:val="0"/>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5、</w:t>
      </w:r>
      <w:r>
        <w:rPr>
          <w:rFonts w:hint="eastAsia"/>
          <w:b/>
          <w:color w:val="000000" w:themeColor="text1"/>
          <w:highlight w:val="none"/>
          <w14:textFill>
            <w14:solidFill>
              <w14:schemeClr w14:val="tx1"/>
            </w14:solidFill>
          </w14:textFill>
        </w:rPr>
        <w:t>实质性要求响应表</w:t>
      </w: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招标编号：</w:t>
      </w:r>
    </w:p>
    <w:tbl>
      <w:tblPr>
        <w:tblStyle w:val="33"/>
        <w:tblW w:w="8779"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73"/>
        <w:gridCol w:w="5349"/>
        <w:gridCol w:w="1015"/>
        <w:gridCol w:w="1095"/>
        <w:gridCol w:w="3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项目内容（资格条件、实质性要求）</w:t>
            </w:r>
          </w:p>
        </w:tc>
        <w:tc>
          <w:tcPr>
            <w:tcW w:w="531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具备的条件说明（要求）</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投标检查项（响应内容说明(是/否)）</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详细内容所对应投标文件名称</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投标文件内容、密封、签署等要求</w:t>
            </w:r>
          </w:p>
        </w:tc>
        <w:tc>
          <w:tcPr>
            <w:tcW w:w="531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符合招标文件规定：</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1）、投标文件按招标文件规定格式提供投标函、开标一览表、资格条件及实质性要求响应表；</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2）、投标文件按招标文件要求密封；</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3）、投标文件由法定代表人或授权代表签字（或盖章）并加盖投标人公章；</w:t>
            </w:r>
          </w:p>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4）、在投标文件由法定代表人授权代表签字（或盖章）的情况下，应按招标文件规定格式提供法定代表人授权委托书。</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投标有效期</w:t>
            </w:r>
          </w:p>
        </w:tc>
        <w:tc>
          <w:tcPr>
            <w:tcW w:w="531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符合招标文件规定：不少于90天。</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投标报价</w:t>
            </w:r>
          </w:p>
        </w:tc>
        <w:tc>
          <w:tcPr>
            <w:tcW w:w="531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1、不得进行选择性报价（投标报价应是唯一的，招标文件要求提供备选方案的除外）；</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2、不得进行可变的或者附有条件的投标报价；</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3、投标报价不得超出招标文件标明的采购预算金额或项目最高限价；</w:t>
            </w:r>
          </w:p>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4、不得低于成本报价。</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1" w:hRule="atLeast"/>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交付日期</w:t>
            </w:r>
          </w:p>
        </w:tc>
        <w:tc>
          <w:tcPr>
            <w:tcW w:w="5319" w:type="dxa"/>
            <w:tcBorders>
              <w:top w:val="outset" w:color="auto" w:sz="6" w:space="0"/>
              <w:left w:val="outset" w:color="auto" w:sz="6" w:space="0"/>
              <w:bottom w:val="outset" w:color="auto" w:sz="6" w:space="0"/>
              <w:right w:val="outset" w:color="auto" w:sz="6" w:space="0"/>
            </w:tcBorders>
            <w:vAlign w:val="center"/>
          </w:tcPr>
          <w:p>
            <w:pPr>
              <w:ind w:firstLine="33" w:firstLineChars="1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签订合同后 30 日内完成全部设备的到货、安装调试及验收等全部工作。</w:t>
            </w:r>
          </w:p>
        </w:tc>
        <w:tc>
          <w:tcPr>
            <w:tcW w:w="985"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1065"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302"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合同转让与分包</w:t>
            </w:r>
          </w:p>
        </w:tc>
        <w:tc>
          <w:tcPr>
            <w:tcW w:w="531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合同不得转让与分包。</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公平竞争和诚实信用</w:t>
            </w:r>
          </w:p>
        </w:tc>
        <w:tc>
          <w:tcPr>
            <w:tcW w:w="531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不得存在腐败、欺诈或其他严重违背公平竞争和诚实信用原则、扰乱政府采购正常秩序的行为。</w:t>
            </w:r>
          </w:p>
        </w:tc>
        <w:tc>
          <w:tcPr>
            <w:tcW w:w="98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实质性响应</w:t>
            </w:r>
          </w:p>
        </w:tc>
        <w:tc>
          <w:tcPr>
            <w:tcW w:w="531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招标文件中加注星号（“★”）的条款、参数、指标或要求均系实质性要求条款；如果投标人提供的货物或服务，或者投标人承诺的相关条件不满足此类要求，其相应的投标将被否决。</w:t>
            </w:r>
          </w:p>
        </w:tc>
        <w:tc>
          <w:tcPr>
            <w:tcW w:w="985"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1065"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302"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r>
    </w:tbl>
    <w:p>
      <w:pPr>
        <w:spacing w:line="300" w:lineRule="auto"/>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7456" behindDoc="0" locked="0" layoutInCell="0" allowOverlap="1">
                <wp:simplePos x="0" y="0"/>
                <wp:positionH relativeFrom="column">
                  <wp:posOffset>1520825</wp:posOffset>
                </wp:positionH>
                <wp:positionV relativeFrom="paragraph">
                  <wp:posOffset>180340</wp:posOffset>
                </wp:positionV>
                <wp:extent cx="1908175" cy="0"/>
                <wp:effectExtent l="13970" t="12065" r="11430" b="6985"/>
                <wp:wrapNone/>
                <wp:docPr id="35" name="直线 13"/>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13" o:spid="_x0000_s1026" o:spt="20" style="position:absolute;left:0pt;margin-left:119.75pt;margin-top:14.2pt;height:0pt;width:150.25pt;z-index:251667456;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VMTC9YAAAAJAQAADwAAAAAAAAAB&#10;ACAAAAAiAAAAZHJzL2Rvd25yZXYueG1sUEsBAhQAFAAAAAgAh07iQPERccj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8480" behindDoc="0" locked="0" layoutInCell="0" allowOverlap="1">
                <wp:simplePos x="0" y="0"/>
                <wp:positionH relativeFrom="column">
                  <wp:posOffset>1141095</wp:posOffset>
                </wp:positionH>
                <wp:positionV relativeFrom="paragraph">
                  <wp:posOffset>180340</wp:posOffset>
                </wp:positionV>
                <wp:extent cx="2307590" cy="0"/>
                <wp:effectExtent l="5715" t="8890" r="10795" b="10160"/>
                <wp:wrapNone/>
                <wp:docPr id="34" name="直线 14"/>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14" o:spid="_x0000_s1026" o:spt="20" style="position:absolute;left:0pt;margin-left:89.85pt;margin-top:14.2pt;height:0pt;width:181.7pt;z-index:251668480;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UrNrNYAAAAJAQAADwAAAAAAAAAB&#10;ACAAAAAiAAAAZHJzL2Rvd25yZXYueG1sUEsBAhQAFAAAAAgAh07iQK0OeB7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00" w:lineRule="auto"/>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widowControl/>
        <w:jc w:val="left"/>
        <w:rPr>
          <w:color w:val="000000" w:themeColor="text1"/>
          <w:highlight w:val="none"/>
          <w14:textFill>
            <w14:solidFill>
              <w14:schemeClr w14:val="tx1"/>
            </w14:solidFill>
          </w14:textFill>
        </w:rPr>
      </w:pPr>
      <w:r>
        <w:rPr>
          <w:color w:val="000000" w:themeColor="text1"/>
          <w:kern w:val="0"/>
          <w:highlight w:val="none"/>
          <w14:textFill>
            <w14:solidFill>
              <w14:schemeClr w14:val="tx1"/>
            </w14:solidFill>
          </w14:textFill>
        </w:rPr>
        <w:br w:type="page"/>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6、与评标有关的投标文件主要内容索引表</w:t>
      </w:r>
    </w:p>
    <w:p>
      <w:pPr>
        <w:rPr>
          <w:rFonts w:ascii="宋体" w:hAnsi="宋体"/>
          <w:color w:val="000000" w:themeColor="text1"/>
          <w:szCs w:val="21"/>
          <w:highlight w:val="none"/>
          <w14:textFill>
            <w14:solidFill>
              <w14:schemeClr w14:val="tx1"/>
            </w14:solidFill>
          </w14:textFill>
        </w:rPr>
      </w:pPr>
      <w:bookmarkStart w:id="43" w:name="汇标表"/>
      <w:bookmarkEnd w:id="43"/>
      <w:r>
        <w:rPr>
          <w:rFonts w:hint="eastAsia" w:ascii="宋体" w:hAnsi="宋体"/>
          <w:color w:val="000000" w:themeColor="text1"/>
          <w:szCs w:val="21"/>
          <w:highlight w:val="none"/>
          <w14:textFill>
            <w14:solidFill>
              <w14:schemeClr w14:val="tx1"/>
            </w14:solidFill>
          </w14:textFill>
        </w:rPr>
        <w:t>项目名称：</w:t>
      </w: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招标编号：</w:t>
      </w: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投标汇标表</w:t>
      </w:r>
    </w:p>
    <w:tbl>
      <w:tblPr>
        <w:tblStyle w:val="33"/>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627"/>
        <w:gridCol w:w="3261"/>
        <w:gridCol w:w="1559"/>
        <w:gridCol w:w="2126"/>
        <w:gridCol w:w="70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项目内容</w:t>
            </w:r>
          </w:p>
        </w:tc>
        <w:tc>
          <w:tcPr>
            <w:tcW w:w="3231"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具备的条件说明</w:t>
            </w:r>
          </w:p>
        </w:tc>
        <w:tc>
          <w:tcPr>
            <w:tcW w:w="1529"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响应内容说明(是/否)</w:t>
            </w:r>
          </w:p>
        </w:tc>
        <w:tc>
          <w:tcPr>
            <w:tcW w:w="2096"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详细内容所对应投标文件名称</w:t>
            </w:r>
          </w:p>
        </w:tc>
        <w:tc>
          <w:tcPr>
            <w:tcW w:w="664"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3231"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投标报价</w:t>
            </w:r>
          </w:p>
        </w:tc>
        <w:tc>
          <w:tcPr>
            <w:tcW w:w="1529"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2096"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c>
          <w:tcPr>
            <w:tcW w:w="664"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3231"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产品的选型和配置</w:t>
            </w:r>
          </w:p>
        </w:tc>
        <w:tc>
          <w:tcPr>
            <w:tcW w:w="152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3231"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项目实施计划</w:t>
            </w:r>
          </w:p>
        </w:tc>
        <w:tc>
          <w:tcPr>
            <w:tcW w:w="152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3231"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验收保障</w:t>
            </w:r>
          </w:p>
        </w:tc>
        <w:tc>
          <w:tcPr>
            <w:tcW w:w="152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3231"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售后服务</w:t>
            </w:r>
          </w:p>
        </w:tc>
        <w:tc>
          <w:tcPr>
            <w:tcW w:w="152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3231" w:type="dxa"/>
            <w:tcBorders>
              <w:top w:val="outset" w:color="auto" w:sz="6" w:space="0"/>
              <w:left w:val="outset" w:color="auto" w:sz="6" w:space="0"/>
              <w:bottom w:val="outset" w:color="auto" w:sz="6" w:space="0"/>
              <w:right w:val="outset" w:color="auto" w:sz="6"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类似项目业绩</w:t>
            </w:r>
          </w:p>
        </w:tc>
        <w:tc>
          <w:tcPr>
            <w:tcW w:w="1529"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rPr>
                <w:color w:val="000000" w:themeColor="text1"/>
                <w:highlight w:val="none"/>
                <w14:textFill>
                  <w14:solidFill>
                    <w14:schemeClr w14:val="tx1"/>
                  </w14:solidFill>
                </w14:textFill>
              </w:rPr>
            </w:pPr>
          </w:p>
        </w:tc>
      </w:tr>
    </w:tbl>
    <w:p>
      <w:pPr>
        <w:rPr>
          <w:color w:val="000000" w:themeColor="text1"/>
          <w:highlight w:val="none"/>
          <w14:textFill>
            <w14:solidFill>
              <w14:schemeClr w14:val="tx1"/>
            </w14:solidFill>
          </w14:textFill>
        </w:rPr>
      </w:pPr>
    </w:p>
    <w:p>
      <w:pPr>
        <w:rPr>
          <w:rFonts w:ascii="宋体" w:hAnsi="宋体"/>
          <w:color w:val="000000" w:themeColor="text1"/>
          <w:szCs w:val="21"/>
          <w:highlight w:val="none"/>
          <w14:textFill>
            <w14:solidFill>
              <w14:schemeClr w14:val="tx1"/>
            </w14:solidFill>
          </w14:textFill>
        </w:rPr>
      </w:pP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说明：上述具体内容要求可以参照本项目评标方法与程序及评分细则。</w:t>
      </w:r>
    </w:p>
    <w:p>
      <w:pPr>
        <w:rPr>
          <w:rFonts w:ascii="宋体" w:hAnsi="宋体"/>
          <w:color w:val="000000" w:themeColor="text1"/>
          <w:szCs w:val="21"/>
          <w:highlight w:val="none"/>
          <w14:textFill>
            <w14:solidFill>
              <w14:schemeClr w14:val="tx1"/>
            </w14:solidFill>
          </w14:textFill>
        </w:rPr>
      </w:pPr>
    </w:p>
    <w:p>
      <w:pPr>
        <w:widowControl/>
        <w:spacing w:before="100" w:beforeAutospacing="1" w:after="100" w:afterAutospacing="1"/>
        <w:rPr>
          <w:rFonts w:ascii="宋体" w:hAnsi="宋体" w:cs="Arial"/>
          <w:b/>
          <w:color w:val="000000" w:themeColor="text1"/>
          <w:sz w:val="24"/>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br w:type="page"/>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7、参加政府采购活动前3年（2017年10月至今）内在经营活动中没有重大违法记录的书面声明</w:t>
      </w: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致：</w:t>
      </w:r>
      <w:r>
        <w:rPr>
          <w:rFonts w:hint="eastAsia" w:ascii="宋体"/>
          <w:color w:val="000000" w:themeColor="text1"/>
          <w:sz w:val="24"/>
          <w:highlight w:val="none"/>
          <w:u w:val="single"/>
          <w14:textFill>
            <w14:solidFill>
              <w14:schemeClr w14:val="tx1"/>
            </w14:solidFill>
          </w14:textFill>
        </w:rPr>
        <w:t xml:space="preserve">    （招标人）          </w:t>
      </w:r>
      <w:r>
        <w:rPr>
          <w:rFonts w:hint="eastAsia" w:ascii="宋体"/>
          <w:color w:val="000000" w:themeColor="text1"/>
          <w:sz w:val="24"/>
          <w:highlight w:val="none"/>
          <w14:textFill>
            <w14:solidFill>
              <w14:schemeClr w14:val="tx1"/>
            </w14:solidFill>
          </w14:textFill>
        </w:rPr>
        <w:t xml:space="preserve">   </w:t>
      </w:r>
    </w:p>
    <w:p>
      <w:pPr>
        <w:spacing w:line="500" w:lineRule="exact"/>
        <w:rPr>
          <w:rFonts w:asci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p>
    <w:p>
      <w:pPr>
        <w:spacing w:line="500" w:lineRule="exact"/>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我公司承诺在参加本项目政府采购活动前三年内，在经营活动中没有重大违法记录，遵守国家其他有关的法律、法规和管理办法。</w:t>
      </w:r>
    </w:p>
    <w:p>
      <w:pPr>
        <w:spacing w:line="500" w:lineRule="exact"/>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特此声明。</w:t>
      </w:r>
    </w:p>
    <w:p>
      <w:pPr>
        <w:spacing w:line="500" w:lineRule="exact"/>
        <w:rPr>
          <w:rFonts w:asci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（注：重大违法记录是指供应商因违法经营受到刑事处罚或者责令停产停业、吊销许可证或者执照、较大数额罚款等行政处罚。</w:t>
      </w:r>
    </w:p>
    <w:p>
      <w:pPr>
        <w:spacing w:line="500" w:lineRule="exact"/>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　供应商在参加政府采购活动前3年（2017年10月至今）内因违法经营被禁止在一定期限内参加政府采购活动，期限届满的，可以参加政府采购活动。）</w:t>
      </w: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u w:val="single"/>
          <w14:textFill>
            <w14:solidFill>
              <w14:schemeClr w14:val="tx1"/>
            </w14:solidFill>
          </w14:textFill>
        </w:rPr>
      </w:pPr>
      <w:r>
        <w:rPr>
          <w:rFonts w:hint="eastAsia" w:ascii="宋体"/>
          <w:color w:val="000000" w:themeColor="text1"/>
          <w:sz w:val="24"/>
          <w:highlight w:val="none"/>
          <w14:textFill>
            <w14:solidFill>
              <w14:schemeClr w14:val="tx1"/>
            </w14:solidFill>
          </w14:textFill>
        </w:rPr>
        <w:t>投标人授权代表签字：</w:t>
      </w:r>
      <w:r>
        <w:rPr>
          <w:rFonts w:hint="eastAsia" w:ascii="宋体"/>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u w:val="single"/>
          <w14:textFill>
            <w14:solidFill>
              <w14:schemeClr w14:val="tx1"/>
            </w14:solidFill>
          </w14:textFill>
        </w:rPr>
      </w:pPr>
      <w:r>
        <w:rPr>
          <w:rFonts w:hint="eastAsia"/>
          <w:color w:val="000000" w:themeColor="text1"/>
          <w:sz w:val="24"/>
          <w:highlight w:val="none"/>
          <w14:textFill>
            <w14:solidFill>
              <w14:schemeClr w14:val="tx1"/>
            </w14:solidFill>
          </w14:textFill>
        </w:rPr>
        <w:t>投标人（公章）：</w:t>
      </w:r>
      <w:r>
        <w:rPr>
          <w:rFonts w:hint="eastAsia"/>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日期：  年   月   日</w:t>
      </w:r>
    </w:p>
    <w:p>
      <w:pPr>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br w:type="page"/>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8、不存在与参加本项目的其它供应商单位负责人为同一人</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或者存在直接控股、管理关系承诺</w:t>
      </w: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致：</w:t>
      </w:r>
      <w:r>
        <w:rPr>
          <w:rFonts w:hint="eastAsia" w:ascii="宋体"/>
          <w:color w:val="000000" w:themeColor="text1"/>
          <w:sz w:val="24"/>
          <w:highlight w:val="none"/>
          <w:u w:val="single"/>
          <w14:textFill>
            <w14:solidFill>
              <w14:schemeClr w14:val="tx1"/>
            </w14:solidFill>
          </w14:textFill>
        </w:rPr>
        <w:t xml:space="preserve">    （招标人）          </w:t>
      </w:r>
      <w:r>
        <w:rPr>
          <w:rFonts w:hint="eastAsia" w:ascii="宋体"/>
          <w:color w:val="000000" w:themeColor="text1"/>
          <w:sz w:val="24"/>
          <w:highlight w:val="none"/>
          <w14:textFill>
            <w14:solidFill>
              <w14:schemeClr w14:val="tx1"/>
            </w14:solidFill>
          </w14:textFill>
        </w:rPr>
        <w:t xml:space="preserve">   </w:t>
      </w:r>
    </w:p>
    <w:p>
      <w:pPr>
        <w:spacing w:line="500" w:lineRule="exact"/>
        <w:rPr>
          <w:rFonts w:asci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p>
    <w:p>
      <w:pPr>
        <w:spacing w:line="500" w:lineRule="exact"/>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我公司承诺在参加本项目采购活动中不存在与参加本项目的其它供应商单位负责人为同一人或者存在直接控股、管理关系。本公司对上述承诺的真实性负责。如有虚假，将依法承担相应责任。</w:t>
      </w:r>
    </w:p>
    <w:p>
      <w:pPr>
        <w:spacing w:line="500" w:lineRule="exact"/>
        <w:rPr>
          <w:rFonts w:ascii="宋体"/>
          <w:color w:val="000000" w:themeColor="text1"/>
          <w:sz w:val="24"/>
          <w:highlight w:val="none"/>
          <w14:textFill>
            <w14:solidFill>
              <w14:schemeClr w14:val="tx1"/>
            </w14:solidFill>
          </w14:textFill>
        </w:rPr>
      </w:pPr>
    </w:p>
    <w:p>
      <w:pPr>
        <w:spacing w:line="500" w:lineRule="exact"/>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特此承诺。</w:t>
      </w:r>
    </w:p>
    <w:p>
      <w:pPr>
        <w:spacing w:line="500" w:lineRule="exact"/>
        <w:rPr>
          <w:rFonts w:asci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widowControl/>
        <w:spacing w:line="312" w:lineRule="auto"/>
        <w:jc w:val="left"/>
        <w:rPr>
          <w:rFonts w:ascii="宋体" w:hAnsi="宋体"/>
          <w:color w:val="000000" w:themeColor="text1"/>
          <w:sz w:val="24"/>
          <w:highlight w:val="none"/>
          <w14:textFill>
            <w14:solidFill>
              <w14:schemeClr w14:val="tx1"/>
            </w14:solidFill>
          </w14:textFill>
        </w:rPr>
      </w:pPr>
    </w:p>
    <w:p>
      <w:pPr>
        <w:spacing w:line="500" w:lineRule="exact"/>
        <w:rPr>
          <w:rFonts w:ascii="宋体"/>
          <w:color w:val="000000" w:themeColor="text1"/>
          <w:sz w:val="24"/>
          <w:highlight w:val="none"/>
          <w:u w:val="single"/>
          <w14:textFill>
            <w14:solidFill>
              <w14:schemeClr w14:val="tx1"/>
            </w14:solidFill>
          </w14:textFill>
        </w:rPr>
      </w:pPr>
      <w:r>
        <w:rPr>
          <w:rFonts w:hint="eastAsia" w:ascii="宋体"/>
          <w:color w:val="000000" w:themeColor="text1"/>
          <w:sz w:val="24"/>
          <w:highlight w:val="none"/>
          <w14:textFill>
            <w14:solidFill>
              <w14:schemeClr w14:val="tx1"/>
            </w14:solidFill>
          </w14:textFill>
        </w:rPr>
        <w:t>投标人授权代表签字：</w:t>
      </w:r>
      <w:r>
        <w:rPr>
          <w:rFonts w:hint="eastAsia" w:ascii="宋体"/>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u w:val="single"/>
          <w14:textFill>
            <w14:solidFill>
              <w14:schemeClr w14:val="tx1"/>
            </w14:solidFill>
          </w14:textFill>
        </w:rPr>
      </w:pPr>
      <w:r>
        <w:rPr>
          <w:rFonts w:hint="eastAsia"/>
          <w:color w:val="000000" w:themeColor="text1"/>
          <w:sz w:val="24"/>
          <w:highlight w:val="none"/>
          <w14:textFill>
            <w14:solidFill>
              <w14:schemeClr w14:val="tx1"/>
            </w14:solidFill>
          </w14:textFill>
        </w:rPr>
        <w:t>投标人（公章）：</w:t>
      </w:r>
      <w:r>
        <w:rPr>
          <w:rFonts w:hint="eastAsia"/>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日期：  年   月   日</w:t>
      </w:r>
    </w:p>
    <w:p>
      <w:pPr>
        <w:rPr>
          <w:rFonts w:ascii="宋体" w:hAnsi="宋体"/>
          <w:color w:val="000000" w:themeColor="text1"/>
          <w:szCs w:val="21"/>
          <w:highlight w:val="none"/>
          <w14:textFill>
            <w14:solidFill>
              <w14:schemeClr w14:val="tx1"/>
            </w14:solidFill>
          </w14:textFill>
        </w:rPr>
      </w:pPr>
    </w:p>
    <w:p>
      <w:pPr>
        <w:pStyle w:val="16"/>
        <w:spacing w:line="360" w:lineRule="auto"/>
        <w:jc w:val="center"/>
        <w:rPr>
          <w:rFonts w:ascii="宋体" w:hAnsi="宋体"/>
          <w:b w:val="0"/>
          <w:color w:val="000000" w:themeColor="text1"/>
          <w:szCs w:val="21"/>
          <w:highlight w:val="none"/>
          <w14:textFill>
            <w14:solidFill>
              <w14:schemeClr w14:val="tx1"/>
            </w14:solidFill>
          </w14:textFill>
        </w:rPr>
      </w:pPr>
    </w:p>
    <w:p>
      <w:pPr>
        <w:adjustRightInd w:val="0"/>
        <w:spacing w:line="360" w:lineRule="atLeast"/>
        <w:ind w:firstLine="22"/>
        <w:jc w:val="center"/>
        <w:textAlignment w:val="baseline"/>
        <w:rPr>
          <w:color w:val="000000" w:themeColor="text1"/>
          <w:kern w:val="0"/>
          <w:sz w:val="24"/>
          <w:szCs w:val="20"/>
          <w:highlight w:val="none"/>
          <w14:textFill>
            <w14:solidFill>
              <w14:schemeClr w14:val="tx1"/>
            </w14:solidFill>
          </w14:textFill>
        </w:rPr>
      </w:pPr>
      <w:r>
        <w:rPr>
          <w:b/>
          <w:color w:val="000000" w:themeColor="text1"/>
          <w:kern w:val="0"/>
          <w:sz w:val="24"/>
          <w:szCs w:val="20"/>
          <w:highlight w:val="none"/>
          <w14:textFill>
            <w14:solidFill>
              <w14:schemeClr w14:val="tx1"/>
            </w14:solidFill>
          </w14:textFill>
        </w:rPr>
        <w:br w:type="page"/>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9、配件、备品、备件和专用工具详细清单</w:t>
      </w:r>
    </w:p>
    <w:p>
      <w:pPr>
        <w:adjustRightInd w:val="0"/>
        <w:snapToGrid w:val="0"/>
        <w:spacing w:line="360" w:lineRule="auto"/>
        <w:rPr>
          <w:color w:val="000000" w:themeColor="text1"/>
          <w:sz w:val="24"/>
          <w:szCs w:val="20"/>
          <w:highlight w:val="none"/>
          <w14:textFill>
            <w14:solidFill>
              <w14:schemeClr w14:val="tx1"/>
            </w14:solidFill>
          </w14:textFill>
        </w:rPr>
      </w:pP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785"/>
        <w:gridCol w:w="1966"/>
        <w:gridCol w:w="1319"/>
        <w:gridCol w:w="1072"/>
        <w:gridCol w:w="1078"/>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r>
              <w:rPr>
                <w:rFonts w:hint="eastAsia"/>
                <w:color w:val="000000" w:themeColor="text1"/>
                <w:sz w:val="24"/>
                <w:szCs w:val="20"/>
                <w:highlight w:val="none"/>
                <w14:textFill>
                  <w14:solidFill>
                    <w14:schemeClr w14:val="tx1"/>
                  </w14:solidFill>
                </w14:textFill>
              </w:rPr>
              <w:t>序号</w:t>
            </w: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r>
              <w:rPr>
                <w:rFonts w:hint="eastAsia"/>
                <w:color w:val="000000" w:themeColor="text1"/>
                <w:sz w:val="24"/>
                <w:szCs w:val="20"/>
                <w:highlight w:val="none"/>
                <w14:textFill>
                  <w14:solidFill>
                    <w14:schemeClr w14:val="tx1"/>
                  </w14:solidFill>
                </w14:textFill>
              </w:rPr>
              <w:t>名称</w:t>
            </w: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r>
              <w:rPr>
                <w:rFonts w:hint="eastAsia"/>
                <w:color w:val="000000" w:themeColor="text1"/>
                <w:sz w:val="24"/>
                <w:szCs w:val="20"/>
                <w:highlight w:val="none"/>
                <w14:textFill>
                  <w14:solidFill>
                    <w14:schemeClr w14:val="tx1"/>
                  </w14:solidFill>
                </w14:textFill>
              </w:rPr>
              <w:t>型号规格</w:t>
            </w: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r>
              <w:rPr>
                <w:rFonts w:hint="eastAsia"/>
                <w:color w:val="000000" w:themeColor="text1"/>
                <w:sz w:val="24"/>
                <w:szCs w:val="20"/>
                <w:highlight w:val="none"/>
                <w14:textFill>
                  <w14:solidFill>
                    <w14:schemeClr w14:val="tx1"/>
                  </w14:solidFill>
                </w14:textFill>
              </w:rPr>
              <w:t>制造商</w:t>
            </w: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r>
              <w:rPr>
                <w:rFonts w:hint="eastAsia"/>
                <w:color w:val="000000" w:themeColor="text1"/>
                <w:sz w:val="24"/>
                <w:szCs w:val="20"/>
                <w:highlight w:val="none"/>
                <w14:textFill>
                  <w14:solidFill>
                    <w14:schemeClr w14:val="tx1"/>
                  </w14:solidFill>
                </w14:textFill>
              </w:rPr>
              <w:t>国别</w:t>
            </w: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r>
              <w:rPr>
                <w:rFonts w:hint="eastAsia"/>
                <w:color w:val="000000" w:themeColor="text1"/>
                <w:sz w:val="24"/>
                <w:szCs w:val="20"/>
                <w:highlight w:val="none"/>
                <w14:textFill>
                  <w14:solidFill>
                    <w14:schemeClr w14:val="tx1"/>
                  </w14:solidFill>
                </w14:textFill>
              </w:rPr>
              <w:t>产地</w:t>
            </w: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r>
              <w:rPr>
                <w:rFonts w:hint="eastAsia"/>
                <w:color w:val="000000" w:themeColor="text1"/>
                <w:sz w:val="24"/>
                <w:szCs w:val="20"/>
                <w:highlight w:val="none"/>
                <w14:textFill>
                  <w14:solidFill>
                    <w14:schemeClr w14:val="tx1"/>
                  </w14:solidFill>
                </w14:textFill>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785"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66"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319"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2"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078" w:type="dxa"/>
            <w:vAlign w:val="center"/>
          </w:tcPr>
          <w:p>
            <w:pPr>
              <w:adjustRightInd w:val="0"/>
              <w:snapToGrid w:val="0"/>
              <w:jc w:val="center"/>
              <w:rPr>
                <w:color w:val="000000" w:themeColor="text1"/>
                <w:sz w:val="24"/>
                <w:szCs w:val="20"/>
                <w:highlight w:val="none"/>
                <w14:textFill>
                  <w14:solidFill>
                    <w14:schemeClr w14:val="tx1"/>
                  </w14:solidFill>
                </w14:textFill>
              </w:rPr>
            </w:pPr>
          </w:p>
        </w:tc>
        <w:tc>
          <w:tcPr>
            <w:tcW w:w="1949" w:type="dxa"/>
            <w:vAlign w:val="center"/>
          </w:tcPr>
          <w:p>
            <w:pPr>
              <w:adjustRightInd w:val="0"/>
              <w:snapToGrid w:val="0"/>
              <w:jc w:val="center"/>
              <w:rPr>
                <w:color w:val="000000" w:themeColor="text1"/>
                <w:sz w:val="24"/>
                <w:szCs w:val="20"/>
                <w:highlight w:val="none"/>
                <w14:textFill>
                  <w14:solidFill>
                    <w14:schemeClr w14:val="tx1"/>
                  </w14:solidFill>
                </w14:textFill>
              </w:rPr>
            </w:pPr>
          </w:p>
        </w:tc>
      </w:tr>
    </w:tbl>
    <w:p>
      <w:pPr>
        <w:adjustRightInd w:val="0"/>
        <w:snapToGrid w:val="0"/>
        <w:spacing w:line="360" w:lineRule="auto"/>
        <w:rPr>
          <w:color w:val="000000" w:themeColor="text1"/>
          <w:sz w:val="24"/>
          <w:szCs w:val="20"/>
          <w:highlight w:val="none"/>
          <w14:textFill>
            <w14:solidFill>
              <w14:schemeClr w14:val="tx1"/>
            </w14:solidFill>
          </w14:textFill>
        </w:rPr>
      </w:pPr>
    </w:p>
    <w:p>
      <w:pPr>
        <w:spacing w:line="500" w:lineRule="exact"/>
        <w:rPr>
          <w:rFonts w:ascii="宋体"/>
          <w:color w:val="000000" w:themeColor="text1"/>
          <w:sz w:val="24"/>
          <w:highlight w:val="none"/>
          <w:u w:val="single"/>
          <w14:textFill>
            <w14:solidFill>
              <w14:schemeClr w14:val="tx1"/>
            </w14:solidFill>
          </w14:textFill>
        </w:rPr>
      </w:pPr>
      <w:r>
        <w:rPr>
          <w:rFonts w:hint="eastAsia" w:ascii="宋体"/>
          <w:color w:val="000000" w:themeColor="text1"/>
          <w:sz w:val="24"/>
          <w:highlight w:val="none"/>
          <w14:textFill>
            <w14:solidFill>
              <w14:schemeClr w14:val="tx1"/>
            </w14:solidFill>
          </w14:textFill>
        </w:rPr>
        <w:t>投标人授权代表签字：</w:t>
      </w:r>
      <w:r>
        <w:rPr>
          <w:rFonts w:hint="eastAsia" w:ascii="宋体"/>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u w:val="single"/>
          <w14:textFill>
            <w14:solidFill>
              <w14:schemeClr w14:val="tx1"/>
            </w14:solidFill>
          </w14:textFill>
        </w:rPr>
      </w:pPr>
      <w:r>
        <w:rPr>
          <w:rFonts w:hint="eastAsia"/>
          <w:color w:val="000000" w:themeColor="text1"/>
          <w:sz w:val="24"/>
          <w:highlight w:val="none"/>
          <w14:textFill>
            <w14:solidFill>
              <w14:schemeClr w14:val="tx1"/>
            </w14:solidFill>
          </w14:textFill>
        </w:rPr>
        <w:t>投标人（公章）：</w:t>
      </w:r>
      <w:r>
        <w:rPr>
          <w:rFonts w:hint="eastAsia"/>
          <w:color w:val="000000" w:themeColor="text1"/>
          <w:sz w:val="24"/>
          <w:highlight w:val="none"/>
          <w:u w:val="single"/>
          <w14:textFill>
            <w14:solidFill>
              <w14:schemeClr w14:val="tx1"/>
            </w14:solidFill>
          </w14:textFill>
        </w:rPr>
        <w:t xml:space="preserve">                    </w:t>
      </w:r>
    </w:p>
    <w:p>
      <w:pPr>
        <w:spacing w:line="5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日期：  年   月   日</w:t>
      </w:r>
    </w:p>
    <w:p>
      <w:pPr>
        <w:jc w:val="center"/>
        <w:rPr>
          <w:color w:val="000000" w:themeColor="text1"/>
          <w:sz w:val="24"/>
          <w:highlight w:val="none"/>
          <w14:textFill>
            <w14:solidFill>
              <w14:schemeClr w14:val="tx1"/>
            </w14:solidFill>
          </w14:textFill>
        </w:rPr>
      </w:pPr>
    </w:p>
    <w:p>
      <w:pPr>
        <w:jc w:val="center"/>
        <w:rPr>
          <w:color w:val="000000" w:themeColor="text1"/>
          <w:sz w:val="24"/>
          <w:szCs w:val="20"/>
          <w:highlight w:val="none"/>
          <w14:textFill>
            <w14:solidFill>
              <w14:schemeClr w14:val="tx1"/>
            </w14:solidFill>
          </w14:textFill>
        </w:rPr>
      </w:pPr>
    </w:p>
    <w:p>
      <w:pPr>
        <w:jc w:val="center"/>
        <w:rPr>
          <w:rFonts w:ascii="宋体" w:hAnsi="宋体"/>
          <w:color w:val="000000" w:themeColor="text1"/>
          <w:szCs w:val="21"/>
          <w:highlight w:val="none"/>
          <w14:textFill>
            <w14:solidFill>
              <w14:schemeClr w14:val="tx1"/>
            </w14:solidFill>
          </w14:textFill>
        </w:rPr>
      </w:pPr>
      <w:r>
        <w:rPr>
          <w:color w:val="000000" w:themeColor="text1"/>
          <w:sz w:val="24"/>
          <w:szCs w:val="20"/>
          <w:highlight w:val="none"/>
          <w14:textFill>
            <w14:solidFill>
              <w14:schemeClr w14:val="tx1"/>
            </w14:solidFill>
          </w14:textFill>
        </w:rPr>
        <w:br w:type="page"/>
      </w:r>
    </w:p>
    <w:p>
      <w:pPr>
        <w:pStyle w:val="16"/>
        <w:spacing w:line="360" w:lineRule="auto"/>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二、技术响应文件有关表格格式</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pacing w:val="20"/>
          <w:szCs w:val="21"/>
          <w:highlight w:val="none"/>
          <w14:textFill>
            <w14:solidFill>
              <w14:schemeClr w14:val="tx1"/>
            </w14:solidFill>
          </w14:textFill>
        </w:rPr>
        <w:t>1</w:t>
      </w:r>
      <w:r>
        <w:rPr>
          <w:rFonts w:hint="eastAsia" w:ascii="宋体" w:hAnsi="宋体"/>
          <w:b/>
          <w:color w:val="000000" w:themeColor="text1"/>
          <w:szCs w:val="21"/>
          <w:highlight w:val="none"/>
          <w14:textFill>
            <w14:solidFill>
              <w14:schemeClr w14:val="tx1"/>
            </w14:solidFill>
          </w14:textFill>
        </w:rPr>
        <w:t>、项目负责人情况表</w:t>
      </w: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包号：</w:t>
      </w:r>
    </w:p>
    <w:tbl>
      <w:tblPr>
        <w:tblStyle w:val="33"/>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051"/>
        <w:gridCol w:w="1061"/>
        <w:gridCol w:w="1159"/>
        <w:gridCol w:w="1140"/>
        <w:gridCol w:w="1050"/>
        <w:gridCol w:w="1155"/>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54" w:type="dxa"/>
            <w:tcBorders>
              <w:top w:val="single" w:color="auto" w:sz="4" w:space="0"/>
              <w:left w:val="single" w:color="auto" w:sz="4" w:space="0"/>
              <w:bottom w:val="single" w:color="auto" w:sz="4" w:space="0"/>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姓名</w:t>
            </w:r>
          </w:p>
        </w:tc>
        <w:tc>
          <w:tcPr>
            <w:tcW w:w="1051" w:type="dxa"/>
            <w:tcBorders>
              <w:top w:val="single" w:color="auto" w:sz="4" w:space="0"/>
              <w:left w:val="single" w:color="auto" w:sz="4" w:space="0"/>
              <w:bottom w:val="nil"/>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p>
        </w:tc>
        <w:tc>
          <w:tcPr>
            <w:tcW w:w="1061" w:type="dxa"/>
            <w:tcBorders>
              <w:top w:val="single" w:color="auto" w:sz="4" w:space="0"/>
              <w:left w:val="single" w:color="auto" w:sz="4" w:space="0"/>
              <w:bottom w:val="nil"/>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出生年月</w:t>
            </w:r>
          </w:p>
        </w:tc>
        <w:tc>
          <w:tcPr>
            <w:tcW w:w="1159" w:type="dxa"/>
            <w:tcBorders>
              <w:top w:val="single" w:color="auto" w:sz="4" w:space="0"/>
              <w:left w:val="single" w:color="auto" w:sz="4" w:space="0"/>
              <w:bottom w:val="nil"/>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p>
        </w:tc>
        <w:tc>
          <w:tcPr>
            <w:tcW w:w="1140" w:type="dxa"/>
            <w:tcBorders>
              <w:top w:val="single" w:color="auto" w:sz="4" w:space="0"/>
              <w:left w:val="single" w:color="auto" w:sz="4" w:space="0"/>
              <w:bottom w:val="nil"/>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文化程度</w:t>
            </w:r>
          </w:p>
        </w:tc>
        <w:tc>
          <w:tcPr>
            <w:tcW w:w="1050" w:type="dxa"/>
            <w:tcBorders>
              <w:top w:val="single" w:color="auto" w:sz="4" w:space="0"/>
              <w:left w:val="single" w:color="auto" w:sz="4" w:space="0"/>
              <w:bottom w:val="nil"/>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毕业时间</w:t>
            </w:r>
          </w:p>
        </w:tc>
        <w:tc>
          <w:tcPr>
            <w:tcW w:w="1332" w:type="dxa"/>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54" w:type="dxa"/>
            <w:tcBorders>
              <w:top w:val="single" w:color="auto" w:sz="4" w:space="0"/>
              <w:left w:val="single" w:color="auto" w:sz="4" w:space="0"/>
              <w:bottom w:val="single" w:color="auto" w:sz="4" w:space="0"/>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毕业院校和专业</w:t>
            </w:r>
          </w:p>
        </w:tc>
        <w:tc>
          <w:tcPr>
            <w:tcW w:w="21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从事本类项目工作年限</w:t>
            </w:r>
          </w:p>
        </w:tc>
        <w:tc>
          <w:tcPr>
            <w:tcW w:w="219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联系方式</w:t>
            </w:r>
          </w:p>
        </w:tc>
        <w:tc>
          <w:tcPr>
            <w:tcW w:w="1332" w:type="dxa"/>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154" w:type="dxa"/>
            <w:tcBorders>
              <w:top w:val="single" w:color="auto" w:sz="4" w:space="0"/>
              <w:left w:val="single" w:color="auto" w:sz="4" w:space="0"/>
              <w:bottom w:val="single" w:color="auto" w:sz="4" w:space="0"/>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职业资格</w:t>
            </w:r>
          </w:p>
        </w:tc>
        <w:tc>
          <w:tcPr>
            <w:tcW w:w="21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hanging="3"/>
              <w:jc w:val="center"/>
              <w:rPr>
                <w:rFonts w:ascii="宋体" w:hAnsi="宋体"/>
                <w:color w:val="000000" w:themeColor="text1"/>
                <w:szCs w:val="21"/>
                <w:highlight w:val="none"/>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技术职称</w:t>
            </w:r>
          </w:p>
        </w:tc>
        <w:tc>
          <w:tcPr>
            <w:tcW w:w="219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聘任时间</w:t>
            </w:r>
          </w:p>
        </w:tc>
        <w:tc>
          <w:tcPr>
            <w:tcW w:w="1332" w:type="dxa"/>
            <w:tcBorders>
              <w:top w:val="single" w:color="auto" w:sz="4" w:space="0"/>
              <w:left w:val="single" w:color="auto" w:sz="4" w:space="0"/>
              <w:bottom w:val="single" w:color="auto" w:sz="4" w:space="0"/>
              <w:right w:val="single" w:color="auto" w:sz="4" w:space="0"/>
            </w:tcBorders>
            <w:vAlign w:val="center"/>
          </w:tcPr>
          <w:p>
            <w:pPr>
              <w:spacing w:line="360" w:lineRule="auto"/>
              <w:ind w:hanging="3"/>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3" w:hRule="atLeast"/>
        </w:trPr>
        <w:tc>
          <w:tcPr>
            <w:tcW w:w="9102" w:type="dxa"/>
            <w:gridSpan w:val="8"/>
            <w:tcBorders>
              <w:top w:val="single" w:color="auto" w:sz="4" w:space="0"/>
              <w:left w:val="single" w:color="auto" w:sz="4" w:space="0"/>
              <w:bottom w:val="single" w:color="auto" w:sz="4" w:space="0"/>
              <w:right w:val="single" w:color="auto" w:sz="4" w:space="0"/>
            </w:tcBorders>
          </w:tcPr>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主要工作经历：</w:t>
            </w:r>
          </w:p>
          <w:p>
            <w:pPr>
              <w:spacing w:line="360" w:lineRule="auto"/>
              <w:ind w:hanging="3"/>
              <w:rPr>
                <w:rFonts w:ascii="宋体" w:hAnsi="宋体"/>
                <w:color w:val="000000" w:themeColor="text1"/>
                <w:szCs w:val="21"/>
                <w:highlight w:val="none"/>
                <w14:textFill>
                  <w14:solidFill>
                    <w14:schemeClr w14:val="tx1"/>
                  </w14:solidFill>
                </w14:textFill>
              </w:rPr>
            </w:pPr>
          </w:p>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主要管理服务项目：</w:t>
            </w:r>
          </w:p>
          <w:p>
            <w:pPr>
              <w:spacing w:line="360" w:lineRule="auto"/>
              <w:ind w:hanging="3"/>
              <w:rPr>
                <w:rFonts w:ascii="宋体" w:hAnsi="宋体"/>
                <w:color w:val="000000" w:themeColor="text1"/>
                <w:szCs w:val="21"/>
                <w:highlight w:val="none"/>
                <w14:textFill>
                  <w14:solidFill>
                    <w14:schemeClr w14:val="tx1"/>
                  </w14:solidFill>
                </w14:textFill>
              </w:rPr>
            </w:pPr>
          </w:p>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主要工作特点：</w:t>
            </w:r>
          </w:p>
          <w:p>
            <w:pPr>
              <w:spacing w:line="360" w:lineRule="auto"/>
              <w:ind w:hanging="3"/>
              <w:rPr>
                <w:rFonts w:ascii="宋体" w:hAnsi="宋体"/>
                <w:color w:val="000000" w:themeColor="text1"/>
                <w:szCs w:val="21"/>
                <w:highlight w:val="none"/>
                <w14:textFill>
                  <w14:solidFill>
                    <w14:schemeClr w14:val="tx1"/>
                  </w14:solidFill>
                </w14:textFill>
              </w:rPr>
            </w:pPr>
          </w:p>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主要工作业绩：</w:t>
            </w:r>
          </w:p>
          <w:p>
            <w:pPr>
              <w:spacing w:line="360" w:lineRule="auto"/>
              <w:ind w:hanging="3"/>
              <w:rPr>
                <w:rFonts w:ascii="宋体" w:hAnsi="宋体"/>
                <w:color w:val="000000" w:themeColor="text1"/>
                <w:szCs w:val="21"/>
                <w:highlight w:val="none"/>
                <w14:textFill>
                  <w14:solidFill>
                    <w14:schemeClr w14:val="tx1"/>
                  </w14:solidFill>
                </w14:textFill>
              </w:rPr>
            </w:pPr>
          </w:p>
          <w:p>
            <w:pPr>
              <w:spacing w:line="360" w:lineRule="auto"/>
              <w:ind w:hanging="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胜任本项目负责人的理由：</w:t>
            </w:r>
          </w:p>
          <w:p>
            <w:pPr>
              <w:spacing w:line="360" w:lineRule="auto"/>
              <w:ind w:hanging="3"/>
              <w:rPr>
                <w:rFonts w:ascii="宋体" w:hAnsi="宋体"/>
                <w:color w:val="000000" w:themeColor="text1"/>
                <w:szCs w:val="21"/>
                <w:highlight w:val="none"/>
                <w14:textFill>
                  <w14:solidFill>
                    <w14:schemeClr w14:val="tx1"/>
                  </w14:solidFill>
                </w14:textFill>
              </w:rPr>
            </w:pPr>
          </w:p>
          <w:p>
            <w:pPr>
              <w:spacing w:line="360" w:lineRule="auto"/>
              <w:ind w:hanging="3"/>
              <w:rPr>
                <w:rFonts w:ascii="宋体" w:hAnsi="宋体"/>
                <w:color w:val="000000" w:themeColor="text1"/>
                <w:szCs w:val="21"/>
                <w:highlight w:val="none"/>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6192" behindDoc="0" locked="0" layoutInCell="0" allowOverlap="1">
                <wp:simplePos x="0" y="0"/>
                <wp:positionH relativeFrom="column">
                  <wp:posOffset>1520825</wp:posOffset>
                </wp:positionH>
                <wp:positionV relativeFrom="paragraph">
                  <wp:posOffset>180340</wp:posOffset>
                </wp:positionV>
                <wp:extent cx="1908175" cy="0"/>
                <wp:effectExtent l="13970" t="11430" r="11430" b="7620"/>
                <wp:wrapNone/>
                <wp:docPr id="33" name="直线 15"/>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119.75pt;margin-top:14.2pt;height:0pt;width:150.25pt;z-index:251656192;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VMTC9YAAAAJAQAADwAAAAAAAAAB&#10;ACAAAAAiAAAAZHJzL2Rvd25yZXYueG1sUEsBAhQAFAAAAAgAh07iQNGrxLD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7216" behindDoc="0" locked="0" layoutInCell="0" allowOverlap="1">
                <wp:simplePos x="0" y="0"/>
                <wp:positionH relativeFrom="column">
                  <wp:posOffset>1141095</wp:posOffset>
                </wp:positionH>
                <wp:positionV relativeFrom="paragraph">
                  <wp:posOffset>180340</wp:posOffset>
                </wp:positionV>
                <wp:extent cx="2307590" cy="0"/>
                <wp:effectExtent l="5715" t="8255" r="10795" b="10795"/>
                <wp:wrapNone/>
                <wp:docPr id="32" name="直线 16"/>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16" o:spid="_x0000_s1026" o:spt="20" style="position:absolute;left:0pt;margin-left:89.85pt;margin-top:14.2pt;height:0pt;width:181.7pt;z-index:251657216;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UrNrNYAAAAJAQAADwAAAAAAAAAB&#10;ACAAAAAiAAAAZHJzL2Rvd25yZXYueG1sUEsBAhQAFAAAAAgAh07iQKe3Ypz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2、主要管理、技术人员配备及相关工作经历、职业资格汇总表</w:t>
      </w: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项目名称：</w:t>
      </w: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包号：</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750"/>
        <w:gridCol w:w="1080"/>
        <w:gridCol w:w="1080"/>
        <w:gridCol w:w="1080"/>
        <w:gridCol w:w="1080"/>
        <w:gridCol w:w="14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项目组成员姓名</w:t>
            </w:r>
          </w:p>
        </w:tc>
        <w:tc>
          <w:tcPr>
            <w:tcW w:w="7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年龄</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在项目组中的岗位</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学历和毕业时间</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职称及职业资格</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进入本单位时间</w:t>
            </w: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相关工作经历</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tc>
        <w:tc>
          <w:tcPr>
            <w:tcW w:w="75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highlight w:val="none"/>
                <w14:textFill>
                  <w14:solidFill>
                    <w14:schemeClr w14:val="tx1"/>
                  </w14:solidFill>
                </w14:textFill>
              </w:rPr>
            </w:pPr>
          </w:p>
        </w:tc>
      </w:tr>
    </w:tbl>
    <w:p>
      <w:pPr>
        <w:spacing w:line="360" w:lineRule="auto"/>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1312" behindDoc="0" locked="0" layoutInCell="0" allowOverlap="1">
                <wp:simplePos x="0" y="0"/>
                <wp:positionH relativeFrom="column">
                  <wp:posOffset>1520825</wp:posOffset>
                </wp:positionH>
                <wp:positionV relativeFrom="paragraph">
                  <wp:posOffset>180340</wp:posOffset>
                </wp:positionV>
                <wp:extent cx="1908175" cy="0"/>
                <wp:effectExtent l="13970" t="12065" r="11430" b="6985"/>
                <wp:wrapNone/>
                <wp:docPr id="31" name="直线 26"/>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26" o:spid="_x0000_s1026" o:spt="20" style="position:absolute;left:0pt;margin-left:119.75pt;margin-top:14.2pt;height:0pt;width:150.25pt;z-index:251661312;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VMTC9YAAAAJAQAADwAAAAAAAAAB&#10;ACAAAAAiAAAAZHJzL2Rvd25yZXYueG1sUEsBAhQAFAAAAAgAh07iQIurfz3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2336" behindDoc="0" locked="0" layoutInCell="0" allowOverlap="1">
                <wp:simplePos x="0" y="0"/>
                <wp:positionH relativeFrom="column">
                  <wp:posOffset>1141095</wp:posOffset>
                </wp:positionH>
                <wp:positionV relativeFrom="paragraph">
                  <wp:posOffset>180340</wp:posOffset>
                </wp:positionV>
                <wp:extent cx="2307590" cy="0"/>
                <wp:effectExtent l="5715" t="9525" r="10795" b="9525"/>
                <wp:wrapNone/>
                <wp:docPr id="30" name="直线 27"/>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27" o:spid="_x0000_s1026" o:spt="20" style="position:absolute;left:0pt;margin-left:89.85pt;margin-top:14.2pt;height:0pt;width:181.7pt;z-index:251662336;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UrNrNYAAAAJAQAADwAAAAAAAAAB&#10;ACAAAAAiAAAAZHJzL2Rvd25yZXYueG1sUEsBAhQAFAAAAAgAh07iQGg2jmz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spacing w:after="120" w:afterLines="5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br w:type="page"/>
      </w:r>
    </w:p>
    <w:p>
      <w:pPr>
        <w:spacing w:after="120" w:afterLines="50"/>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3、投标单位基本情况表</w:t>
      </w:r>
    </w:p>
    <w:tbl>
      <w:tblPr>
        <w:tblStyle w:val="33"/>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1135"/>
        <w:gridCol w:w="1150"/>
        <w:gridCol w:w="181"/>
        <w:gridCol w:w="704"/>
        <w:gridCol w:w="659"/>
        <w:gridCol w:w="618"/>
        <w:gridCol w:w="541"/>
        <w:gridCol w:w="400"/>
        <w:gridCol w:w="1039"/>
        <w:gridCol w:w="37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单位名称</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单位地址</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成立时间</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注册资金</w:t>
            </w:r>
          </w:p>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（万元）</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税务登记属地</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行政负责人</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资质情况</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ind w:left="-74" w:leftChars="-52" w:hanging="35" w:hangingChars="17"/>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资质名称</w:t>
            </w:r>
          </w:p>
        </w:tc>
        <w:tc>
          <w:tcPr>
            <w:tcW w:w="2703"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颁发部门</w:t>
            </w:r>
          </w:p>
        </w:tc>
        <w:tc>
          <w:tcPr>
            <w:tcW w:w="143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资质等级</w:t>
            </w:r>
          </w:p>
        </w:tc>
        <w:tc>
          <w:tcPr>
            <w:tcW w:w="165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资质编号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bCs/>
                <w:color w:val="000000" w:themeColor="text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bCs/>
                <w:color w:val="000000" w:themeColor="text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bCs/>
                <w:color w:val="000000" w:themeColor="text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bCs/>
                <w:color w:val="000000" w:themeColor="text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bCs/>
                <w:color w:val="000000" w:themeColor="text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从事的人数（人）</w:t>
            </w:r>
          </w:p>
        </w:tc>
        <w:tc>
          <w:tcPr>
            <w:tcW w:w="8082"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3829"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职称等级（人）</w:t>
            </w:r>
          </w:p>
        </w:tc>
        <w:tc>
          <w:tcPr>
            <w:tcW w:w="4253"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执业资格（人）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11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高级</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中级</w:t>
            </w:r>
          </w:p>
        </w:tc>
        <w:tc>
          <w:tcPr>
            <w:tcW w:w="136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初级</w:t>
            </w:r>
          </w:p>
        </w:tc>
        <w:tc>
          <w:tcPr>
            <w:tcW w:w="155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right="27" w:rightChars="13" w:firstLine="18" w:firstLineChars="9"/>
              <w:jc w:val="center"/>
              <w:rPr>
                <w:rFonts w:ascii="宋体"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highlight w:val="none"/>
                <w14:textFill>
                  <w14:solidFill>
                    <w14:schemeClr w14:val="tx1"/>
                  </w14:solidFill>
                </w14:textFill>
              </w:rPr>
            </w:pPr>
          </w:p>
        </w:tc>
        <w:tc>
          <w:tcPr>
            <w:tcW w:w="11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36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55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27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其他具有竞争力的说明</w:t>
            </w:r>
          </w:p>
        </w:tc>
        <w:tc>
          <w:tcPr>
            <w:tcW w:w="8082" w:type="dxa"/>
            <w:gridSpan w:val="11"/>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000000" w:themeColor="text1"/>
                <w:szCs w:val="21"/>
                <w:highlight w:val="none"/>
                <w14:textFill>
                  <w14:solidFill>
                    <w14:schemeClr w14:val="tx1"/>
                  </w14:solidFill>
                </w14:textFill>
              </w:rPr>
            </w:pPr>
          </w:p>
          <w:p>
            <w:pPr>
              <w:adjustRightInd w:val="0"/>
              <w:snapToGrid w:val="0"/>
              <w:rPr>
                <w:rFonts w:ascii="宋体" w:hAnsi="宋体"/>
                <w:color w:val="000000" w:themeColor="text1"/>
                <w:szCs w:val="21"/>
                <w:highlight w:val="none"/>
                <w14:textFill>
                  <w14:solidFill>
                    <w14:schemeClr w14:val="tx1"/>
                  </w14:solidFill>
                </w14:textFill>
              </w:rPr>
            </w:pPr>
          </w:p>
          <w:p>
            <w:pPr>
              <w:adjustRightInd w:val="0"/>
              <w:snapToGrid w:val="0"/>
              <w:rPr>
                <w:rFonts w:ascii="宋体" w:hAnsi="宋体"/>
                <w:color w:val="000000" w:themeColor="text1"/>
                <w:szCs w:val="21"/>
                <w:highlight w:val="none"/>
                <w14:textFill>
                  <w14:solidFill>
                    <w14:schemeClr w14:val="tx1"/>
                  </w14:solidFill>
                </w14:textFill>
              </w:rPr>
            </w:pPr>
          </w:p>
          <w:p>
            <w:pPr>
              <w:adjustRightInd w:val="0"/>
              <w:snapToGrid w:val="0"/>
              <w:rPr>
                <w:rFonts w:ascii="宋体" w:hAnsi="宋体"/>
                <w:color w:val="000000" w:themeColor="text1"/>
                <w:szCs w:val="21"/>
                <w:highlight w:val="none"/>
                <w14:textFill>
                  <w14:solidFill>
                    <w14:schemeClr w14:val="tx1"/>
                  </w14:solidFill>
                </w14:textFill>
              </w:rPr>
            </w:pPr>
          </w:p>
          <w:p>
            <w:pPr>
              <w:adjustRightInd w:val="0"/>
              <w:snapToGrid w:val="0"/>
              <w:rPr>
                <w:rFonts w:ascii="宋体" w:hAnsi="宋体"/>
                <w:color w:val="000000" w:themeColor="text1"/>
                <w:szCs w:val="21"/>
                <w:highlight w:val="none"/>
                <w14:textFill>
                  <w14:solidFill>
                    <w14:schemeClr w14:val="tx1"/>
                  </w14:solidFill>
                </w14:textFill>
              </w:rPr>
            </w:pPr>
          </w:p>
          <w:p>
            <w:pPr>
              <w:adjustRightInd w:val="0"/>
              <w:snapToGrid w:val="0"/>
              <w:rPr>
                <w:rFonts w:ascii="宋体" w:hAnsi="宋体"/>
                <w:color w:val="000000" w:themeColor="text1"/>
                <w:szCs w:val="21"/>
                <w:highlight w:val="none"/>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3360" behindDoc="0" locked="0" layoutInCell="0" allowOverlap="1">
                <wp:simplePos x="0" y="0"/>
                <wp:positionH relativeFrom="column">
                  <wp:posOffset>1520825</wp:posOffset>
                </wp:positionH>
                <wp:positionV relativeFrom="paragraph">
                  <wp:posOffset>180340</wp:posOffset>
                </wp:positionV>
                <wp:extent cx="1908175" cy="0"/>
                <wp:effectExtent l="13970" t="10795" r="11430" b="8255"/>
                <wp:wrapNone/>
                <wp:docPr id="29" name="直线 31"/>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31" o:spid="_x0000_s1026" o:spt="20" style="position:absolute;left:0pt;margin-left:119.75pt;margin-top:14.2pt;height:0pt;width:150.25pt;z-index:251663360;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tVMTC9YAAAAJAQAADwAAAAAAAAAB&#10;ACAAAAAiAAAAZHJzL2Rvd25yZXYueG1sUEsBAhQAFAAAAAgAh07iQOP2oFvZAQAAowMAAA4AAAAA&#10;AAAAAQAgAAAAJQEAAGRycy9lMm9Eb2MueG1sUEsFBgAAAAAGAAYAWQEAAHA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0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4384" behindDoc="0" locked="0" layoutInCell="0" allowOverlap="1">
                <wp:simplePos x="0" y="0"/>
                <wp:positionH relativeFrom="column">
                  <wp:posOffset>1141095</wp:posOffset>
                </wp:positionH>
                <wp:positionV relativeFrom="paragraph">
                  <wp:posOffset>180340</wp:posOffset>
                </wp:positionV>
                <wp:extent cx="2307590" cy="0"/>
                <wp:effectExtent l="5715" t="8255" r="10795" b="10795"/>
                <wp:wrapNone/>
                <wp:docPr id="28" name="直线 32"/>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32" o:spid="_x0000_s1026" o:spt="20" style="position:absolute;left:0pt;margin-left:89.85pt;margin-top:14.2pt;height:0pt;width:181.7pt;z-index:251664384;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1Ss2s1gAAAAkBAAAPAAAAAAAAAAEA&#10;IAAAACIAAABkcnMvZG93bnJldi54bWxQSwECFAAUAAAACACHTuJAleoGd9gBAACjAwAADgAAAAAA&#10;AAABACAAAAAlAQAAZHJzL2Uyb0RvYy54bWxQSwUGAAAAAAYABgBZAQAAbwU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日期：年月日</w:t>
      </w:r>
    </w:p>
    <w:p>
      <w:pPr>
        <w:spacing w:after="120" w:afterLines="50"/>
        <w:jc w:val="center"/>
        <w:rPr>
          <w:b/>
          <w:color w:val="000000" w:themeColor="text1"/>
          <w:szCs w:val="21"/>
          <w:highlight w:val="none"/>
          <w14:textFill>
            <w14:solidFill>
              <w14:schemeClr w14:val="tx1"/>
            </w14:solidFill>
          </w14:textFill>
        </w:rPr>
      </w:pPr>
      <w:r>
        <w:rPr>
          <w:rFonts w:ascii="宋体" w:hAnsi="宋体"/>
          <w:color w:val="000000" w:themeColor="text1"/>
          <w:kern w:val="0"/>
          <w:szCs w:val="21"/>
          <w:highlight w:val="none"/>
          <w14:textFill>
            <w14:solidFill>
              <w14:schemeClr w14:val="tx1"/>
            </w14:solidFill>
          </w14:textFill>
        </w:rPr>
        <w:br w:type="page"/>
      </w:r>
      <w:r>
        <w:rPr>
          <w:rFonts w:hint="eastAsia"/>
          <w:b/>
          <w:color w:val="000000" w:themeColor="text1"/>
          <w:szCs w:val="21"/>
          <w:highlight w:val="none"/>
          <w14:textFill>
            <w14:solidFill>
              <w14:schemeClr w14:val="tx1"/>
            </w14:solidFill>
          </w14:textFill>
        </w:rPr>
        <w:t>4、</w:t>
      </w:r>
      <w:r>
        <w:rPr>
          <w:b/>
          <w:color w:val="000000" w:themeColor="text1"/>
          <w:szCs w:val="21"/>
          <w:highlight w:val="none"/>
          <w14:textFill>
            <w14:solidFill>
              <w14:schemeClr w14:val="tx1"/>
            </w14:solidFill>
          </w14:textFill>
        </w:rPr>
        <w:t>技术规格响应/偏离表格式</w:t>
      </w:r>
    </w:p>
    <w:p>
      <w:pPr>
        <w:adjustRightInd w:val="0"/>
        <w:spacing w:line="360" w:lineRule="atLeast"/>
        <w:ind w:firstLine="482"/>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投标人在投标文件技术部分中必须按下表的格式编制“技术规格响应/偏离表”。“技术规格条款号”一列填入招标文件第</w:t>
      </w:r>
      <w:r>
        <w:rPr>
          <w:rFonts w:hint="eastAsia"/>
          <w:color w:val="000000" w:themeColor="text1"/>
          <w:kern w:val="0"/>
          <w:sz w:val="24"/>
          <w:szCs w:val="20"/>
          <w:highlight w:val="none"/>
          <w14:textFill>
            <w14:solidFill>
              <w14:schemeClr w14:val="tx1"/>
            </w14:solidFill>
          </w14:textFill>
        </w:rPr>
        <w:t>四</w:t>
      </w:r>
      <w:r>
        <w:rPr>
          <w:color w:val="000000" w:themeColor="text1"/>
          <w:kern w:val="0"/>
          <w:sz w:val="24"/>
          <w:szCs w:val="20"/>
          <w:highlight w:val="none"/>
          <w14:textFill>
            <w14:solidFill>
              <w14:schemeClr w14:val="tx1"/>
            </w14:solidFill>
          </w14:textFill>
        </w:rPr>
        <w:t>章 “</w:t>
      </w:r>
      <w:r>
        <w:rPr>
          <w:rFonts w:hint="eastAsia"/>
          <w:color w:val="000000" w:themeColor="text1"/>
          <w:kern w:val="0"/>
          <w:sz w:val="24"/>
          <w:szCs w:val="20"/>
          <w:highlight w:val="none"/>
          <w14:textFill>
            <w14:solidFill>
              <w14:schemeClr w14:val="tx1"/>
            </w14:solidFill>
          </w14:textFill>
        </w:rPr>
        <w:t>项目需求</w:t>
      </w:r>
      <w:r>
        <w:rPr>
          <w:color w:val="000000" w:themeColor="text1"/>
          <w:kern w:val="0"/>
          <w:sz w:val="24"/>
          <w:szCs w:val="20"/>
          <w:highlight w:val="none"/>
          <w14:textFill>
            <w14:solidFill>
              <w14:schemeClr w14:val="tx1"/>
            </w14:solidFill>
          </w14:textFill>
        </w:rPr>
        <w:t>”中“详细技术要求”的各条款号；“招标文件要求技术规格”一列填入各条款所对应的详细技术要求（从招标文件中复制）；“投标产品技术规格”一列详细填入与各条款技术要求相对应的技术指标，应涵盖技术要求所涉及到的全部指标；“响应/偏离”一列中，依据投标产品技术规格与招标文件所要求的技术规格之间的差别，分别填入“响应”、“正偏离”或“负偏离”。</w:t>
      </w:r>
      <w:r>
        <w:rPr>
          <w:b/>
          <w:color w:val="000000" w:themeColor="text1"/>
          <w:kern w:val="0"/>
          <w:sz w:val="24"/>
          <w:szCs w:val="20"/>
          <w:highlight w:val="none"/>
          <w14:textFill>
            <w14:solidFill>
              <w14:schemeClr w14:val="tx1"/>
            </w14:solidFill>
          </w14:textFill>
        </w:rPr>
        <w:t>投标人必须根据所投标的产品如实填写，不得简单复制招标文件要求的技术规格作为其投标产品技术规格。</w:t>
      </w:r>
    </w:p>
    <w:p>
      <w:pPr>
        <w:adjustRightInd w:val="0"/>
        <w:spacing w:line="360" w:lineRule="atLeast"/>
        <w:ind w:firstLine="482"/>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投标人可在本“技术规格响应/偏离表”之外编制技术规格说明书，以更详细地描述投标产品的特点和性能。</w:t>
      </w:r>
    </w:p>
    <w:p>
      <w:pPr>
        <w:adjustRightInd w:val="0"/>
        <w:spacing w:line="360" w:lineRule="atLeast"/>
        <w:ind w:firstLine="482"/>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 xml:space="preserve">投标人名称：_________________ 招标编号：_________________ </w:t>
      </w:r>
    </w:p>
    <w:p>
      <w:pPr>
        <w:adjustRightInd w:val="0"/>
        <w:spacing w:line="360" w:lineRule="atLeast"/>
        <w:ind w:firstLine="482"/>
        <w:textAlignment w:val="baseline"/>
        <w:rPr>
          <w:color w:val="000000" w:themeColor="text1"/>
          <w:kern w:val="0"/>
          <w:sz w:val="24"/>
          <w:szCs w:val="20"/>
          <w:highlight w:val="none"/>
          <w14:textFill>
            <w14:solidFill>
              <w14:schemeClr w14:val="tx1"/>
            </w14:solidFill>
          </w14:textFill>
        </w:rPr>
      </w:pP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598"/>
        <w:gridCol w:w="3448"/>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djustRightInd w:val="0"/>
              <w:spacing w:line="360" w:lineRule="atLeast"/>
              <w:jc w:val="center"/>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技术规格条款号</w:t>
            </w:r>
          </w:p>
        </w:tc>
        <w:tc>
          <w:tcPr>
            <w:tcW w:w="4598" w:type="dxa"/>
            <w:vAlign w:val="center"/>
          </w:tcPr>
          <w:p>
            <w:pPr>
              <w:adjustRightInd w:val="0"/>
              <w:spacing w:line="360" w:lineRule="atLeast"/>
              <w:jc w:val="center"/>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招标文件要求技术规格</w:t>
            </w:r>
          </w:p>
        </w:tc>
        <w:tc>
          <w:tcPr>
            <w:tcW w:w="3448" w:type="dxa"/>
            <w:vAlign w:val="center"/>
          </w:tcPr>
          <w:p>
            <w:pPr>
              <w:adjustRightInd w:val="0"/>
              <w:spacing w:line="360" w:lineRule="atLeast"/>
              <w:jc w:val="center"/>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投标产品技术规格</w:t>
            </w:r>
          </w:p>
        </w:tc>
        <w:tc>
          <w:tcPr>
            <w:tcW w:w="998" w:type="dxa"/>
            <w:vAlign w:val="center"/>
          </w:tcPr>
          <w:p>
            <w:pPr>
              <w:adjustRightInd w:val="0"/>
              <w:spacing w:line="360" w:lineRule="atLeast"/>
              <w:jc w:val="center"/>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459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344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998" w:type="dxa"/>
            <w:vAlign w:val="center"/>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459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344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998" w:type="dxa"/>
            <w:vAlign w:val="center"/>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正偏离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4598" w:type="dxa"/>
          </w:tcPr>
          <w:p>
            <w:pPr>
              <w:adjustRightInd w:val="0"/>
              <w:spacing w:line="360" w:lineRule="atLeast"/>
              <w:textAlignment w:val="baseline"/>
              <w:rPr>
                <w:color w:val="000000" w:themeColor="text1"/>
                <w:kern w:val="0"/>
                <w:sz w:val="24"/>
                <w:highlight w:val="none"/>
                <w14:textFill>
                  <w14:solidFill>
                    <w14:schemeClr w14:val="tx1"/>
                  </w14:solidFill>
                </w14:textFill>
              </w:rPr>
            </w:pPr>
          </w:p>
        </w:tc>
        <w:tc>
          <w:tcPr>
            <w:tcW w:w="344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998" w:type="dxa"/>
            <w:vAlign w:val="center"/>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w:t>
            </w:r>
          </w:p>
        </w:tc>
        <w:tc>
          <w:tcPr>
            <w:tcW w:w="459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344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c>
          <w:tcPr>
            <w:tcW w:w="998" w:type="dxa"/>
          </w:tcPr>
          <w:p>
            <w:pPr>
              <w:adjustRightInd w:val="0"/>
              <w:spacing w:line="360" w:lineRule="atLeast"/>
              <w:textAlignment w:val="baseline"/>
              <w:rPr>
                <w:color w:val="000000" w:themeColor="text1"/>
                <w:kern w:val="0"/>
                <w:sz w:val="24"/>
                <w:szCs w:val="20"/>
                <w:highlight w:val="none"/>
                <w14:textFill>
                  <w14:solidFill>
                    <w14:schemeClr w14:val="tx1"/>
                  </w14:solidFill>
                </w14:textFill>
              </w:rPr>
            </w:pPr>
          </w:p>
        </w:tc>
      </w:tr>
    </w:tbl>
    <w:p>
      <w:pPr>
        <w:adjustRightInd w:val="0"/>
        <w:spacing w:line="360" w:lineRule="atLeast"/>
        <w:textAlignment w:val="baseline"/>
        <w:rPr>
          <w:color w:val="000000" w:themeColor="text1"/>
          <w:kern w:val="0"/>
          <w:sz w:val="24"/>
          <w:szCs w:val="20"/>
          <w:highlight w:val="none"/>
          <w14:textFill>
            <w14:solidFill>
              <w14:schemeClr w14:val="tx1"/>
            </w14:solidFill>
          </w14:textFill>
        </w:rPr>
      </w:pPr>
      <w:r>
        <w:rPr>
          <w:color w:val="000000" w:themeColor="text1"/>
          <w:kern w:val="0"/>
          <w:sz w:val="24"/>
          <w:szCs w:val="20"/>
          <w:highlight w:val="none"/>
          <w14:textFill>
            <w14:solidFill>
              <w14:schemeClr w14:val="tx1"/>
            </w14:solidFill>
          </w14:textFill>
        </w:rPr>
        <w:t>注：上表中填写的内容为示例。</w:t>
      </w:r>
    </w:p>
    <w:p>
      <w:pPr>
        <w:adjustRightInd w:val="0"/>
        <w:spacing w:line="360" w:lineRule="atLeast"/>
        <w:textAlignment w:val="baseline"/>
        <w:rPr>
          <w:color w:val="000000" w:themeColor="text1"/>
          <w:kern w:val="0"/>
          <w:sz w:val="24"/>
          <w:szCs w:val="20"/>
          <w:highlight w:val="none"/>
          <w14:textFill>
            <w14:solidFill>
              <w14:schemeClr w14:val="tx1"/>
            </w14:solidFill>
          </w14:textFill>
        </w:rPr>
      </w:pPr>
    </w:p>
    <w:p>
      <w:pPr>
        <w:rPr>
          <w:rFonts w:ascii="宋体" w:hAnsi="宋体"/>
          <w:color w:val="000000" w:themeColor="text1"/>
          <w:kern w:val="0"/>
          <w:szCs w:val="21"/>
          <w:highlight w:val="none"/>
          <w14:textFill>
            <w14:solidFill>
              <w14:schemeClr w14:val="tx1"/>
            </w14:solidFill>
          </w14:textFill>
        </w:rPr>
      </w:pP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br w:type="page"/>
      </w: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三、相关证明文件格式</w:t>
      </w: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1、投标人基本情况简介格式</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（一）基本情况：</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1、单位名称：</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2、地址：</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3：邮编：</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4、电话/传真：</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5、成立日期或注册日期：</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6、行业类型：</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（二）基本经济指标（到上年度12月31日止）：</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1、实收资本：</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2、资产总额：</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3、负债总额：</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4、营业收入：</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5、净利润：</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6、上交税收：</w:t>
      </w: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7、在册人数</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（三）其他情况：</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1、专业人员分类及人数：</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2、企业资质证书情况：</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3、近三年（2017年10月至今）内因违法违规受到行业及相关机构通报批评以上处理的情况：</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4、其他需要说明的情况：</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我方承诺上述情况是真实、准确的，我方同意根据招标人进一步要求出示有关资料予以证实。</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0" allowOverlap="1">
                <wp:simplePos x="0" y="0"/>
                <wp:positionH relativeFrom="column">
                  <wp:posOffset>1520825</wp:posOffset>
                </wp:positionH>
                <wp:positionV relativeFrom="paragraph">
                  <wp:posOffset>180340</wp:posOffset>
                </wp:positionV>
                <wp:extent cx="1908175" cy="0"/>
                <wp:effectExtent l="13970" t="8890" r="11430" b="10160"/>
                <wp:wrapNone/>
                <wp:docPr id="27" name="直线 22"/>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22" o:spid="_x0000_s1026" o:spt="20" style="position:absolute;left:0pt;margin-left:119.75pt;margin-top:14.2pt;height:0pt;width:150.25pt;z-index:251658240;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1UxML1gAAAAkBAAAPAAAAAAAAAAEA&#10;IAAAACIAAABkcnMvZG93bnJldi54bWxQSwECFAAUAAAACACHTuJAjLHoc9gBAACjAwAADgAAAAAA&#10;AAABACAAAAAlAQAAZHJzL2Uyb0RvYy54bWxQSwUGAAAAAAYABgBZAQAAbwU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6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0" allowOverlap="1">
                <wp:simplePos x="0" y="0"/>
                <wp:positionH relativeFrom="column">
                  <wp:posOffset>1141095</wp:posOffset>
                </wp:positionH>
                <wp:positionV relativeFrom="paragraph">
                  <wp:posOffset>180340</wp:posOffset>
                </wp:positionV>
                <wp:extent cx="2307590" cy="0"/>
                <wp:effectExtent l="5715" t="11430" r="10795" b="7620"/>
                <wp:wrapNone/>
                <wp:docPr id="26" name="直线 23"/>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23" o:spid="_x0000_s1026" o:spt="20" style="position:absolute;left:0pt;margin-left:89.85pt;margin-top:14.2pt;height:0pt;width:181.7pt;z-index:251658240;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1Ss2s1gAAAAkBAAAPAAAAAAAAAAEA&#10;IAAAACIAAABkcnMvZG93bnJldi54bWxQSwECFAAUAAAACACHTuJAbywZItgBAACjAwAADgAAAAAA&#10;AAABACAAAAAlAQAAZHJzL2Uyb0RvYy54bWxQSwUGAAAAAAYABgBZAQAAbwU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spacing w:line="360" w:lineRule="auto"/>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2、法定代表人授权书格式</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p>
    <w:p>
      <w:pPr>
        <w:spacing w:line="360" w:lineRule="auto"/>
        <w:rPr>
          <w:rFonts w:ascii="宋体" w:hAnsi="宋体"/>
          <w:color w:val="000000" w:themeColor="text1"/>
          <w:szCs w:val="21"/>
          <w:highlight w:val="none"/>
          <w14:textFill>
            <w14:solidFill>
              <w14:schemeClr w14:val="tx1"/>
            </w14:solidFill>
          </w14:textFill>
        </w:rPr>
      </w:pPr>
      <w:bookmarkStart w:id="44" w:name="OLE_LINK10"/>
      <w:bookmarkStart w:id="45" w:name="OLE_LINK18"/>
      <w:bookmarkStart w:id="46" w:name="OLE_LINK6"/>
      <w:bookmarkStart w:id="47" w:name="OLE_LINK21"/>
      <w:bookmarkStart w:id="48" w:name="OLE_LINK7"/>
      <w:bookmarkStart w:id="49" w:name="OLE_LINK19"/>
      <w:bookmarkStart w:id="50" w:name="OLE_LINK14"/>
      <w:bookmarkStart w:id="51" w:name="OLE_LINK3"/>
      <w:bookmarkStart w:id="52" w:name="OLE_LINK5"/>
      <w:bookmarkStart w:id="53" w:name="OLE_LINK4"/>
      <w:bookmarkStart w:id="54" w:name="OLE_LINK17"/>
      <w:bookmarkStart w:id="55" w:name="OLE_LINK9"/>
      <w:bookmarkStart w:id="56" w:name="OLE_LINK8"/>
      <w:bookmarkStart w:id="57" w:name="OLE_LINK2"/>
      <w:bookmarkStart w:id="58" w:name="OLE_LINK13"/>
      <w:bookmarkStart w:id="59" w:name="OLE_LINK11"/>
      <w:bookmarkStart w:id="60" w:name="OLE_LINK12"/>
      <w:bookmarkStart w:id="61" w:name="OLE_LINK15"/>
      <w:bookmarkStart w:id="62" w:name="OLE_LINK16"/>
      <w:bookmarkStart w:id="63" w:name="OLE_LINK20"/>
      <w:r>
        <w:rPr>
          <w:rFonts w:hint="eastAsia" w:ascii="宋体" w:hAnsi="宋体"/>
          <w:color w:val="000000" w:themeColor="text1"/>
          <w:szCs w:val="21"/>
          <w:highlight w:val="none"/>
          <w14:textFill>
            <w14:solidFill>
              <w14:schemeClr w14:val="tx1"/>
            </w14:solidFill>
          </w14:textFill>
        </w:rPr>
        <w:t>致：</w:t>
      </w:r>
      <w:r>
        <w:rPr>
          <w:rFonts w:hint="eastAsia" w:ascii="宋体" w:hAnsi="宋体"/>
          <w:color w:val="000000" w:themeColor="text1"/>
          <w:szCs w:val="21"/>
          <w:highlight w:val="none"/>
          <w:u w:val="single"/>
          <w14:textFill>
            <w14:solidFill>
              <w14:schemeClr w14:val="tx1"/>
            </w14:solidFill>
          </w14:textFill>
        </w:rPr>
        <w:t>上海银鑫建设咨询有限公司</w:t>
      </w:r>
    </w:p>
    <w:p>
      <w:pPr>
        <w:spacing w:line="360" w:lineRule="auto"/>
        <w:rPr>
          <w:rFonts w:ascii="宋体" w:hAnsi="宋体"/>
          <w:color w:val="000000" w:themeColor="text1"/>
          <w:szCs w:val="21"/>
          <w:highlight w:val="none"/>
          <w14:textFill>
            <w14:solidFill>
              <w14:schemeClr w14:val="tx1"/>
            </w14:solidFill>
          </w14:textFill>
        </w:rPr>
      </w:pPr>
    </w:p>
    <w:p>
      <w:pPr>
        <w:snapToGrid w:val="0"/>
        <w:spacing w:before="120" w:beforeLines="50" w:after="50"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我______</w:t>
      </w:r>
      <w:r>
        <w:rPr>
          <w:rFonts w:hint="eastAsia" w:ascii="宋体" w:hAnsi="宋体"/>
          <w:color w:val="000000" w:themeColor="text1"/>
          <w:szCs w:val="21"/>
          <w:highlight w:val="none"/>
          <w:u w:val="single"/>
          <w14:textFill>
            <w14:solidFill>
              <w14:schemeClr w14:val="tx1"/>
            </w14:solidFill>
          </w14:textFill>
        </w:rPr>
        <w:t>_     _</w:t>
      </w:r>
      <w:r>
        <w:rPr>
          <w:rFonts w:hint="eastAsia" w:ascii="宋体" w:hAnsi="宋体"/>
          <w:color w:val="000000" w:themeColor="text1"/>
          <w:szCs w:val="21"/>
          <w:highlight w:val="none"/>
          <w14:textFill>
            <w14:solidFill>
              <w14:schemeClr w14:val="tx1"/>
            </w14:solidFill>
          </w14:textFill>
        </w:rPr>
        <w:t>_（姓名）系______</w:t>
      </w:r>
      <w:r>
        <w:rPr>
          <w:rFonts w:hint="eastAsia" w:ascii="宋体" w:hAnsi="宋体"/>
          <w:color w:val="000000" w:themeColor="text1"/>
          <w:szCs w:val="21"/>
          <w:highlight w:val="none"/>
          <w:u w:val="single"/>
          <w14:textFill>
            <w14:solidFill>
              <w14:schemeClr w14:val="tx1"/>
            </w14:solidFill>
          </w14:textFill>
        </w:rPr>
        <w:t xml:space="preserve">     _        _</w:t>
      </w:r>
      <w:r>
        <w:rPr>
          <w:rFonts w:hint="eastAsia" w:ascii="宋体" w:hAnsi="宋体"/>
          <w:color w:val="000000" w:themeColor="text1"/>
          <w:szCs w:val="21"/>
          <w:highlight w:val="none"/>
          <w14:textFill>
            <w14:solidFill>
              <w14:schemeClr w14:val="tx1"/>
            </w14:solidFill>
          </w14:textFill>
        </w:rPr>
        <w:t xml:space="preserve">_（投标人名称）的法定代表人，现授权委托本单位在职职工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（姓名，职务）以我方的名义参加贵司</w:t>
      </w:r>
      <w:r>
        <w:rPr>
          <w:rFonts w:hint="eastAsia" w:ascii="宋体" w:hAnsi="宋体"/>
          <w:color w:val="000000" w:themeColor="text1"/>
          <w:szCs w:val="21"/>
          <w:highlight w:val="none"/>
          <w:u w:val="single"/>
          <w14:textFill>
            <w14:solidFill>
              <w14:schemeClr w14:val="tx1"/>
            </w14:solidFill>
          </w14:textFill>
        </w:rPr>
        <w:t>______________________</w:t>
      </w:r>
      <w:r>
        <w:rPr>
          <w:rFonts w:hint="eastAsia" w:ascii="宋体" w:hAnsi="宋体"/>
          <w:color w:val="000000" w:themeColor="text1"/>
          <w:szCs w:val="21"/>
          <w:highlight w:val="none"/>
          <w14:textFill>
            <w14:solidFill>
              <w14:schemeClr w14:val="tx1"/>
            </w14:solidFill>
          </w14:textFill>
        </w:rPr>
        <w:t>项目的投标活动，并代表我方全权办理针对上述项目的投标、开标、投标文件澄清、签约等一切具体事务和签署相关文件。</w:t>
      </w:r>
    </w:p>
    <w:p>
      <w:pPr>
        <w:snapToGrid w:val="0"/>
        <w:spacing w:before="120" w:beforeLines="50" w:after="50"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我方对被授权人的签名事项负全部责任。</w:t>
      </w:r>
    </w:p>
    <w:p>
      <w:pPr>
        <w:snapToGrid w:val="0"/>
        <w:spacing w:before="120" w:beforeLines="50" w:after="50"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贵单位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pPr>
        <w:snapToGrid w:val="0"/>
        <w:spacing w:before="120" w:beforeLines="50" w:after="50"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被授权人无转委托权，特此委托。</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4" w:hRule="atLeast"/>
        </w:trPr>
        <w:tc>
          <w:tcPr>
            <w:tcW w:w="841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在此粘贴被授权人身份证正面、反面复印件</w:t>
            </w:r>
          </w:p>
        </w:tc>
      </w:t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tbl>
    <w:p>
      <w:pPr>
        <w:spacing w:line="360" w:lineRule="auto"/>
        <w:rPr>
          <w:rFonts w:ascii="宋体"/>
          <w:color w:val="000000" w:themeColor="text1"/>
          <w:szCs w:val="21"/>
          <w:highlight w:val="none"/>
          <w14:textFill>
            <w14:solidFill>
              <w14:schemeClr w14:val="tx1"/>
            </w14:solidFill>
          </w14:textFill>
        </w:rPr>
      </w:pPr>
    </w:p>
    <w:p>
      <w:pPr>
        <w:spacing w:line="360" w:lineRule="auto"/>
        <w:ind w:firstLine="420" w:firstLineChars="200"/>
        <w:rPr>
          <w:color w:val="000000" w:themeColor="text1"/>
          <w:szCs w:val="21"/>
          <w:highlight w:val="none"/>
          <w:u w:val="single"/>
          <w14:textFill>
            <w14:solidFill>
              <w14:schemeClr w14:val="tx1"/>
            </w14:solidFill>
          </w14:textFill>
        </w:rPr>
      </w:pPr>
      <w:bookmarkStart w:id="64" w:name="OLE_LINK1"/>
      <w:r>
        <w:rPr>
          <w:color w:val="000000" w:themeColor="text1"/>
          <w:szCs w:val="21"/>
          <w:highlight w:val="none"/>
          <w14:textFill>
            <w14:solidFill>
              <w14:schemeClr w14:val="tx1"/>
            </w14:solidFill>
          </w14:textFill>
        </w:rPr>
        <w:t>委托人名称（公章）：                     受托人（</w:t>
      </w:r>
      <w:r>
        <w:rPr>
          <w:rFonts w:hint="eastAsia"/>
          <w:color w:val="000000" w:themeColor="text1"/>
          <w:szCs w:val="21"/>
          <w:highlight w:val="none"/>
          <w14:textFill>
            <w14:solidFill>
              <w14:schemeClr w14:val="tx1"/>
            </w14:solidFill>
          </w14:textFill>
        </w:rPr>
        <w:t>签名或盖章</w:t>
      </w:r>
      <w:r>
        <w:rPr>
          <w:color w:val="000000" w:themeColor="text1"/>
          <w:szCs w:val="21"/>
          <w:highlight w:val="none"/>
          <w14:textFill>
            <w14:solidFill>
              <w14:schemeClr w14:val="tx1"/>
            </w14:solidFill>
          </w14:textFill>
        </w:rPr>
        <w:t>）：</w:t>
      </w:r>
    </w:p>
    <w:p>
      <w:pPr>
        <w:spacing w:line="360" w:lineRule="auto"/>
        <w:ind w:firstLine="420" w:firstLineChars="200"/>
        <w:rPr>
          <w:color w:val="000000" w:themeColor="text1"/>
          <w:szCs w:val="21"/>
          <w:highlight w:val="none"/>
          <w:u w:val="single"/>
          <w14:textFill>
            <w14:solidFill>
              <w14:schemeClr w14:val="tx1"/>
            </w14:solidFill>
          </w14:textFill>
        </w:rPr>
      </w:pPr>
      <w:r>
        <w:rPr>
          <w:color w:val="000000" w:themeColor="text1"/>
          <w:szCs w:val="21"/>
          <w:highlight w:val="none"/>
          <w14:textFill>
            <w14:solidFill>
              <w14:schemeClr w14:val="tx1"/>
            </w14:solidFill>
          </w14:textFill>
        </w:rPr>
        <w:t>委托人注册地/营业地：                   住所：</w:t>
      </w:r>
    </w:p>
    <w:p>
      <w:pPr>
        <w:spacing w:line="360" w:lineRule="auto"/>
        <w:ind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委托人法定代表人（签名或盖章）：        身份证号码：</w:t>
      </w:r>
    </w:p>
    <w:p>
      <w:pPr>
        <w:spacing w:line="360" w:lineRule="auto"/>
        <w:ind w:firstLine="420" w:firstLineChars="200"/>
        <w:rPr>
          <w:color w:val="000000" w:themeColor="text1"/>
          <w:szCs w:val="21"/>
          <w:highlight w:val="none"/>
          <w:u w:val="single"/>
          <w14:textFill>
            <w14:solidFill>
              <w14:schemeClr w14:val="tx1"/>
            </w14:solidFill>
          </w14:textFill>
        </w:rPr>
      </w:pPr>
      <w:r>
        <w:rPr>
          <w:color w:val="000000" w:themeColor="text1"/>
          <w:szCs w:val="21"/>
          <w:highlight w:val="none"/>
          <w14:textFill>
            <w14:solidFill>
              <w14:schemeClr w14:val="tx1"/>
            </w14:solidFill>
          </w14:textFill>
        </w:rPr>
        <w:t>邮政编码：                              邮政编码：</w:t>
      </w:r>
    </w:p>
    <w:p>
      <w:pPr>
        <w:spacing w:line="360" w:lineRule="auto"/>
        <w:ind w:firstLine="420" w:firstLineChars="200"/>
        <w:rPr>
          <w:color w:val="000000" w:themeColor="text1"/>
          <w:szCs w:val="21"/>
          <w:highlight w:val="none"/>
          <w:u w:val="single"/>
          <w14:textFill>
            <w14:solidFill>
              <w14:schemeClr w14:val="tx1"/>
            </w14:solidFill>
          </w14:textFill>
        </w:rPr>
      </w:pPr>
      <w:r>
        <w:rPr>
          <w:color w:val="000000" w:themeColor="text1"/>
          <w:szCs w:val="21"/>
          <w:highlight w:val="none"/>
          <w14:textFill>
            <w14:solidFill>
              <w14:schemeClr w14:val="tx1"/>
            </w14:solidFill>
          </w14:textFill>
        </w:rPr>
        <w:t>电话：                                  电话：</w:t>
      </w:r>
    </w:p>
    <w:p>
      <w:pPr>
        <w:spacing w:line="360" w:lineRule="auto"/>
        <w:ind w:firstLine="420" w:firstLineChars="200"/>
        <w:rPr>
          <w:color w:val="000000" w:themeColor="text1"/>
          <w:szCs w:val="21"/>
          <w:highlight w:val="none"/>
          <w:u w:val="single"/>
          <w14:textFill>
            <w14:solidFill>
              <w14:schemeClr w14:val="tx1"/>
            </w14:solidFill>
          </w14:textFill>
        </w:rPr>
      </w:pPr>
      <w:r>
        <w:rPr>
          <w:color w:val="000000" w:themeColor="text1"/>
          <w:szCs w:val="21"/>
          <w:highlight w:val="none"/>
          <w14:textFill>
            <w14:solidFill>
              <w14:schemeClr w14:val="tx1"/>
            </w14:solidFill>
          </w14:textFill>
        </w:rPr>
        <w:t>传真：                                  传真：</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日期：                                  日期：</w:t>
      </w:r>
      <w:bookmarkEnd w:id="64"/>
    </w:p>
    <w:p>
      <w:pPr>
        <w:snapToGrid w:val="0"/>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br w:type="page"/>
      </w:r>
      <w:r>
        <w:rPr>
          <w:rFonts w:hint="eastAsia" w:ascii="宋体" w:hAnsi="宋体"/>
          <w:b/>
          <w:color w:val="000000" w:themeColor="text1"/>
          <w:szCs w:val="21"/>
          <w:highlight w:val="none"/>
          <w14:textFill>
            <w14:solidFill>
              <w14:schemeClr w14:val="tx1"/>
            </w14:solidFill>
          </w14:textFill>
        </w:rPr>
        <w:t>3、同类或类似项目业绩：投标人近年承接的与本项目类似项目一览表格式</w:t>
      </w:r>
    </w:p>
    <w:p>
      <w:pPr>
        <w:pStyle w:val="4"/>
        <w:spacing w:line="360" w:lineRule="auto"/>
        <w:rPr>
          <w:rFonts w:ascii="宋体" w:hAnsi="宋体"/>
          <w:color w:val="000000" w:themeColor="text1"/>
          <w:szCs w:val="21"/>
          <w:highlight w:val="none"/>
          <w14:textFill>
            <w14:solidFill>
              <w14:schemeClr w14:val="tx1"/>
            </w14:solidFill>
          </w14:textFill>
        </w:rPr>
      </w:pP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720"/>
        <w:gridCol w:w="1139"/>
        <w:gridCol w:w="1139"/>
        <w:gridCol w:w="1139"/>
        <w:gridCol w:w="1230"/>
        <w:gridCol w:w="9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1" w:type="dxa"/>
            <w:vMerge w:val="restart"/>
            <w:tcBorders>
              <w:top w:val="single" w:color="auto" w:sz="4" w:space="0"/>
              <w:left w:val="single" w:color="auto" w:sz="4" w:space="0"/>
              <w:bottom w:val="single" w:color="auto" w:sz="4" w:space="0"/>
              <w:right w:val="single" w:color="auto" w:sz="4" w:space="0"/>
            </w:tcBorders>
            <w:vAlign w:val="center"/>
          </w:tcPr>
          <w:p>
            <w:pPr>
              <w:pStyle w:val="19"/>
              <w:spacing w:before="120" w:after="120"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序号</w:t>
            </w:r>
          </w:p>
        </w:tc>
        <w:tc>
          <w:tcPr>
            <w:tcW w:w="720" w:type="dxa"/>
            <w:vMerge w:val="restart"/>
            <w:tcBorders>
              <w:top w:val="single" w:color="auto" w:sz="4" w:space="0"/>
              <w:left w:val="single" w:color="auto" w:sz="4" w:space="0"/>
              <w:bottom w:val="single" w:color="auto" w:sz="4" w:space="0"/>
              <w:right w:val="single" w:color="000000" w:sz="4" w:space="0"/>
            </w:tcBorders>
            <w:vAlign w:val="center"/>
          </w:tcPr>
          <w:p>
            <w:pPr>
              <w:pStyle w:val="19"/>
              <w:spacing w:before="120" w:after="120"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年份</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pStyle w:val="19"/>
              <w:spacing w:before="120" w:after="120" w:line="360" w:lineRule="auto"/>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项目名称</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pStyle w:val="19"/>
              <w:spacing w:before="120" w:after="120" w:line="360" w:lineRule="auto"/>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采购内容</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pStyle w:val="19"/>
              <w:spacing w:before="120" w:after="120" w:line="360" w:lineRule="auto"/>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供货时间</w:t>
            </w:r>
          </w:p>
        </w:tc>
        <w:tc>
          <w:tcPr>
            <w:tcW w:w="3210" w:type="dxa"/>
            <w:gridSpan w:val="3"/>
            <w:tcBorders>
              <w:top w:val="single" w:color="auto" w:sz="4" w:space="0"/>
              <w:left w:val="single" w:color="auto" w:sz="4" w:space="0"/>
              <w:bottom w:val="single" w:color="auto" w:sz="4" w:space="0"/>
              <w:right w:val="single" w:color="auto" w:sz="4" w:space="0"/>
            </w:tcBorders>
          </w:tcPr>
          <w:p>
            <w:pPr>
              <w:pStyle w:val="19"/>
              <w:spacing w:before="120" w:after="120"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业主情况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themeColor="text1"/>
                <w:szCs w:val="21"/>
                <w:highlight w:val="none"/>
                <w14:textFill>
                  <w14:solidFill>
                    <w14:schemeClr w14:val="tx1"/>
                  </w14:solidFill>
                </w14:textFill>
              </w:rPr>
            </w:pPr>
          </w:p>
        </w:tc>
        <w:tc>
          <w:tcPr>
            <w:tcW w:w="720" w:type="dxa"/>
            <w:vMerge w:val="continue"/>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color w:val="000000" w:themeColor="text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themeColor="text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themeColor="text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themeColor="text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pStyle w:val="19"/>
              <w:spacing w:before="120" w:after="120"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单位名称</w:t>
            </w:r>
          </w:p>
        </w:tc>
        <w:tc>
          <w:tcPr>
            <w:tcW w:w="900" w:type="dxa"/>
            <w:tcBorders>
              <w:top w:val="single" w:color="auto" w:sz="4" w:space="0"/>
              <w:left w:val="single" w:color="auto" w:sz="4" w:space="0"/>
              <w:bottom w:val="single" w:color="auto" w:sz="4" w:space="0"/>
              <w:right w:val="single" w:color="auto" w:sz="4" w:space="0"/>
            </w:tcBorders>
          </w:tcPr>
          <w:p>
            <w:pPr>
              <w:pStyle w:val="19"/>
              <w:spacing w:before="120" w:after="120"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经办人</w:t>
            </w:r>
          </w:p>
        </w:tc>
        <w:tc>
          <w:tcPr>
            <w:tcW w:w="1080" w:type="dxa"/>
            <w:tcBorders>
              <w:top w:val="single" w:color="auto" w:sz="4" w:space="0"/>
              <w:left w:val="single" w:color="auto" w:sz="4" w:space="0"/>
              <w:bottom w:val="single" w:color="auto" w:sz="4" w:space="0"/>
              <w:right w:val="single" w:color="auto" w:sz="4" w:space="0"/>
            </w:tcBorders>
            <w:vAlign w:val="center"/>
          </w:tcPr>
          <w:p>
            <w:pPr>
              <w:pStyle w:val="19"/>
              <w:spacing w:before="120" w:after="120"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w:t>
            </w:r>
          </w:p>
        </w:tc>
        <w:tc>
          <w:tcPr>
            <w:tcW w:w="720" w:type="dxa"/>
            <w:tcBorders>
              <w:top w:val="single" w:color="auto" w:sz="4" w:space="0"/>
              <w:left w:val="single" w:color="auto" w:sz="4" w:space="0"/>
              <w:bottom w:val="single" w:color="auto" w:sz="4" w:space="0"/>
              <w:right w:val="single" w:color="000000"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left"/>
              <w:rPr>
                <w:rFonts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w:t>
            </w:r>
          </w:p>
        </w:tc>
        <w:tc>
          <w:tcPr>
            <w:tcW w:w="720" w:type="dxa"/>
            <w:tcBorders>
              <w:top w:val="single" w:color="auto" w:sz="4" w:space="0"/>
              <w:left w:val="single" w:color="auto" w:sz="4" w:space="0"/>
              <w:bottom w:val="single" w:color="auto" w:sz="4" w:space="0"/>
              <w:right w:val="single" w:color="000000"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left"/>
              <w:rPr>
                <w:rFonts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3</w:t>
            </w:r>
          </w:p>
        </w:tc>
        <w:tc>
          <w:tcPr>
            <w:tcW w:w="720" w:type="dxa"/>
            <w:tcBorders>
              <w:top w:val="single" w:color="auto" w:sz="4" w:space="0"/>
              <w:left w:val="single" w:color="auto" w:sz="4" w:space="0"/>
              <w:bottom w:val="single" w:color="auto" w:sz="4" w:space="0"/>
              <w:right w:val="single" w:color="000000"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left"/>
              <w:rPr>
                <w:rFonts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4</w:t>
            </w:r>
          </w:p>
        </w:tc>
        <w:tc>
          <w:tcPr>
            <w:tcW w:w="720" w:type="dxa"/>
            <w:tcBorders>
              <w:top w:val="single" w:color="auto" w:sz="4" w:space="0"/>
              <w:left w:val="single" w:color="auto" w:sz="4" w:space="0"/>
              <w:bottom w:val="single" w:color="auto" w:sz="4" w:space="0"/>
              <w:right w:val="single" w:color="000000" w:sz="4" w:space="0"/>
            </w:tcBorders>
            <w:vAlign w:val="center"/>
          </w:tcPr>
          <w:p>
            <w:pPr>
              <w:pStyle w:val="19"/>
              <w:spacing w:line="360" w:lineRule="auto"/>
              <w:jc w:val="center"/>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pStyle w:val="19"/>
              <w:spacing w:line="360" w:lineRule="auto"/>
              <w:jc w:val="left"/>
              <w:rPr>
                <w:rFonts w:hAnsi="宋体"/>
                <w:color w:val="000000" w:themeColor="text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left"/>
              <w:rPr>
                <w:rFonts w:hAnsi="宋体"/>
                <w:color w:val="000000" w:themeColor="text1"/>
                <w:szCs w:val="21"/>
                <w:highlight w:val="none"/>
                <w14:textFill>
                  <w14:solidFill>
                    <w14:schemeClr w14:val="tx1"/>
                  </w14:solidFill>
                </w14:textFill>
              </w:rPr>
            </w:pPr>
          </w:p>
        </w:tc>
      </w:tr>
    </w:tbl>
    <w:p>
      <w:pPr>
        <w:spacing w:line="360" w:lineRule="auto"/>
        <w:ind w:right="4164" w:rightChars="1983"/>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附：类似项目的委托合同复印件，复印合同首页和有合同双方盖章的尾页即可。</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column">
                  <wp:posOffset>1520825</wp:posOffset>
                </wp:positionH>
                <wp:positionV relativeFrom="paragraph">
                  <wp:posOffset>180340</wp:posOffset>
                </wp:positionV>
                <wp:extent cx="1908175" cy="0"/>
                <wp:effectExtent l="13970" t="7620" r="11430" b="11430"/>
                <wp:wrapNone/>
                <wp:docPr id="25" name="直线 24"/>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ln>
                      </wps:spPr>
                      <wps:bodyPr/>
                    </wps:wsp>
                  </a:graphicData>
                </a:graphic>
              </wp:anchor>
            </w:drawing>
          </mc:Choice>
          <mc:Fallback>
            <w:pict>
              <v:line id="直线 24" o:spid="_x0000_s1026" o:spt="20" style="position:absolute;left:0pt;margin-left:119.75pt;margin-top:14.2pt;height:0pt;width:150.25pt;z-index:251659264;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tVMTC9YAAAAJAQAADwAAAAAAAAABACAA&#10;AAAiAAAAZHJzL2Rvd25yZXYueG1sUEsBAhQAFAAAAAgAh07iQHnZ+xfWAQAAowMAAA4AAAAAAAAA&#10;AQAgAAAAJQEAAGRycy9lMm9Eb2MueG1sUEsFBgAAAAAGAAYAWQEAAG0FA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投标人授权代表签字：</w:t>
      </w:r>
    </w:p>
    <w:p>
      <w:pPr>
        <w:spacing w:line="360" w:lineRule="auto"/>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column">
                  <wp:posOffset>1141095</wp:posOffset>
                </wp:positionH>
                <wp:positionV relativeFrom="paragraph">
                  <wp:posOffset>180340</wp:posOffset>
                </wp:positionV>
                <wp:extent cx="2307590" cy="0"/>
                <wp:effectExtent l="5715" t="10160" r="10795" b="8890"/>
                <wp:wrapNone/>
                <wp:docPr id="24" name="直线 25"/>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ln>
                      </wps:spPr>
                      <wps:bodyPr/>
                    </wps:wsp>
                  </a:graphicData>
                </a:graphic>
              </wp:anchor>
            </w:drawing>
          </mc:Choice>
          <mc:Fallback>
            <w:pict>
              <v:line id="直线 25" o:spid="_x0000_s1026" o:spt="20" style="position:absolute;left:0pt;margin-left:89.85pt;margin-top:14.2pt;height:0pt;width:181.7pt;z-index:251660288;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1Ss2s1gAAAAkBAAAPAAAAAAAAAAEAIAAA&#10;ACIAAABkcnMvZG93bnJldi54bWxQSwECFAAUAAAACACHTuJAmkQKRtUBAACjAwAADgAAAAAAAAAB&#10;ACAAAAAlAQAAZHJzL2Uyb0RvYy54bWxQSwUGAAAAAAYABgBZAQAAbAUAAAAA&#10;">
                <v:fill on="f" focussize="0,0"/>
                <v:stroke color="#000000" joinstyle="round"/>
                <v:imagedata o:title=""/>
                <o:lock v:ext="edit" aspectratio="f"/>
              </v:line>
            </w:pict>
          </mc:Fallback>
        </mc:AlternateContent>
      </w:r>
      <w:r>
        <w:rPr>
          <w:rFonts w:hint="eastAsia" w:ascii="宋体" w:hAnsi="宋体"/>
          <w:color w:val="000000" w:themeColor="text1"/>
          <w:szCs w:val="21"/>
          <w:highlight w:val="none"/>
          <w14:textFill>
            <w14:solidFill>
              <w14:schemeClr w14:val="tx1"/>
            </w14:solidFill>
          </w14:textFill>
        </w:rPr>
        <w:t>投标人（公章）：</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pStyle w:val="26"/>
        <w:spacing w:line="360" w:lineRule="auto"/>
        <w:ind w:left="422" w:hanging="422"/>
        <w:jc w:val="center"/>
        <w:rPr>
          <w:rFonts w:ascii="宋体" w:hAnsi="宋体"/>
          <w:b/>
          <w:color w:val="000000" w:themeColor="text1"/>
          <w:szCs w:val="21"/>
          <w:highlight w:val="none"/>
          <w14:textFill>
            <w14:solidFill>
              <w14:schemeClr w14:val="tx1"/>
            </w14:solidFill>
          </w14:textFill>
        </w:rPr>
      </w:pPr>
    </w:p>
    <w:p>
      <w:pPr>
        <w:snapToGrid w:val="0"/>
        <w:spacing w:line="360" w:lineRule="auto"/>
        <w:jc w:val="center"/>
        <w:rPr>
          <w:rFonts w:ascii="宋体" w:hAnsi="宋体" w:cs="Arial"/>
          <w:b/>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u w:val="single"/>
          <w14:textFill>
            <w14:solidFill>
              <w14:schemeClr w14:val="tx1"/>
            </w14:solidFill>
          </w14:textFill>
        </w:rPr>
        <w:br w:type="page"/>
      </w:r>
      <w:r>
        <w:rPr>
          <w:rFonts w:hint="eastAsia" w:ascii="宋体" w:hAnsi="宋体"/>
          <w:b/>
          <w:color w:val="000000" w:themeColor="text1"/>
          <w:kern w:val="0"/>
          <w:szCs w:val="21"/>
          <w:highlight w:val="none"/>
          <w14:textFill>
            <w14:solidFill>
              <w14:schemeClr w14:val="tx1"/>
            </w14:solidFill>
          </w14:textFill>
        </w:rPr>
        <w:t>4</w:t>
      </w:r>
      <w:r>
        <w:rPr>
          <w:rFonts w:hint="eastAsia" w:ascii="宋体" w:hAnsi="宋体"/>
          <w:b/>
          <w:color w:val="000000" w:themeColor="text1"/>
          <w:szCs w:val="21"/>
          <w:highlight w:val="none"/>
          <w14:textFill>
            <w14:solidFill>
              <w14:schemeClr w14:val="tx1"/>
            </w14:solidFill>
          </w14:textFill>
        </w:rPr>
        <w:t>、</w:t>
      </w:r>
      <w:r>
        <w:rPr>
          <w:rFonts w:hint="eastAsia" w:ascii="宋体" w:hAnsi="宋体" w:cs="Arial"/>
          <w:b/>
          <w:color w:val="000000" w:themeColor="text1"/>
          <w:kern w:val="0"/>
          <w:szCs w:val="21"/>
          <w:highlight w:val="none"/>
          <w14:textFill>
            <w14:solidFill>
              <w14:schemeClr w14:val="tx1"/>
            </w14:solidFill>
          </w14:textFill>
        </w:rPr>
        <w:t>中小企业声明函</w:t>
      </w:r>
    </w:p>
    <w:p>
      <w:pPr>
        <w:widowControl/>
        <w:spacing w:before="100" w:beforeAutospacing="1" w:after="100" w:afterAutospacing="1" w:line="360" w:lineRule="auto"/>
        <w:ind w:firstLine="42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本公司郑重声明，根据《政府采购促进中小企业发展暂行办法》（财库[2011]181号）的规定，本公司为______（请填写：中型、小型、微型）企业。即，本公司同时满足以下条件：</w:t>
      </w:r>
    </w:p>
    <w:p>
      <w:pPr>
        <w:widowControl/>
        <w:spacing w:before="100" w:beforeAutospacing="1" w:after="100" w:afterAutospacing="1" w:line="360" w:lineRule="auto"/>
        <w:ind w:firstLine="42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　　1.根据《工业和信息化部、国家统计局、国家发展和改革委员会、财政部关于印发中小企业划型标准规定的通知》（工信部联企业[2011]300号）规定的划分标准，本公司为______（请填写：中型、小型、微型）企业。</w:t>
      </w:r>
    </w:p>
    <w:p>
      <w:pPr>
        <w:widowControl/>
        <w:spacing w:before="100" w:beforeAutospacing="1" w:after="100" w:afterAutospacing="1" w:line="360" w:lineRule="auto"/>
        <w:ind w:firstLine="42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　　2.本公司参加______单位的______项目采购活动，提供本企业制造的货物，由本企业承担工程、提供服务，或者提供其他______（请填写：中型、小型、微型）企业制造的货物。本条所称货物不包括使用大型企业注册商标的货物。</w:t>
      </w:r>
    </w:p>
    <w:p>
      <w:pPr>
        <w:widowControl/>
        <w:spacing w:before="100" w:beforeAutospacing="1" w:after="100" w:afterAutospacing="1" w:line="360" w:lineRule="auto"/>
        <w:ind w:firstLine="42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　　本公司对上述声明的真实性负责。如有虚假，将依法承担相应责任。</w:t>
      </w:r>
    </w:p>
    <w:p>
      <w:pPr>
        <w:widowControl/>
        <w:spacing w:before="100" w:beforeAutospacing="1" w:after="100" w:afterAutospacing="1" w:line="360" w:lineRule="auto"/>
        <w:ind w:left="3885" w:leftChars="185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企业名称（盖章）：　　　　　　　　　</w:t>
      </w:r>
    </w:p>
    <w:p>
      <w:pPr>
        <w:widowControl/>
        <w:spacing w:before="100" w:beforeAutospacing="1" w:after="100" w:afterAutospacing="1" w:line="360" w:lineRule="auto"/>
        <w:ind w:left="3885" w:leftChars="1850"/>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日　　　　　　期：</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p>
    <w:p>
      <w:pPr>
        <w:widowControl/>
        <w:spacing w:before="100" w:beforeAutospacing="1" w:after="100" w:afterAutospacing="1" w:line="360" w:lineRule="auto"/>
        <w:jc w:val="center"/>
        <w:rPr>
          <w:rFonts w:ascii="宋体" w:hAnsi="宋体"/>
          <w:b/>
          <w:color w:val="000000" w:themeColor="text1"/>
          <w:kern w:val="0"/>
          <w:szCs w:val="21"/>
          <w:highlight w:val="none"/>
          <w14:textFill>
            <w14:solidFill>
              <w14:schemeClr w14:val="tx1"/>
            </w14:solidFill>
          </w14:textFill>
        </w:rPr>
      </w:pPr>
      <w:r>
        <w:rPr>
          <w:rFonts w:ascii="宋体" w:hAnsi="宋体"/>
          <w:b/>
          <w:color w:val="000000" w:themeColor="text1"/>
          <w:kern w:val="0"/>
          <w:szCs w:val="21"/>
          <w:highlight w:val="none"/>
          <w14:textFill>
            <w14:solidFill>
              <w14:schemeClr w14:val="tx1"/>
            </w14:solidFill>
          </w14:textFill>
        </w:rPr>
        <w:br w:type="page"/>
      </w:r>
      <w:r>
        <w:rPr>
          <w:rFonts w:hint="eastAsia" w:ascii="宋体" w:hAnsi="宋体"/>
          <w:b/>
          <w:color w:val="000000" w:themeColor="text1"/>
          <w:kern w:val="0"/>
          <w:szCs w:val="21"/>
          <w:highlight w:val="none"/>
          <w14:textFill>
            <w14:solidFill>
              <w14:schemeClr w14:val="tx1"/>
            </w14:solidFill>
          </w14:textFill>
        </w:rPr>
        <w:t>5、营业执照、基本账户开户许可证（或基本账户网上备案截图）</w:t>
      </w:r>
    </w:p>
    <w:p>
      <w:pPr>
        <w:widowControl/>
        <w:spacing w:before="100" w:beforeAutospacing="1" w:after="100" w:afterAutospacing="1" w:line="360" w:lineRule="auto"/>
        <w:jc w:val="center"/>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（复印件加盖公章）</w:t>
      </w: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spacing w:before="100" w:beforeAutospacing="1" w:after="100" w:afterAutospacing="1" w:line="360" w:lineRule="auto"/>
        <w:jc w:val="center"/>
        <w:rPr>
          <w:rFonts w:ascii="宋体" w:hAnsi="宋体"/>
          <w:b/>
          <w:color w:val="000000" w:themeColor="text1"/>
          <w:kern w:val="0"/>
          <w:szCs w:val="21"/>
          <w:highlight w:val="none"/>
          <w14:textFill>
            <w14:solidFill>
              <w14:schemeClr w14:val="tx1"/>
            </w14:solidFill>
          </w14:textFill>
        </w:rPr>
      </w:pPr>
      <w:r>
        <w:rPr>
          <w:rFonts w:hint="eastAsia" w:ascii="宋体" w:hAnsi="宋体"/>
          <w:b/>
          <w:color w:val="000000" w:themeColor="text1"/>
          <w:kern w:val="0"/>
          <w:szCs w:val="21"/>
          <w:highlight w:val="none"/>
          <w14:textFill>
            <w14:solidFill>
              <w14:schemeClr w14:val="tx1"/>
            </w14:solidFill>
          </w14:textFill>
        </w:rPr>
        <w:t>6、保证金递交凭证</w:t>
      </w:r>
    </w:p>
    <w:p>
      <w:pPr>
        <w:widowControl/>
        <w:spacing w:before="100" w:beforeAutospacing="1" w:after="100" w:afterAutospacing="1" w:line="360" w:lineRule="auto"/>
        <w:jc w:val="center"/>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（保证金须从基本账户汇出，提供递交凭证复印件加盖公章，如：汇款凭证、银行汇票等）</w:t>
      </w:r>
    </w:p>
    <w:p>
      <w:pPr>
        <w:widowControl/>
        <w:spacing w:before="100" w:beforeAutospacing="1" w:after="100" w:afterAutospacing="1" w:line="360" w:lineRule="auto"/>
        <w:jc w:val="center"/>
        <w:rPr>
          <w:rFonts w:ascii="宋体" w:hAnsi="宋体"/>
          <w:b/>
          <w:color w:val="000000" w:themeColor="text1"/>
          <w:kern w:val="0"/>
          <w:szCs w:val="21"/>
          <w:highlight w:val="none"/>
          <w14:textFill>
            <w14:solidFill>
              <w14:schemeClr w14:val="tx1"/>
            </w14:solidFill>
          </w14:textFill>
        </w:rPr>
      </w:pPr>
      <w:r>
        <w:rPr>
          <w:rFonts w:ascii="宋体" w:hAnsi="宋体"/>
          <w:b/>
          <w:color w:val="000000" w:themeColor="text1"/>
          <w:kern w:val="0"/>
          <w:szCs w:val="21"/>
          <w:highlight w:val="none"/>
          <w14:textFill>
            <w14:solidFill>
              <w14:schemeClr w14:val="tx1"/>
            </w14:solidFill>
          </w14:textFill>
        </w:rPr>
        <w:br w:type="page"/>
      </w:r>
      <w:r>
        <w:rPr>
          <w:rFonts w:hint="eastAsia" w:ascii="宋体" w:hAnsi="宋体"/>
          <w:b/>
          <w:color w:val="000000" w:themeColor="text1"/>
          <w:kern w:val="0"/>
          <w:szCs w:val="21"/>
          <w:highlight w:val="none"/>
          <w14:textFill>
            <w14:solidFill>
              <w14:schemeClr w14:val="tx1"/>
            </w14:solidFill>
          </w14:textFill>
        </w:rPr>
        <w:t>7、财务状况报告，依法缴纳税收和社会保障资金的相关材料</w:t>
      </w:r>
    </w:p>
    <w:p>
      <w:pPr>
        <w:widowControl/>
        <w:spacing w:before="100" w:beforeAutospacing="1" w:after="100" w:afterAutospacing="1" w:line="360" w:lineRule="auto"/>
        <w:jc w:val="center"/>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（复印件加盖公章）</w:t>
      </w:r>
    </w:p>
    <w:p>
      <w:pPr>
        <w:widowControl/>
        <w:jc w:val="left"/>
        <w:rPr>
          <w:rFonts w:ascii="宋体" w:hAnsi="宋体"/>
          <w:b/>
          <w:color w:val="000000" w:themeColor="text1"/>
          <w:kern w:val="0"/>
          <w:szCs w:val="21"/>
          <w:highlight w:val="none"/>
          <w14:textFill>
            <w14:solidFill>
              <w14:schemeClr w14:val="tx1"/>
            </w14:solidFill>
          </w14:textFill>
        </w:rPr>
      </w:pPr>
    </w:p>
    <w:p>
      <w:pPr>
        <w:widowControl/>
        <w:spacing w:before="100" w:beforeAutospacing="1" w:after="100" w:afterAutospacing="1" w:line="360" w:lineRule="auto"/>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（1）财务报告：</w:t>
      </w: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spacing w:before="100" w:beforeAutospacing="1" w:after="100" w:afterAutospacing="1" w:line="360" w:lineRule="auto"/>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（2）缴纳税收证明：</w:t>
      </w: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spacing w:before="100" w:beforeAutospacing="1" w:after="100" w:afterAutospacing="1" w:line="360" w:lineRule="auto"/>
        <w:jc w:val="left"/>
        <w:rPr>
          <w:rFonts w:ascii="宋体" w:hAnsi="宋体" w:cs="Arial"/>
          <w:color w:val="000000" w:themeColor="text1"/>
          <w:kern w:val="0"/>
          <w:szCs w:val="21"/>
          <w:highlight w:val="none"/>
          <w14:textFill>
            <w14:solidFill>
              <w14:schemeClr w14:val="tx1"/>
            </w14:solidFill>
          </w14:textFill>
        </w:rPr>
      </w:pPr>
      <w:r>
        <w:rPr>
          <w:rFonts w:hint="eastAsia" w:ascii="宋体" w:hAnsi="宋体" w:cs="Arial"/>
          <w:color w:val="000000" w:themeColor="text1"/>
          <w:kern w:val="0"/>
          <w:szCs w:val="21"/>
          <w:highlight w:val="none"/>
          <w14:textFill>
            <w14:solidFill>
              <w14:schemeClr w14:val="tx1"/>
            </w14:solidFill>
          </w14:textFill>
        </w:rPr>
        <w:t>（3）缴纳社保资金证明：</w:t>
      </w: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kern w:val="0"/>
          <w:szCs w:val="21"/>
          <w:highlight w:val="none"/>
          <w14:textFill>
            <w14:solidFill>
              <w14:schemeClr w14:val="tx1"/>
            </w14:solidFill>
          </w14:textFill>
        </w:rPr>
      </w:pPr>
    </w:p>
    <w:p>
      <w:pPr>
        <w:widowControl/>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kern w:val="0"/>
          <w:szCs w:val="21"/>
          <w:highlight w:val="none"/>
          <w14:textFill>
            <w14:solidFill>
              <w14:schemeClr w14:val="tx1"/>
            </w14:solidFill>
          </w14:textFill>
        </w:rPr>
        <w:br w:type="page"/>
      </w:r>
    </w:p>
    <w:p>
      <w:pPr>
        <w:jc w:val="center"/>
        <w:rPr>
          <w:b/>
          <w:color w:val="000000" w:themeColor="text1"/>
          <w:szCs w:val="21"/>
          <w:highlight w:val="none"/>
          <w14:textFill>
            <w14:solidFill>
              <w14:schemeClr w14:val="tx1"/>
            </w14:solidFill>
          </w14:textFill>
        </w:rPr>
      </w:pPr>
      <w:r>
        <w:rPr>
          <w:rFonts w:hint="eastAsia" w:ascii="宋体"/>
          <w:b/>
          <w:color w:val="000000" w:themeColor="text1"/>
          <w:szCs w:val="21"/>
          <w:highlight w:val="none"/>
          <w14:textFill>
            <w14:solidFill>
              <w14:schemeClr w14:val="tx1"/>
            </w14:solidFill>
          </w14:textFill>
        </w:rPr>
        <w:t xml:space="preserve">第七章    </w:t>
      </w:r>
      <w:r>
        <w:rPr>
          <w:rFonts w:hint="eastAsia"/>
          <w:b/>
          <w:color w:val="000000" w:themeColor="text1"/>
          <w:szCs w:val="21"/>
          <w:highlight w:val="none"/>
          <w14:textFill>
            <w14:solidFill>
              <w14:schemeClr w14:val="tx1"/>
            </w14:solidFill>
          </w14:textFill>
        </w:rPr>
        <w:t>合同格式</w:t>
      </w:r>
    </w:p>
    <w:p>
      <w:pPr>
        <w:wordWrap w:val="0"/>
        <w:spacing w:line="280" w:lineRule="exact"/>
        <w:jc w:val="right"/>
        <w:rPr>
          <w:rFonts w:ascii="黑体" w:hAnsi="华文中宋" w:eastAsia="黑体"/>
          <w:color w:val="000000" w:themeColor="text1"/>
          <w:sz w:val="22"/>
          <w:szCs w:val="22"/>
          <w:highlight w:val="none"/>
          <w14:textFill>
            <w14:solidFill>
              <w14:schemeClr w14:val="tx1"/>
            </w14:solidFill>
          </w14:textFill>
        </w:rPr>
      </w:pPr>
    </w:p>
    <w:p>
      <w:pPr>
        <w:wordWrap w:val="0"/>
        <w:spacing w:line="280" w:lineRule="exact"/>
        <w:jc w:val="right"/>
        <w:rPr>
          <w:rFonts w:ascii="黑体" w:hAnsi="华文中宋" w:eastAsia="黑体"/>
          <w:color w:val="000000" w:themeColor="text1"/>
          <w:sz w:val="22"/>
          <w:szCs w:val="22"/>
          <w:highlight w:val="none"/>
          <w14:textFill>
            <w14:solidFill>
              <w14:schemeClr w14:val="tx1"/>
            </w14:solidFill>
          </w14:textFill>
        </w:rPr>
      </w:pPr>
      <w:r>
        <w:rPr>
          <w:rFonts w:hint="eastAsia" w:ascii="黑体" w:hAnsi="华文中宋" w:eastAsia="黑体"/>
          <w:color w:val="000000" w:themeColor="text1"/>
          <w:sz w:val="22"/>
          <w:szCs w:val="22"/>
          <w:highlight w:val="none"/>
          <w14:textFill>
            <w14:solidFill>
              <w14:schemeClr w14:val="tx1"/>
            </w14:solidFill>
          </w14:textFill>
        </w:rPr>
        <w:t>合同编号：复法合资字[2020]  号</w:t>
      </w:r>
    </w:p>
    <w:p>
      <w:pPr>
        <w:spacing w:line="360" w:lineRule="auto"/>
        <w:ind w:right="403"/>
        <w:rPr>
          <w:rFonts w:ascii="宋体" w:hAnsi="宋体"/>
          <w:color w:val="000000" w:themeColor="text1"/>
          <w:szCs w:val="21"/>
          <w:highlight w:val="none"/>
          <w14:textFill>
            <w14:solidFill>
              <w14:schemeClr w14:val="tx1"/>
            </w14:solidFill>
          </w14:textFill>
        </w:rPr>
      </w:pPr>
    </w:p>
    <w:p>
      <w:pPr>
        <w:spacing w:line="360" w:lineRule="auto"/>
        <w:ind w:right="403"/>
        <w:rPr>
          <w:rFonts w:ascii="宋体" w:hAnsi="宋体"/>
          <w:color w:val="000000" w:themeColor="text1"/>
          <w:szCs w:val="21"/>
          <w:highlight w:val="none"/>
          <w14:textFill>
            <w14:solidFill>
              <w14:schemeClr w14:val="tx1"/>
            </w14:solidFill>
          </w14:textFill>
        </w:rPr>
      </w:pPr>
    </w:p>
    <w:p>
      <w:pPr>
        <w:spacing w:line="360" w:lineRule="auto"/>
        <w:ind w:right="403"/>
        <w:rPr>
          <w:rFonts w:ascii="宋体" w:hAnsi="宋体"/>
          <w:color w:val="000000" w:themeColor="text1"/>
          <w:szCs w:val="21"/>
          <w:highlight w:val="none"/>
          <w14:textFill>
            <w14:solidFill>
              <w14:schemeClr w14:val="tx1"/>
            </w14:solidFill>
          </w14:textFill>
        </w:rPr>
      </w:pPr>
    </w:p>
    <w:p>
      <w:pPr>
        <w:spacing w:line="360" w:lineRule="auto"/>
        <w:ind w:right="403"/>
        <w:rPr>
          <w:rFonts w:ascii="宋体" w:hAnsi="宋体"/>
          <w:color w:val="000000" w:themeColor="text1"/>
          <w:szCs w:val="21"/>
          <w:highlight w:val="none"/>
          <w14:textFill>
            <w14:solidFill>
              <w14:schemeClr w14:val="tx1"/>
            </w14:solidFill>
          </w14:textFill>
        </w:rPr>
      </w:pPr>
    </w:p>
    <w:p>
      <w:pPr>
        <w:spacing w:line="360" w:lineRule="auto"/>
        <w:ind w:right="403"/>
        <w:rPr>
          <w:rFonts w:ascii="宋体" w:hAnsi="宋体"/>
          <w:color w:val="000000" w:themeColor="text1"/>
          <w:szCs w:val="21"/>
          <w:highlight w:val="none"/>
          <w14:textFill>
            <w14:solidFill>
              <w14:schemeClr w14:val="tx1"/>
            </w14:solidFill>
          </w14:textFill>
        </w:rPr>
      </w:pPr>
    </w:p>
    <w:p>
      <w:pPr>
        <w:spacing w:line="360" w:lineRule="auto"/>
        <w:jc w:val="center"/>
        <w:rPr>
          <w:rFonts w:ascii="华文中宋" w:hAnsi="华文中宋" w:eastAsia="华文中宋"/>
          <w:color w:val="000000" w:themeColor="text1"/>
          <w:spacing w:val="40"/>
          <w:sz w:val="84"/>
          <w:szCs w:val="84"/>
          <w:highlight w:val="none"/>
          <w14:textFill>
            <w14:solidFill>
              <w14:schemeClr w14:val="tx1"/>
            </w14:solidFill>
          </w14:textFill>
        </w:rPr>
      </w:pPr>
      <w:r>
        <w:rPr>
          <w:rFonts w:hint="eastAsia" w:ascii="华文中宋" w:hAnsi="华文中宋" w:eastAsia="华文中宋"/>
          <w:color w:val="000000" w:themeColor="text1"/>
          <w:spacing w:val="40"/>
          <w:sz w:val="84"/>
          <w:szCs w:val="84"/>
          <w:highlight w:val="none"/>
          <w14:textFill>
            <w14:solidFill>
              <w14:schemeClr w14:val="tx1"/>
            </w14:solidFill>
          </w14:textFill>
        </w:rPr>
        <w:t>买卖合同</w:t>
      </w:r>
    </w:p>
    <w:p>
      <w:pPr>
        <w:spacing w:line="200" w:lineRule="exact"/>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ind w:firstLine="1962" w:firstLineChars="700"/>
        <w:rPr>
          <w:rFonts w:ascii="华文中宋" w:hAnsi="华文中宋" w:eastAsia="华文中宋"/>
          <w:b/>
          <w:color w:val="000000" w:themeColor="text1"/>
          <w:sz w:val="28"/>
          <w:szCs w:val="28"/>
          <w:highlight w:val="none"/>
          <w14:textFill>
            <w14:solidFill>
              <w14:schemeClr w14:val="tx1"/>
            </w14:solidFill>
          </w14:textFill>
        </w:rPr>
      </w:pPr>
      <w:r>
        <w:rPr>
          <w:rFonts w:hint="eastAsia" w:ascii="华文中宋" w:hAnsi="华文中宋" w:eastAsia="华文中宋"/>
          <w:b/>
          <w:color w:val="000000" w:themeColor="text1"/>
          <w:sz w:val="28"/>
          <w:szCs w:val="28"/>
          <w:highlight w:val="none"/>
          <w14:textFill>
            <w14:solidFill>
              <w14:schemeClr w14:val="tx1"/>
            </w14:solidFill>
          </w14:textFill>
        </w:rPr>
        <w:t>甲方：</w:t>
      </w:r>
      <w:r>
        <w:rPr>
          <w:rFonts w:hint="eastAsia" w:ascii="华文中宋" w:hAnsi="华文中宋" w:eastAsia="华文中宋"/>
          <w:b/>
          <w:color w:val="000000" w:themeColor="text1"/>
          <w:spacing w:val="110"/>
          <w:sz w:val="28"/>
          <w:szCs w:val="28"/>
          <w:highlight w:val="none"/>
          <w14:textFill>
            <w14:solidFill>
              <w14:schemeClr w14:val="tx1"/>
            </w14:solidFill>
          </w14:textFill>
        </w:rPr>
        <w:t>复旦大学</w:t>
      </w:r>
    </w:p>
    <w:p>
      <w:pPr>
        <w:spacing w:line="360" w:lineRule="auto"/>
        <w:ind w:firstLine="1962" w:firstLineChars="700"/>
        <w:rPr>
          <w:rFonts w:ascii="华文中宋" w:hAnsi="华文中宋" w:eastAsia="华文中宋"/>
          <w:b/>
          <w:color w:val="000000" w:themeColor="text1"/>
          <w:sz w:val="28"/>
          <w:szCs w:val="28"/>
          <w:highlight w:val="none"/>
          <w14:textFill>
            <w14:solidFill>
              <w14:schemeClr w14:val="tx1"/>
            </w14:solidFill>
          </w14:textFill>
        </w:rPr>
      </w:pPr>
      <w:r>
        <w:rPr>
          <w:rFonts w:hint="eastAsia" w:ascii="华文中宋" w:hAnsi="华文中宋" w:eastAsia="华文中宋"/>
          <w:b/>
          <w:color w:val="000000" w:themeColor="text1"/>
          <w:sz w:val="28"/>
          <w:szCs w:val="28"/>
          <w:highlight w:val="none"/>
          <w14:textFill>
            <w14:solidFill>
              <w14:schemeClr w14:val="tx1"/>
            </w14:solidFill>
          </w14:textFill>
        </w:rPr>
        <w:t>住所：上海市邯郸路220号</w:t>
      </w:r>
    </w:p>
    <w:p>
      <w:pPr>
        <w:spacing w:line="360" w:lineRule="auto"/>
        <w:ind w:firstLine="1962" w:firstLineChars="700"/>
        <w:rPr>
          <w:rFonts w:ascii="华文中宋" w:hAnsi="华文中宋" w:eastAsia="华文中宋"/>
          <w:b/>
          <w:color w:val="000000" w:themeColor="text1"/>
          <w:sz w:val="28"/>
          <w:szCs w:val="28"/>
          <w:highlight w:val="none"/>
          <w14:textFill>
            <w14:solidFill>
              <w14:schemeClr w14:val="tx1"/>
            </w14:solidFill>
          </w14:textFill>
        </w:rPr>
      </w:pPr>
      <w:r>
        <w:rPr>
          <w:rFonts w:hint="eastAsia" w:ascii="华文中宋" w:hAnsi="华文中宋" w:eastAsia="华文中宋"/>
          <w:b/>
          <w:color w:val="000000" w:themeColor="text1"/>
          <w:sz w:val="28"/>
          <w:szCs w:val="28"/>
          <w:highlight w:val="none"/>
          <w14:textFill>
            <w14:solidFill>
              <w14:schemeClr w14:val="tx1"/>
            </w14:solidFill>
          </w14:textFill>
        </w:rPr>
        <w:t>法定代表人：</w:t>
      </w:r>
      <w:r>
        <w:rPr>
          <w:rFonts w:hint="eastAsia" w:ascii="华文中宋" w:hAnsi="华文中宋" w:eastAsia="华文中宋"/>
          <w:b/>
          <w:color w:val="000000" w:themeColor="text1"/>
          <w:spacing w:val="30"/>
          <w:sz w:val="28"/>
          <w:szCs w:val="28"/>
          <w:highlight w:val="none"/>
          <w14:textFill>
            <w14:solidFill>
              <w14:schemeClr w14:val="tx1"/>
            </w14:solidFill>
          </w14:textFill>
        </w:rPr>
        <w:t>许宁生</w:t>
      </w:r>
    </w:p>
    <w:p>
      <w:pPr>
        <w:spacing w:line="360" w:lineRule="auto"/>
        <w:rPr>
          <w:rFonts w:ascii="华文中宋" w:hAnsi="华文中宋" w:eastAsia="华文中宋"/>
          <w:color w:val="000000" w:themeColor="text1"/>
          <w:sz w:val="28"/>
          <w:szCs w:val="28"/>
          <w:highlight w:val="none"/>
          <w14:textFill>
            <w14:solidFill>
              <w14:schemeClr w14:val="tx1"/>
            </w14:solidFill>
          </w14:textFill>
        </w:rPr>
      </w:pPr>
    </w:p>
    <w:p>
      <w:pPr>
        <w:spacing w:line="360" w:lineRule="auto"/>
        <w:rPr>
          <w:rFonts w:ascii="华文中宋" w:hAnsi="华文中宋" w:eastAsia="华文中宋"/>
          <w:color w:val="000000" w:themeColor="text1"/>
          <w:sz w:val="28"/>
          <w:szCs w:val="28"/>
          <w:highlight w:val="none"/>
          <w14:textFill>
            <w14:solidFill>
              <w14:schemeClr w14:val="tx1"/>
            </w14:solidFill>
          </w14:textFill>
        </w:rPr>
      </w:pPr>
    </w:p>
    <w:p>
      <w:pPr>
        <w:spacing w:line="360" w:lineRule="auto"/>
        <w:ind w:firstLine="1962" w:firstLineChars="700"/>
        <w:rPr>
          <w:rFonts w:ascii="华文中宋" w:hAnsi="华文中宋" w:eastAsia="华文中宋"/>
          <w:b/>
          <w:color w:val="000000" w:themeColor="text1"/>
          <w:sz w:val="28"/>
          <w:szCs w:val="28"/>
          <w:highlight w:val="none"/>
          <w14:textFill>
            <w14:solidFill>
              <w14:schemeClr w14:val="tx1"/>
            </w14:solidFill>
          </w14:textFill>
        </w:rPr>
      </w:pPr>
      <w:r>
        <w:rPr>
          <w:rFonts w:hint="eastAsia" w:ascii="华文中宋" w:hAnsi="华文中宋" w:eastAsia="华文中宋"/>
          <w:b/>
          <w:color w:val="000000" w:themeColor="text1"/>
          <w:sz w:val="28"/>
          <w:szCs w:val="28"/>
          <w:highlight w:val="none"/>
          <w14:textFill>
            <w14:solidFill>
              <w14:schemeClr w14:val="tx1"/>
            </w14:solidFill>
          </w14:textFill>
        </w:rPr>
        <w:t>乙方：</w:t>
      </w:r>
      <w:r>
        <w:rPr>
          <w:rFonts w:ascii="华文中宋" w:hAnsi="华文中宋" w:eastAsia="华文中宋"/>
          <w:b/>
          <w:color w:val="000000" w:themeColor="text1"/>
          <w:sz w:val="28"/>
          <w:szCs w:val="28"/>
          <w:highlight w:val="none"/>
          <w:u w:val="single"/>
          <w14:textFill>
            <w14:solidFill>
              <w14:schemeClr w14:val="tx1"/>
            </w14:solidFill>
          </w14:textFill>
        </w:rPr>
        <w:t xml:space="preserve">               </w:t>
      </w:r>
    </w:p>
    <w:p>
      <w:pPr>
        <w:spacing w:line="360" w:lineRule="auto"/>
        <w:ind w:firstLine="1962" w:firstLineChars="700"/>
        <w:rPr>
          <w:rFonts w:ascii="华文中宋" w:hAnsi="华文中宋" w:eastAsia="华文中宋"/>
          <w:b/>
          <w:color w:val="000000" w:themeColor="text1"/>
          <w:sz w:val="28"/>
          <w:szCs w:val="28"/>
          <w:highlight w:val="none"/>
          <w14:textFill>
            <w14:solidFill>
              <w14:schemeClr w14:val="tx1"/>
            </w14:solidFill>
          </w14:textFill>
        </w:rPr>
      </w:pPr>
      <w:r>
        <w:rPr>
          <w:rFonts w:hint="eastAsia" w:ascii="华文中宋" w:hAnsi="华文中宋" w:eastAsia="华文中宋"/>
          <w:b/>
          <w:color w:val="000000" w:themeColor="text1"/>
          <w:sz w:val="28"/>
          <w:szCs w:val="28"/>
          <w:highlight w:val="none"/>
          <w14:textFill>
            <w14:solidFill>
              <w14:schemeClr w14:val="tx1"/>
            </w14:solidFill>
          </w14:textFill>
        </w:rPr>
        <w:t>住所：</w:t>
      </w:r>
      <w:r>
        <w:rPr>
          <w:rFonts w:ascii="华文中宋" w:hAnsi="华文中宋" w:eastAsia="华文中宋"/>
          <w:b/>
          <w:color w:val="000000" w:themeColor="text1"/>
          <w:sz w:val="28"/>
          <w:szCs w:val="28"/>
          <w:highlight w:val="none"/>
          <w:u w:val="single"/>
          <w14:textFill>
            <w14:solidFill>
              <w14:schemeClr w14:val="tx1"/>
            </w14:solidFill>
          </w14:textFill>
        </w:rPr>
        <w:t xml:space="preserve">               </w:t>
      </w:r>
    </w:p>
    <w:p>
      <w:pPr>
        <w:spacing w:line="360" w:lineRule="auto"/>
        <w:ind w:firstLine="1962" w:firstLineChars="700"/>
        <w:rPr>
          <w:rFonts w:ascii="华文中宋" w:hAnsi="华文中宋" w:eastAsia="华文中宋"/>
          <w:b/>
          <w:color w:val="000000" w:themeColor="text1"/>
          <w:sz w:val="28"/>
          <w:szCs w:val="28"/>
          <w:highlight w:val="none"/>
          <w14:textFill>
            <w14:solidFill>
              <w14:schemeClr w14:val="tx1"/>
            </w14:solidFill>
          </w14:textFill>
        </w:rPr>
      </w:pPr>
      <w:r>
        <w:rPr>
          <w:rFonts w:hint="eastAsia" w:ascii="华文中宋" w:hAnsi="华文中宋" w:eastAsia="华文中宋"/>
          <w:b/>
          <w:color w:val="000000" w:themeColor="text1"/>
          <w:sz w:val="28"/>
          <w:szCs w:val="28"/>
          <w:highlight w:val="none"/>
          <w14:textFill>
            <w14:solidFill>
              <w14:schemeClr w14:val="tx1"/>
            </w14:solidFill>
          </w14:textFill>
        </w:rPr>
        <w:t>法定代表人：</w:t>
      </w:r>
      <w:r>
        <w:rPr>
          <w:rFonts w:ascii="华文中宋" w:hAnsi="华文中宋" w:eastAsia="华文中宋"/>
          <w:b/>
          <w:color w:val="000000" w:themeColor="text1"/>
          <w:sz w:val="28"/>
          <w:szCs w:val="28"/>
          <w:highlight w:val="none"/>
          <w:u w:val="single"/>
          <w14:textFill>
            <w14:solidFill>
              <w14:schemeClr w14:val="tx1"/>
            </w14:solidFill>
          </w14:textFill>
        </w:rPr>
        <w:t xml:space="preserve">         </w:t>
      </w:r>
    </w:p>
    <w:p>
      <w:pPr>
        <w:rPr>
          <w:rFonts w:ascii="楷体_GB2312" w:hAnsi="华文楷体" w:eastAsia="楷体_GB2312"/>
          <w:color w:val="000000" w:themeColor="text1"/>
          <w:sz w:val="28"/>
          <w:szCs w:val="28"/>
          <w:highlight w:val="none"/>
          <w14:textFill>
            <w14:solidFill>
              <w14:schemeClr w14:val="tx1"/>
            </w14:solidFill>
          </w14:textFill>
        </w:rPr>
      </w:pPr>
      <w:r>
        <w:rPr>
          <w:rFonts w:hint="eastAsia" w:ascii="楷体_GB2312" w:hAnsi="华文楷体" w:eastAsia="楷体_GB2312"/>
          <w:color w:val="000000" w:themeColor="text1"/>
          <w:sz w:val="28"/>
          <w:szCs w:val="28"/>
          <w:highlight w:val="none"/>
          <w14:textFill>
            <w14:solidFill>
              <w14:schemeClr w14:val="tx1"/>
            </w14:solidFill>
          </w14:textFill>
        </w:rPr>
        <w:br w:type="page"/>
      </w:r>
    </w:p>
    <w:p>
      <w:pPr>
        <w:spacing w:line="360" w:lineRule="auto"/>
        <w:ind w:firstLine="560" w:firstLineChars="200"/>
        <w:rPr>
          <w:rFonts w:ascii="楷体_GB2312" w:hAnsi="华文楷体" w:eastAsia="楷体_GB2312"/>
          <w:color w:val="000000" w:themeColor="text1"/>
          <w:sz w:val="28"/>
          <w:szCs w:val="28"/>
          <w:highlight w:val="none"/>
          <w14:textFill>
            <w14:solidFill>
              <w14:schemeClr w14:val="tx1"/>
            </w14:solidFill>
          </w14:textFill>
        </w:rPr>
      </w:pPr>
      <w:r>
        <w:rPr>
          <w:rFonts w:hint="eastAsia" w:ascii="楷体_GB2312" w:hAnsi="华文楷体" w:eastAsia="楷体_GB2312"/>
          <w:color w:val="000000" w:themeColor="text1"/>
          <w:sz w:val="28"/>
          <w:szCs w:val="28"/>
          <w:highlight w:val="none"/>
          <w14:textFill>
            <w14:solidFill>
              <w14:schemeClr w14:val="tx1"/>
            </w14:solidFill>
          </w14:textFill>
        </w:rPr>
        <w:t>甲乙双方就</w:t>
      </w:r>
      <w:r>
        <w:rPr>
          <w:rFonts w:ascii="楷体_GB2312" w:hAnsi="华文楷体" w:eastAsia="楷体_GB2312"/>
          <w:color w:val="000000" w:themeColor="text1"/>
          <w:sz w:val="28"/>
          <w:szCs w:val="28"/>
          <w:highlight w:val="none"/>
          <w:u w:val="single"/>
          <w14:textFill>
            <w14:solidFill>
              <w14:schemeClr w14:val="tx1"/>
            </w14:solidFill>
          </w14:textFill>
        </w:rPr>
        <w:t xml:space="preserve">              </w:t>
      </w:r>
      <w:r>
        <w:rPr>
          <w:rFonts w:hint="eastAsia" w:ascii="楷体_GB2312" w:hAnsi="华文楷体" w:eastAsia="楷体_GB2312"/>
          <w:color w:val="000000" w:themeColor="text1"/>
          <w:sz w:val="28"/>
          <w:szCs w:val="28"/>
          <w:highlight w:val="none"/>
          <w14:textFill>
            <w14:solidFill>
              <w14:schemeClr w14:val="tx1"/>
            </w14:solidFill>
          </w14:textFill>
        </w:rPr>
        <w:t>购销事宜进行了协商，在平等自愿的基础上达成一致。现为约明双方权利义务，根据《中华人民共和国合同法》等相关法律的规定，订立合同如下，以昭信守：</w:t>
      </w:r>
    </w:p>
    <w:p>
      <w:pPr>
        <w:spacing w:line="360" w:lineRule="auto"/>
        <w:rPr>
          <w:rFonts w:ascii="宋体" w:hAnsi="宋体"/>
          <w:color w:val="000000" w:themeColor="text1"/>
          <w:highlight w:val="none"/>
          <w14:textFill>
            <w14:solidFill>
              <w14:schemeClr w14:val="tx1"/>
            </w14:solidFill>
          </w14:textFill>
        </w:rPr>
      </w:pP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第一条  甲方向乙方采购</w:t>
      </w:r>
      <w:r>
        <w:rPr>
          <w:rFonts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（品名）（以下统称“</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具体描述见附件一），总价为人民币</w:t>
      </w:r>
      <w:r>
        <w:rPr>
          <w:rFonts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w:t>
      </w:r>
      <w:r>
        <w:rPr>
          <w:rFonts w:ascii="仿宋_GB2312" w:eastAsia="仿宋_GB2312"/>
          <w:color w:val="000000" w:themeColor="text1"/>
          <w:sz w:val="26"/>
          <w:szCs w:val="26"/>
          <w:highlight w:val="none"/>
          <w14:textFill>
            <w14:solidFill>
              <w14:schemeClr w14:val="tx1"/>
            </w14:solidFill>
          </w14:textFill>
        </w:rPr>
        <w:t>¥</w:t>
      </w:r>
      <w:r>
        <w:rPr>
          <w:rFonts w:hint="eastAsia" w:ascii="仿宋_GB2312" w:eastAsia="仿宋_GB2312"/>
          <w:color w:val="000000" w:themeColor="text1"/>
          <w:sz w:val="26"/>
          <w:szCs w:val="26"/>
          <w:highlight w:val="none"/>
          <w14:textFill>
            <w14:solidFill>
              <w14:schemeClr w14:val="tx1"/>
            </w14:solidFill>
          </w14:textFill>
        </w:rPr>
        <w:t xml:space="preserve"> </w:t>
      </w:r>
      <w:r>
        <w:rPr>
          <w:rFonts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元）。</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第二条  乙方确认，其向甲方销售的</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不是法律、行政法规禁止或者限制转让的物品，且该</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的型号、规格、数量、质量、性能、配件等依次符合双方在本合同附件中的约定和封存的样品，甲方的中标通知书、招标文件，乙方的投标文件和向甲方作出的其他承诺，原厂</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质量标准，国家、地方和行业标准及规范。</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第三条  甲方应在本合同生效后十个工作日内，向乙方支付相当于总价</w:t>
      </w:r>
      <w:r>
        <w:rPr>
          <w:rFonts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%的货款</w:t>
      </w:r>
      <w:r>
        <w:rPr>
          <w:rFonts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元，在</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全部验收合格后十个工作日内，向乙方支付相当于总价</w:t>
      </w:r>
      <w:r>
        <w:rPr>
          <w:rFonts w:hint="eastAsia"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%的货款</w:t>
      </w:r>
      <w:r>
        <w:rPr>
          <w:rFonts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元。</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甲方根据乙方开具的足额合法发票向乙方指定银行账户支付前款约定的货款。</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第四条  乙方应在</w:t>
      </w:r>
      <w:r>
        <w:rPr>
          <w:rFonts w:ascii="仿宋_GB2312" w:eastAsia="仿宋_GB2312"/>
          <w:color w:val="000000" w:themeColor="text1"/>
          <w:sz w:val="26"/>
          <w:szCs w:val="26"/>
          <w:highlight w:val="none"/>
          <w:u w:val="single"/>
          <w14:textFill>
            <w14:solidFill>
              <w14:schemeClr w14:val="tx1"/>
            </w14:solidFill>
          </w14:textFill>
        </w:rPr>
        <w:t xml:space="preserve">    年  月  日</w:t>
      </w:r>
      <w:r>
        <w:rPr>
          <w:rFonts w:hint="eastAsia" w:ascii="仿宋_GB2312" w:eastAsia="仿宋_GB2312"/>
          <w:color w:val="000000" w:themeColor="text1"/>
          <w:sz w:val="26"/>
          <w:szCs w:val="26"/>
          <w:highlight w:val="none"/>
          <w14:textFill>
            <w14:solidFill>
              <w14:schemeClr w14:val="tx1"/>
            </w14:solidFill>
          </w14:textFill>
        </w:rPr>
        <w:t>前将</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运抵复旦大学</w:t>
      </w:r>
      <w:r>
        <w:rPr>
          <w:rFonts w:hint="eastAsia"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，向甲方交付</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。乙方向甲方交付</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前，</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毁损、灭失的风险由乙方承担。</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第五条  乙方应采用通用的，或者双方约定的方式包装、运输其向甲方交付的</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，并承担</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的包装、运输及保险费用。</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第六条  甲方应在乙方交付</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后</w:t>
      </w:r>
      <w:r>
        <w:rPr>
          <w:rFonts w:hint="eastAsia"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个工作日内，根据本合同第二条的约定组织验收。</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全部或者部分验收不合格的，乙方应对不合格</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进行无偿更换，并由甲方根据前款约定再次组织验收。更换</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再次验收不合格的，甲方可以解除本合同。双方应在本合同权利义务终止后向权利人返还与本合同项下条款相关且已发生转移的财产，乙方应按相当于</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价格20</w:t>
      </w:r>
      <w:r>
        <w:rPr>
          <w:rFonts w:hint="eastAsia" w:ascii="仿宋_GB2312" w:hAnsi="仿宋_GB2312" w:eastAsia="仿宋_GB2312"/>
          <w:color w:val="000000" w:themeColor="text1"/>
          <w:sz w:val="26"/>
          <w:szCs w:val="26"/>
          <w:highlight w:val="none"/>
          <w14:textFill>
            <w14:solidFill>
              <w14:schemeClr w14:val="tx1"/>
            </w14:solidFill>
          </w14:textFill>
        </w:rPr>
        <w:t>%</w:t>
      </w:r>
      <w:r>
        <w:rPr>
          <w:rFonts w:hint="eastAsia" w:ascii="仿宋_GB2312" w:eastAsia="仿宋_GB2312"/>
          <w:color w:val="000000" w:themeColor="text1"/>
          <w:sz w:val="26"/>
          <w:szCs w:val="26"/>
          <w:highlight w:val="none"/>
          <w14:textFill>
            <w14:solidFill>
              <w14:schemeClr w14:val="tx1"/>
            </w14:solidFill>
          </w14:textFill>
        </w:rPr>
        <w:t>的标准，向甲方支付违约金。</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甲方没有及时组织验收的，自乙方交付</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后届满</w:t>
      </w:r>
      <w:r>
        <w:rPr>
          <w:rFonts w:hint="eastAsia"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个工作日起视为验收合格。</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 xml:space="preserve">第七条  </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验收合格后的</w:t>
      </w:r>
      <w:r>
        <w:rPr>
          <w:rFonts w:hint="eastAsia"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个月为</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质量保证期。乙方应在</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质量保证期内提供7×24小时的维修服务响应，并无偿提供维修服务、更换原装配件。</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质量保证期结束后五年内，乙方应继续提供7×24小时的维修服务响应，并以最优惠价格提供维修服务、更换原装配件。</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第八条  甲方指定的联系渠道是：</w:t>
      </w:r>
    </w:p>
    <w:p>
      <w:pPr>
        <w:spacing w:line="560" w:lineRule="exact"/>
        <w:ind w:firstLine="1040" w:firstLineChars="4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通讯地址：上海市杨浦区邯郸路220号复旦大学（200433）</w:t>
      </w:r>
    </w:p>
    <w:p>
      <w:pPr>
        <w:spacing w:line="560" w:lineRule="exact"/>
        <w:ind w:firstLine="1040" w:firstLineChars="4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电话/传真：021-</w:t>
      </w:r>
      <w:r>
        <w:rPr>
          <w:rFonts w:hint="eastAsia" w:ascii="仿宋_GB2312" w:eastAsia="仿宋_GB2312"/>
          <w:color w:val="000000" w:themeColor="text1"/>
          <w:sz w:val="26"/>
          <w:szCs w:val="26"/>
          <w:highlight w:val="none"/>
          <w:u w:val="single"/>
          <w14:textFill>
            <w14:solidFill>
              <w14:schemeClr w14:val="tx1"/>
            </w14:solidFill>
          </w14:textFill>
        </w:rPr>
        <w:t xml:space="preserve">         </w:t>
      </w:r>
    </w:p>
    <w:p>
      <w:pPr>
        <w:spacing w:line="560" w:lineRule="exact"/>
        <w:ind w:firstLine="1040" w:firstLineChars="4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电子信箱：</w:t>
      </w:r>
      <w:r>
        <w:rPr>
          <w:rFonts w:hint="eastAsia" w:ascii="仿宋_GB2312" w:eastAsia="仿宋_GB2312"/>
          <w:color w:val="000000" w:themeColor="text1"/>
          <w:sz w:val="26"/>
          <w:szCs w:val="26"/>
          <w:highlight w:val="none"/>
          <w:u w:val="single"/>
          <w14:textFill>
            <w14:solidFill>
              <w14:schemeClr w14:val="tx1"/>
            </w14:solidFill>
          </w14:textFill>
        </w:rPr>
        <w:t xml:space="preserve">     </w:t>
      </w:r>
      <w:r>
        <w:rPr>
          <w:rFonts w:hint="eastAsia" w:ascii="仿宋_GB2312" w:eastAsia="仿宋_GB2312"/>
          <w:color w:val="000000" w:themeColor="text1"/>
          <w:sz w:val="26"/>
          <w:szCs w:val="26"/>
          <w:highlight w:val="none"/>
          <w14:textFill>
            <w14:solidFill>
              <w14:schemeClr w14:val="tx1"/>
            </w14:solidFill>
          </w14:textFill>
        </w:rPr>
        <w:t>@fudan.edu.cn</w:t>
      </w:r>
    </w:p>
    <w:p>
      <w:pPr>
        <w:spacing w:line="560" w:lineRule="exact"/>
        <w:ind w:firstLine="1040" w:firstLineChars="4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乙方指定的联系渠道是：</w:t>
      </w:r>
    </w:p>
    <w:p>
      <w:pPr>
        <w:spacing w:line="560" w:lineRule="exact"/>
        <w:ind w:firstLine="1040" w:firstLineChars="4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通讯地址：</w:t>
      </w:r>
      <w:r>
        <w:rPr>
          <w:rFonts w:hint="eastAsia" w:ascii="仿宋_GB2312" w:eastAsia="仿宋_GB2312"/>
          <w:color w:val="000000" w:themeColor="text1"/>
          <w:sz w:val="26"/>
          <w:szCs w:val="26"/>
          <w:highlight w:val="none"/>
          <w:u w:val="single"/>
          <w14:textFill>
            <w14:solidFill>
              <w14:schemeClr w14:val="tx1"/>
            </w14:solidFill>
          </w14:textFill>
        </w:rPr>
        <w:t xml:space="preserve">          </w:t>
      </w:r>
    </w:p>
    <w:p>
      <w:pPr>
        <w:spacing w:line="560" w:lineRule="exact"/>
        <w:ind w:firstLine="1040" w:firstLineChars="4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电话/传真：</w:t>
      </w:r>
      <w:r>
        <w:rPr>
          <w:rFonts w:hint="eastAsia" w:ascii="仿宋_GB2312" w:eastAsia="仿宋_GB2312"/>
          <w:color w:val="000000" w:themeColor="text1"/>
          <w:sz w:val="26"/>
          <w:szCs w:val="26"/>
          <w:highlight w:val="none"/>
          <w:u w:val="single"/>
          <w14:textFill>
            <w14:solidFill>
              <w14:schemeClr w14:val="tx1"/>
            </w14:solidFill>
          </w14:textFill>
        </w:rPr>
        <w:t xml:space="preserve">          </w:t>
      </w:r>
    </w:p>
    <w:p>
      <w:pPr>
        <w:spacing w:line="560" w:lineRule="exact"/>
        <w:ind w:firstLine="1040" w:firstLineChars="4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电子信箱：</w:t>
      </w:r>
      <w:r>
        <w:rPr>
          <w:rFonts w:hint="eastAsia" w:ascii="仿宋_GB2312" w:eastAsia="仿宋_GB2312"/>
          <w:color w:val="000000" w:themeColor="text1"/>
          <w:sz w:val="26"/>
          <w:szCs w:val="26"/>
          <w:highlight w:val="none"/>
          <w:u w:val="single"/>
          <w14:textFill>
            <w14:solidFill>
              <w14:schemeClr w14:val="tx1"/>
            </w14:solidFill>
          </w14:textFill>
        </w:rPr>
        <w:t xml:space="preserve">          </w:t>
      </w:r>
    </w:p>
    <w:p>
      <w:pPr>
        <w:spacing w:line="560" w:lineRule="exact"/>
        <w:ind w:left="525" w:leftChars="250"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第九条  甲方逾期履行本合同第三条约定的付款义务的，每逾期一天应按相当于未付货款金额0.5‰的标准，向乙方支付违约金。</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乙方逾期履行本合同第二条、第四条约定的交付义务的，每逾期一天应按相当于未交付</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价格0.5‰的标准，向甲方支付违约金。乙方配送的</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全部或者部分验收不合格，更换</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的，视为乙方逾期履行本合同第二条、第四条约定的交付义务。</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乙方向甲方交付的</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存在隐蔽瑕疵，且甲方在</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验收合格后、</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价格20</w:t>
      </w:r>
      <w:r>
        <w:rPr>
          <w:rFonts w:hint="eastAsia" w:ascii="仿宋_GB2312" w:hAnsi="仿宋_GB2312" w:eastAsia="仿宋_GB2312"/>
          <w:color w:val="000000" w:themeColor="text1"/>
          <w:sz w:val="26"/>
          <w:szCs w:val="26"/>
          <w:highlight w:val="none"/>
          <w14:textFill>
            <w14:solidFill>
              <w14:schemeClr w14:val="tx1"/>
            </w14:solidFill>
          </w14:textFill>
        </w:rPr>
        <w:t>%</w:t>
      </w:r>
      <w:r>
        <w:rPr>
          <w:rFonts w:hint="eastAsia" w:ascii="仿宋_GB2312" w:eastAsia="仿宋_GB2312"/>
          <w:color w:val="000000" w:themeColor="text1"/>
          <w:sz w:val="26"/>
          <w:szCs w:val="26"/>
          <w:highlight w:val="none"/>
          <w14:textFill>
            <w14:solidFill>
              <w14:schemeClr w14:val="tx1"/>
            </w14:solidFill>
          </w14:textFill>
        </w:rPr>
        <w:t>的标准，向甲方支付违约金。</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乙方向甲方交付的</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存在权利瑕疵的，甲方可以解除本合同。双方应在本合同权利义务终止后向权利人返还与本合同项下条款相关且已发生转移的财产，乙方应按相当于</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价格20</w:t>
      </w:r>
      <w:r>
        <w:rPr>
          <w:rFonts w:hint="eastAsia" w:ascii="仿宋_GB2312" w:hAnsi="仿宋_GB2312" w:eastAsia="仿宋_GB2312"/>
          <w:color w:val="000000" w:themeColor="text1"/>
          <w:sz w:val="26"/>
          <w:szCs w:val="26"/>
          <w:highlight w:val="none"/>
          <w14:textFill>
            <w14:solidFill>
              <w14:schemeClr w14:val="tx1"/>
            </w14:solidFill>
          </w14:textFill>
        </w:rPr>
        <w:t>%</w:t>
      </w:r>
      <w:r>
        <w:rPr>
          <w:rFonts w:hint="eastAsia" w:ascii="仿宋_GB2312" w:eastAsia="仿宋_GB2312"/>
          <w:color w:val="000000" w:themeColor="text1"/>
          <w:sz w:val="26"/>
          <w:szCs w:val="26"/>
          <w:highlight w:val="none"/>
          <w14:textFill>
            <w14:solidFill>
              <w14:schemeClr w14:val="tx1"/>
            </w14:solidFill>
          </w14:textFill>
        </w:rPr>
        <w:t>的标准，向甲方支付违约金，并承担由此引发纠纷、仲裁或诉讼案件而发生的各种费用。</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乙方未按约履行本合同第七条约定的保修义务的，每逾期一天应按相当于</w:t>
      </w:r>
      <w:r>
        <w:rPr>
          <w:rFonts w:hint="eastAsia" w:ascii="楷体_GB2312" w:eastAsia="楷体_GB2312"/>
          <w:color w:val="000000" w:themeColor="text1"/>
          <w:sz w:val="26"/>
          <w:szCs w:val="26"/>
          <w:highlight w:val="none"/>
          <w14:textFill>
            <w14:solidFill>
              <w14:schemeClr w14:val="tx1"/>
            </w14:solidFill>
          </w14:textFill>
        </w:rPr>
        <w:t>产品</w:t>
      </w:r>
      <w:r>
        <w:rPr>
          <w:rFonts w:hint="eastAsia" w:ascii="仿宋_GB2312" w:eastAsia="仿宋_GB2312"/>
          <w:color w:val="000000" w:themeColor="text1"/>
          <w:sz w:val="26"/>
          <w:szCs w:val="26"/>
          <w:highlight w:val="none"/>
          <w14:textFill>
            <w14:solidFill>
              <w14:schemeClr w14:val="tx1"/>
            </w14:solidFill>
          </w14:textFill>
        </w:rPr>
        <w:t>维修项目价格金额三倍的标准，向甲方支付违约金。</w:t>
      </w:r>
    </w:p>
    <w:p>
      <w:pPr>
        <w:spacing w:line="560" w:lineRule="exact"/>
        <w:ind w:left="520" w:hanging="520" w:hanging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pPr>
        <w:spacing w:line="560" w:lineRule="exact"/>
        <w:ind w:left="521" w:leftChars="248"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一方直接解除本合同的，应及时以书面形式通知相对方，并提供相应的证明。双方应在解除本合同后向权利人返还与本合同项下条款相关且已发生转移的财产，并积极消除因解除合同带来的不利影响。</w:t>
      </w:r>
    </w:p>
    <w:p>
      <w:pPr>
        <w:spacing w:line="560" w:lineRule="exact"/>
        <w:ind w:left="780" w:hanging="780" w:hangingChars="3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pPr>
        <w:spacing w:line="560" w:lineRule="exact"/>
        <w:ind w:left="780" w:hanging="780" w:hangingChars="3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第十二条  双方就本合同项下条款内容及相关内容发生争议的，可以友好协商解决；协商解决不成，一方可以根据中华人民共和国法律向上海市杨浦区人民法院提起诉讼。</w:t>
      </w:r>
    </w:p>
    <w:p>
      <w:pPr>
        <w:spacing w:line="560" w:lineRule="exact"/>
        <w:ind w:left="780" w:hanging="780" w:hangingChars="3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第十三条  双方就本合同其余条款约定内容外，同时约定下列内容：</w:t>
      </w:r>
    </w:p>
    <w:p>
      <w:pPr>
        <w:tabs>
          <w:tab w:val="left" w:pos="851"/>
        </w:tabs>
        <w:spacing w:line="560" w:lineRule="exact"/>
        <w:ind w:left="850" w:leftChars="405" w:firstLine="491" w:firstLineChars="189"/>
        <w:rPr>
          <w:rFonts w:ascii="仿宋_GB2312" w:eastAsia="仿宋_GB2312"/>
          <w:color w:val="000000" w:themeColor="text1"/>
          <w:sz w:val="26"/>
          <w:szCs w:val="26"/>
          <w:highlight w:val="none"/>
          <w14:textFill>
            <w14:solidFill>
              <w14:schemeClr w14:val="tx1"/>
            </w14:solidFill>
          </w14:textFill>
        </w:rPr>
      </w:pPr>
    </w:p>
    <w:p>
      <w:pPr>
        <w:spacing w:line="560" w:lineRule="exact"/>
        <w:ind w:left="781" w:leftChars="372"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本条约定内容与本合同其余条款约定内容不相一致处，以本条约定为准。</w:t>
      </w:r>
    </w:p>
    <w:p>
      <w:pPr>
        <w:spacing w:line="560" w:lineRule="exact"/>
        <w:ind w:left="780" w:hanging="780" w:hangingChars="3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第十四条  本合同应作为一个整体被加以解释，各条款约定内容不因顺序排列的先后而产生法律效力的差异。</w:t>
      </w:r>
    </w:p>
    <w:p>
      <w:pPr>
        <w:spacing w:line="560" w:lineRule="exact"/>
        <w:ind w:left="781" w:leftChars="372"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本合同生效后，双方可以在平等自愿的基础上协商一致，就本合同项下条款约定内容或其它未尽事宜订立补充协议。补充协议条款约定内容具有不低于本合同项下条款约定内容的法律效力。</w:t>
      </w:r>
    </w:p>
    <w:p>
      <w:pPr>
        <w:spacing w:line="560" w:lineRule="exact"/>
        <w:ind w:left="781" w:leftChars="372"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双方订立一份或者多份补充协议，且补充协议与本合同之间、各补充协议之间就同一内容约定不相一致的，以生效时间列为最后的补充协议条款约定为准。</w:t>
      </w:r>
    </w:p>
    <w:p>
      <w:pPr>
        <w:spacing w:line="560" w:lineRule="exact"/>
        <w:ind w:left="781" w:leftChars="372"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未经相对方同意，一方将本合同项下条款内容全部或者部分转让给第三人的，相对方可以解除本合同，转让方承担违约责任。</w:t>
      </w:r>
    </w:p>
    <w:p>
      <w:pPr>
        <w:spacing w:line="560" w:lineRule="exact"/>
        <w:ind w:left="780" w:hanging="780" w:hangingChars="3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第十五条  本合同由甲乙双方于</w:t>
      </w:r>
      <w:r>
        <w:rPr>
          <w:rFonts w:hint="eastAsia" w:ascii="仿宋_GB2312" w:eastAsia="仿宋_GB2312"/>
          <w:color w:val="000000" w:themeColor="text1"/>
          <w:sz w:val="26"/>
          <w:szCs w:val="26"/>
          <w:highlight w:val="none"/>
          <w:u w:val="single"/>
          <w14:textFill>
            <w14:solidFill>
              <w14:schemeClr w14:val="tx1"/>
            </w14:solidFill>
          </w14:textFill>
        </w:rPr>
        <w:t xml:space="preserve">     年  月  日</w:t>
      </w:r>
      <w:r>
        <w:rPr>
          <w:rFonts w:hint="eastAsia" w:ascii="仿宋_GB2312" w:eastAsia="仿宋_GB2312"/>
          <w:color w:val="000000" w:themeColor="text1"/>
          <w:sz w:val="26"/>
          <w:szCs w:val="26"/>
          <w:highlight w:val="none"/>
          <w14:textFill>
            <w14:solidFill>
              <w14:schemeClr w14:val="tx1"/>
            </w14:solidFill>
          </w14:textFill>
        </w:rPr>
        <w:t>在上海市杨浦区邯郸路220号签订，自双方签字盖章后生效。</w:t>
      </w:r>
    </w:p>
    <w:p>
      <w:pPr>
        <w:spacing w:line="560" w:lineRule="exact"/>
        <w:ind w:left="781" w:leftChars="372" w:firstLine="520" w:firstLineChars="200"/>
        <w:rPr>
          <w:rFonts w:ascii="仿宋_GB2312" w:eastAsia="仿宋_GB2312"/>
          <w:color w:val="000000" w:themeColor="text1"/>
          <w:sz w:val="26"/>
          <w:szCs w:val="26"/>
          <w:highlight w:val="none"/>
          <w14:textFill>
            <w14:solidFill>
              <w14:schemeClr w14:val="tx1"/>
            </w14:solidFill>
          </w14:textFill>
        </w:rPr>
      </w:pPr>
      <w:r>
        <w:rPr>
          <w:rFonts w:hint="eastAsia" w:ascii="仿宋_GB2312" w:eastAsia="仿宋_GB2312"/>
          <w:color w:val="000000" w:themeColor="text1"/>
          <w:sz w:val="26"/>
          <w:szCs w:val="26"/>
          <w:highlight w:val="none"/>
          <w14:textFill>
            <w14:solidFill>
              <w14:schemeClr w14:val="tx1"/>
            </w14:solidFill>
          </w14:textFill>
        </w:rPr>
        <w:t>合同文本壹式肆份，双方各执贰份，各份合同文本具有同等法律效力。</w:t>
      </w:r>
    </w:p>
    <w:p>
      <w:pPr>
        <w:spacing w:line="360" w:lineRule="auto"/>
        <w:ind w:left="630" w:hanging="630" w:hangingChars="300"/>
        <w:rPr>
          <w:rFonts w:ascii="宋体" w:hAnsi="宋体"/>
          <w:color w:val="000000" w:themeColor="text1"/>
          <w:szCs w:val="21"/>
          <w:highlight w:val="none"/>
          <w14:textFill>
            <w14:solidFill>
              <w14:schemeClr w14:val="tx1"/>
            </w14:solidFill>
          </w14:textFill>
        </w:rPr>
      </w:pPr>
    </w:p>
    <w:p>
      <w:pPr>
        <w:spacing w:line="360" w:lineRule="auto"/>
        <w:ind w:left="630" w:hanging="630" w:hangingChars="300"/>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600" w:lineRule="exact"/>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14:textFill>
            <w14:solidFill>
              <w14:schemeClr w14:val="tx1"/>
            </w14:solidFill>
          </w14:textFill>
        </w:rPr>
        <w:t>甲方（盖章）：</w:t>
      </w:r>
      <w:r>
        <w:rPr>
          <w:rFonts w:hint="eastAsia" w:ascii="黑体" w:eastAsia="黑体"/>
          <w:color w:val="000000" w:themeColor="text1"/>
          <w:spacing w:val="40"/>
          <w:sz w:val="24"/>
          <w:highlight w:val="none"/>
          <w14:textFill>
            <w14:solidFill>
              <w14:schemeClr w14:val="tx1"/>
            </w14:solidFill>
          </w14:textFill>
        </w:rPr>
        <w:t>复旦大学</w:t>
      </w:r>
    </w:p>
    <w:p>
      <w:pPr>
        <w:spacing w:line="600" w:lineRule="exact"/>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14:textFill>
            <w14:solidFill>
              <w14:schemeClr w14:val="tx1"/>
            </w14:solidFill>
          </w14:textFill>
        </w:rPr>
        <w:t>授权代表（签字）：</w:t>
      </w:r>
      <w:r>
        <w:rPr>
          <w:rFonts w:hint="eastAsia" w:ascii="黑体" w:eastAsia="黑体"/>
          <w:color w:val="000000" w:themeColor="text1"/>
          <w:sz w:val="24"/>
          <w:highlight w:val="none"/>
          <w:u w:val="single"/>
          <w14:textFill>
            <w14:solidFill>
              <w14:schemeClr w14:val="tx1"/>
            </w14:solidFill>
          </w14:textFill>
        </w:rPr>
        <w:t xml:space="preserve">          </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600" w:lineRule="exact"/>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14:textFill>
            <w14:solidFill>
              <w14:schemeClr w14:val="tx1"/>
            </w14:solidFill>
          </w14:textFill>
        </w:rPr>
        <w:t>乙方（盖章）：</w:t>
      </w:r>
      <w:r>
        <w:rPr>
          <w:rFonts w:hint="eastAsia" w:ascii="黑体" w:eastAsia="黑体"/>
          <w:color w:val="000000" w:themeColor="text1"/>
          <w:sz w:val="24"/>
          <w:highlight w:val="none"/>
          <w:u w:val="single"/>
          <w14:textFill>
            <w14:solidFill>
              <w14:schemeClr w14:val="tx1"/>
            </w14:solidFill>
          </w14:textFill>
        </w:rPr>
        <w:t xml:space="preserve">              </w:t>
      </w:r>
    </w:p>
    <w:p>
      <w:pPr>
        <w:spacing w:line="600" w:lineRule="exact"/>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14:textFill>
            <w14:solidFill>
              <w14:schemeClr w14:val="tx1"/>
            </w14:solidFill>
          </w14:textFill>
        </w:rPr>
        <w:t>授权代表（签字）：</w:t>
      </w:r>
      <w:r>
        <w:rPr>
          <w:rFonts w:hint="eastAsia" w:ascii="黑体" w:eastAsia="黑体"/>
          <w:color w:val="000000" w:themeColor="text1"/>
          <w:sz w:val="24"/>
          <w:highlight w:val="none"/>
          <w:u w:val="single"/>
          <w14:textFill>
            <w14:solidFill>
              <w14:schemeClr w14:val="tx1"/>
            </w14:solidFill>
          </w14:textFill>
        </w:rPr>
        <w:t xml:space="preserve">          </w:t>
      </w:r>
    </w:p>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br w:type="page"/>
      </w:r>
      <w:r>
        <w:rPr>
          <w:rFonts w:hint="eastAsia" w:ascii="黑体" w:hAnsi="宋体" w:eastAsia="黑体"/>
          <w:color w:val="000000" w:themeColor="text1"/>
          <w:sz w:val="24"/>
          <w:highlight w:val="none"/>
          <w14:textFill>
            <w14:solidFill>
              <w14:schemeClr w14:val="tx1"/>
            </w14:solidFill>
          </w14:textFill>
        </w:rPr>
        <w:t>附件一</w:t>
      </w:r>
    </w:p>
    <w:p>
      <w:pPr>
        <w:spacing w:line="360" w:lineRule="auto"/>
        <w:rPr>
          <w:rFonts w:ascii="宋体" w:hAnsi="宋体"/>
          <w:color w:val="000000" w:themeColor="text1"/>
          <w:highlight w:val="none"/>
          <w14:textFill>
            <w14:solidFill>
              <w14:schemeClr w14:val="tx1"/>
            </w14:solidFill>
          </w14:textFill>
        </w:rPr>
      </w:pPr>
    </w:p>
    <w:p>
      <w:pPr>
        <w:spacing w:line="360" w:lineRule="auto"/>
        <w:jc w:val="center"/>
        <w:rPr>
          <w:rFonts w:ascii="华文中宋" w:hAnsi="华文中宋" w:eastAsia="华文中宋"/>
          <w:b/>
          <w:color w:val="000000" w:themeColor="text1"/>
          <w:spacing w:val="60"/>
          <w:sz w:val="28"/>
          <w:szCs w:val="28"/>
          <w:highlight w:val="none"/>
          <w14:textFill>
            <w14:solidFill>
              <w14:schemeClr w14:val="tx1"/>
            </w14:solidFill>
          </w14:textFill>
        </w:rPr>
      </w:pPr>
      <w:r>
        <w:rPr>
          <w:rFonts w:hint="eastAsia" w:ascii="华文中宋" w:hAnsi="华文中宋" w:eastAsia="华文中宋"/>
          <w:b/>
          <w:color w:val="000000" w:themeColor="text1"/>
          <w:spacing w:val="60"/>
          <w:sz w:val="28"/>
          <w:szCs w:val="28"/>
          <w:highlight w:val="none"/>
          <w14:textFill>
            <w14:solidFill>
              <w14:schemeClr w14:val="tx1"/>
            </w14:solidFill>
          </w14:textFill>
        </w:rPr>
        <w:t>产品清</w:t>
      </w:r>
      <w:r>
        <w:rPr>
          <w:rFonts w:hint="eastAsia" w:ascii="华文中宋" w:hAnsi="华文中宋" w:eastAsia="华文中宋"/>
          <w:b/>
          <w:color w:val="000000" w:themeColor="text1"/>
          <w:sz w:val="28"/>
          <w:szCs w:val="28"/>
          <w:highlight w:val="none"/>
          <w14:textFill>
            <w14:solidFill>
              <w14:schemeClr w14:val="tx1"/>
            </w14:solidFill>
          </w14:textFill>
        </w:rPr>
        <w:t>单</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甲方（买受人）：复旦大学</w:t>
      </w:r>
    </w:p>
    <w:p>
      <w:pPr>
        <w:spacing w:line="360" w:lineRule="auto"/>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乙方（出卖人）：</w:t>
      </w:r>
      <w:r>
        <w:rPr>
          <w:rFonts w:hint="eastAsia" w:ascii="华文中宋" w:hAnsi="华文中宋" w:eastAsia="华文中宋"/>
          <w:color w:val="000000" w:themeColor="text1"/>
          <w:sz w:val="24"/>
          <w:highlight w:val="none"/>
          <w:u w:val="single"/>
          <w14:textFill>
            <w14:solidFill>
              <w14:schemeClr w14:val="tx1"/>
            </w14:solidFill>
          </w14:textFill>
        </w:rPr>
        <w:t xml:space="preserve">         </w:t>
      </w:r>
    </w:p>
    <w:p>
      <w:pPr>
        <w:spacing w:line="360" w:lineRule="auto"/>
        <w:rPr>
          <w:rFonts w:ascii="宋体" w:hAnsi="宋体"/>
          <w:color w:val="000000" w:themeColor="text1"/>
          <w:highlight w:val="none"/>
          <w14:textFill>
            <w14:solidFill>
              <w14:schemeClr w14:val="tx1"/>
            </w14:solidFill>
          </w14:textFill>
        </w:rPr>
      </w:pP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9"/>
        <w:gridCol w:w="776"/>
        <w:gridCol w:w="757"/>
        <w:gridCol w:w="291"/>
        <w:gridCol w:w="969"/>
        <w:gridCol w:w="822"/>
        <w:gridCol w:w="1043"/>
        <w:gridCol w:w="1086"/>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609" w:type="dxa"/>
          </w:tcPr>
          <w:p>
            <w:pPr>
              <w:spacing w:line="360" w:lineRule="auto"/>
              <w:jc w:val="center"/>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 xml:space="preserve">品 名 </w:t>
            </w:r>
          </w:p>
        </w:tc>
        <w:tc>
          <w:tcPr>
            <w:tcW w:w="1533" w:type="dxa"/>
            <w:gridSpan w:val="2"/>
          </w:tcPr>
          <w:p>
            <w:pPr>
              <w:spacing w:line="360" w:lineRule="auto"/>
              <w:jc w:val="center"/>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规格/型号</w:t>
            </w:r>
          </w:p>
        </w:tc>
        <w:tc>
          <w:tcPr>
            <w:tcW w:w="1260" w:type="dxa"/>
            <w:gridSpan w:val="2"/>
          </w:tcPr>
          <w:p>
            <w:pPr>
              <w:spacing w:line="360" w:lineRule="auto"/>
              <w:jc w:val="center"/>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生产厂家</w:t>
            </w:r>
          </w:p>
        </w:tc>
        <w:tc>
          <w:tcPr>
            <w:tcW w:w="822" w:type="dxa"/>
          </w:tcPr>
          <w:p>
            <w:pPr>
              <w:spacing w:line="360" w:lineRule="auto"/>
              <w:jc w:val="center"/>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数 量</w:t>
            </w:r>
          </w:p>
        </w:tc>
        <w:tc>
          <w:tcPr>
            <w:tcW w:w="1043" w:type="dxa"/>
          </w:tcPr>
          <w:p>
            <w:pPr>
              <w:spacing w:line="360" w:lineRule="auto"/>
              <w:jc w:val="center"/>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单位</w:t>
            </w:r>
          </w:p>
        </w:tc>
        <w:tc>
          <w:tcPr>
            <w:tcW w:w="1086" w:type="dxa"/>
          </w:tcPr>
          <w:p>
            <w:pPr>
              <w:spacing w:line="360" w:lineRule="auto"/>
              <w:jc w:val="center"/>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单 价</w:t>
            </w:r>
          </w:p>
        </w:tc>
        <w:tc>
          <w:tcPr>
            <w:tcW w:w="1169" w:type="dxa"/>
          </w:tcPr>
          <w:p>
            <w:pPr>
              <w:spacing w:line="360" w:lineRule="auto"/>
              <w:jc w:val="center"/>
              <w:rPr>
                <w:rFonts w:ascii="华文中宋" w:hAnsi="华文中宋" w:eastAsia="华文中宋"/>
                <w:color w:val="000000" w:themeColor="text1"/>
                <w:sz w:val="24"/>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总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tcPr>
          <w:p>
            <w:pPr>
              <w:spacing w:line="360" w:lineRule="auto"/>
              <w:rPr>
                <w:rFonts w:ascii="宋体" w:hAnsi="宋体"/>
                <w:color w:val="000000" w:themeColor="text1"/>
                <w:szCs w:val="21"/>
                <w:highlight w:val="none"/>
                <w14:textFill>
                  <w14:solidFill>
                    <w14:schemeClr w14:val="tx1"/>
                  </w14:solidFill>
                </w14:textFill>
              </w:rPr>
            </w:pPr>
          </w:p>
        </w:tc>
        <w:tc>
          <w:tcPr>
            <w:tcW w:w="1533" w:type="dxa"/>
            <w:gridSpan w:val="2"/>
          </w:tcPr>
          <w:p>
            <w:pPr>
              <w:spacing w:line="360" w:lineRule="auto"/>
              <w:rPr>
                <w:rFonts w:ascii="宋体" w:hAnsi="宋体"/>
                <w:color w:val="000000" w:themeColor="text1"/>
                <w:szCs w:val="21"/>
                <w:highlight w:val="none"/>
                <w14:textFill>
                  <w14:solidFill>
                    <w14:schemeClr w14:val="tx1"/>
                  </w14:solidFill>
                </w14:textFill>
              </w:rPr>
            </w:pPr>
          </w:p>
        </w:tc>
        <w:tc>
          <w:tcPr>
            <w:tcW w:w="1260" w:type="dxa"/>
            <w:gridSpan w:val="2"/>
          </w:tcPr>
          <w:p>
            <w:pPr>
              <w:spacing w:line="360" w:lineRule="auto"/>
              <w:rPr>
                <w:rFonts w:ascii="宋体" w:hAnsi="宋体"/>
                <w:color w:val="000000" w:themeColor="text1"/>
                <w:szCs w:val="21"/>
                <w:highlight w:val="none"/>
                <w14:textFill>
                  <w14:solidFill>
                    <w14:schemeClr w14:val="tx1"/>
                  </w14:solidFill>
                </w14:textFill>
              </w:rPr>
            </w:pPr>
          </w:p>
        </w:tc>
        <w:tc>
          <w:tcPr>
            <w:tcW w:w="822" w:type="dxa"/>
          </w:tcPr>
          <w:p>
            <w:pPr>
              <w:spacing w:line="360" w:lineRule="auto"/>
              <w:rPr>
                <w:rFonts w:ascii="宋体" w:hAnsi="宋体"/>
                <w:color w:val="000000" w:themeColor="text1"/>
                <w:szCs w:val="21"/>
                <w:highlight w:val="none"/>
                <w14:textFill>
                  <w14:solidFill>
                    <w14:schemeClr w14:val="tx1"/>
                  </w14:solidFill>
                </w14:textFill>
              </w:rPr>
            </w:pPr>
          </w:p>
        </w:tc>
        <w:tc>
          <w:tcPr>
            <w:tcW w:w="1043" w:type="dxa"/>
          </w:tcPr>
          <w:p>
            <w:pPr>
              <w:spacing w:line="360" w:lineRule="auto"/>
              <w:rPr>
                <w:rFonts w:ascii="宋体" w:hAnsi="宋体"/>
                <w:color w:val="000000" w:themeColor="text1"/>
                <w:szCs w:val="21"/>
                <w:highlight w:val="none"/>
                <w14:textFill>
                  <w14:solidFill>
                    <w14:schemeClr w14:val="tx1"/>
                  </w14:solidFill>
                </w14:textFill>
              </w:rPr>
            </w:pPr>
          </w:p>
        </w:tc>
        <w:tc>
          <w:tcPr>
            <w:tcW w:w="1086" w:type="dxa"/>
          </w:tcPr>
          <w:p>
            <w:pPr>
              <w:spacing w:line="360" w:lineRule="auto"/>
              <w:rPr>
                <w:rFonts w:ascii="宋体" w:hAnsi="宋体"/>
                <w:color w:val="000000" w:themeColor="text1"/>
                <w:szCs w:val="21"/>
                <w:highlight w:val="none"/>
                <w14:textFill>
                  <w14:solidFill>
                    <w14:schemeClr w14:val="tx1"/>
                  </w14:solidFill>
                </w14:textFill>
              </w:rPr>
            </w:pPr>
          </w:p>
        </w:tc>
        <w:tc>
          <w:tcPr>
            <w:tcW w:w="1169" w:type="dxa"/>
          </w:tcPr>
          <w:p>
            <w:pPr>
              <w:spacing w:line="360" w:lineRule="auto"/>
              <w:rPr>
                <w:rFonts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tcPr>
          <w:p>
            <w:pPr>
              <w:spacing w:line="360" w:lineRule="auto"/>
              <w:jc w:val="center"/>
              <w:rPr>
                <w:rFonts w:ascii="宋体" w:hAnsi="宋体"/>
                <w:color w:val="000000" w:themeColor="text1"/>
                <w:szCs w:val="21"/>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合计总价</w:t>
            </w:r>
          </w:p>
        </w:tc>
        <w:tc>
          <w:tcPr>
            <w:tcW w:w="776" w:type="dxa"/>
          </w:tcPr>
          <w:p>
            <w:pPr>
              <w:spacing w:line="360" w:lineRule="auto"/>
              <w:rPr>
                <w:rFonts w:ascii="华文中宋" w:hAnsi="华文中宋" w:eastAsia="华文中宋"/>
                <w:color w:val="000000" w:themeColor="text1"/>
                <w:sz w:val="24"/>
                <w:highlight w:val="none"/>
                <w14:textFill>
                  <w14:solidFill>
                    <w14:schemeClr w14:val="tx1"/>
                  </w14:solidFill>
                </w14:textFill>
              </w:rPr>
            </w:pPr>
          </w:p>
        </w:tc>
        <w:tc>
          <w:tcPr>
            <w:tcW w:w="1048" w:type="dxa"/>
            <w:gridSpan w:val="2"/>
          </w:tcPr>
          <w:p>
            <w:pPr>
              <w:spacing w:line="360" w:lineRule="auto"/>
              <w:rPr>
                <w:rFonts w:ascii="华文中宋" w:hAnsi="华文中宋" w:eastAsia="华文中宋"/>
                <w:color w:val="000000" w:themeColor="text1"/>
                <w:sz w:val="24"/>
                <w:highlight w:val="none"/>
                <w14:textFill>
                  <w14:solidFill>
                    <w14:schemeClr w14:val="tx1"/>
                  </w14:solidFill>
                </w14:textFill>
              </w:rPr>
            </w:pPr>
          </w:p>
        </w:tc>
        <w:tc>
          <w:tcPr>
            <w:tcW w:w="5089" w:type="dxa"/>
            <w:gridSpan w:val="5"/>
          </w:tcPr>
          <w:p>
            <w:pPr>
              <w:spacing w:line="360" w:lineRule="auto"/>
              <w:rPr>
                <w:rFonts w:ascii="宋体" w:hAnsi="宋体"/>
                <w:color w:val="000000" w:themeColor="text1"/>
                <w:szCs w:val="21"/>
                <w:highlight w:val="none"/>
                <w14:textFill>
                  <w14:solidFill>
                    <w14:schemeClr w14:val="tx1"/>
                  </w14:solidFill>
                </w14:textFill>
              </w:rPr>
            </w:pPr>
            <w:r>
              <w:rPr>
                <w:rFonts w:hint="eastAsia" w:ascii="华文中宋" w:hAnsi="华文中宋" w:eastAsia="华文中宋"/>
                <w:color w:val="000000" w:themeColor="text1"/>
                <w:sz w:val="24"/>
                <w:highlight w:val="none"/>
                <w14:textFill>
                  <w14:solidFill>
                    <w14:schemeClr w14:val="tx1"/>
                  </w14:solidFill>
                </w14:textFill>
              </w:rPr>
              <w:t>￥       元</w:t>
            </w:r>
          </w:p>
        </w:tc>
      </w:tr>
    </w:tbl>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ind w:left="540" w:leftChars="257" w:firstLine="3660" w:firstLineChars="1525"/>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14:textFill>
            <w14:solidFill>
              <w14:schemeClr w14:val="tx1"/>
            </w14:solidFill>
          </w14:textFill>
        </w:rPr>
        <w:t>甲方（买受人）：复旦大学</w:t>
      </w:r>
    </w:p>
    <w:p>
      <w:pPr>
        <w:spacing w:line="360" w:lineRule="auto"/>
        <w:jc w:val="right"/>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u w:val="single"/>
          <w14:textFill>
            <w14:solidFill>
              <w14:schemeClr w14:val="tx1"/>
            </w14:solidFill>
          </w14:textFill>
        </w:rPr>
        <w:t xml:space="preserve">                          </w:t>
      </w:r>
      <w:r>
        <w:rPr>
          <w:rFonts w:hint="eastAsia" w:ascii="黑体" w:eastAsia="黑体"/>
          <w:color w:val="000000" w:themeColor="text1"/>
          <w:sz w:val="24"/>
          <w:highlight w:val="none"/>
          <w14:textFill>
            <w14:solidFill>
              <w14:schemeClr w14:val="tx1"/>
            </w14:solidFill>
          </w14:textFill>
        </w:rPr>
        <w:t>（盖章）</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ind w:left="540" w:leftChars="257" w:firstLine="3660" w:firstLineChars="1525"/>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14:textFill>
            <w14:solidFill>
              <w14:schemeClr w14:val="tx1"/>
            </w14:solidFill>
          </w14:textFill>
        </w:rPr>
        <w:t>乙方（出卖人）：</w:t>
      </w:r>
      <w:r>
        <w:rPr>
          <w:rFonts w:hint="eastAsia" w:ascii="黑体" w:eastAsia="黑体"/>
          <w:color w:val="000000" w:themeColor="text1"/>
          <w:sz w:val="24"/>
          <w:highlight w:val="none"/>
          <w:u w:val="single"/>
          <w14:textFill>
            <w14:solidFill>
              <w14:schemeClr w14:val="tx1"/>
            </w14:solidFill>
          </w14:textFill>
        </w:rPr>
        <w:t xml:space="preserve">           </w:t>
      </w:r>
    </w:p>
    <w:p>
      <w:pPr>
        <w:spacing w:line="360" w:lineRule="auto"/>
        <w:jc w:val="right"/>
        <w:rPr>
          <w:rFonts w:ascii="黑体" w:eastAsia="黑体"/>
          <w:color w:val="000000" w:themeColor="text1"/>
          <w:sz w:val="24"/>
          <w:highlight w:val="none"/>
          <w14:textFill>
            <w14:solidFill>
              <w14:schemeClr w14:val="tx1"/>
            </w14:solidFill>
          </w14:textFill>
        </w:rPr>
      </w:pPr>
      <w:r>
        <w:rPr>
          <w:rFonts w:hint="eastAsia" w:ascii="黑体" w:eastAsia="黑体"/>
          <w:color w:val="000000" w:themeColor="text1"/>
          <w:sz w:val="24"/>
          <w:highlight w:val="none"/>
          <w:u w:val="single"/>
          <w14:textFill>
            <w14:solidFill>
              <w14:schemeClr w14:val="tx1"/>
            </w14:solidFill>
          </w14:textFill>
        </w:rPr>
        <w:t xml:space="preserve">                          </w:t>
      </w:r>
      <w:r>
        <w:rPr>
          <w:rFonts w:hint="eastAsia" w:ascii="黑体" w:eastAsia="黑体"/>
          <w:color w:val="000000" w:themeColor="text1"/>
          <w:sz w:val="24"/>
          <w:highlight w:val="none"/>
          <w14:textFill>
            <w14:solidFill>
              <w14:schemeClr w14:val="tx1"/>
            </w14:solidFill>
          </w14:textFill>
        </w:rPr>
        <w:t>（盖章）</w:t>
      </w:r>
    </w:p>
    <w:p>
      <w:pPr>
        <w:jc w:val="center"/>
        <w:rPr>
          <w:rFonts w:ascii="微软雅黑" w:hAnsi="微软雅黑" w:eastAsia="微软雅黑"/>
          <w:color w:val="000000" w:themeColor="text1"/>
          <w:sz w:val="24"/>
          <w:highlight w:val="none"/>
          <w14:textFill>
            <w14:solidFill>
              <w14:schemeClr w14:val="tx1"/>
            </w14:solidFill>
          </w14:textFill>
        </w:rPr>
      </w:pPr>
      <w:r>
        <w:rPr>
          <w:rFonts w:ascii="宋体"/>
          <w:bCs/>
          <w:iCs/>
          <w:color w:val="000000" w:themeColor="text1"/>
          <w:highlight w:val="none"/>
          <w14:textFill>
            <w14:solidFill>
              <w14:schemeClr w14:val="tx1"/>
            </w14:solidFill>
          </w14:textFill>
        </w:rPr>
        <w:br w:type="page"/>
      </w:r>
      <w:r>
        <w:rPr>
          <w:rFonts w:hint="eastAsia" w:ascii="仿宋" w:hAnsi="仿宋" w:eastAsia="仿宋" w:cs="仿宋"/>
          <w:color w:val="000000" w:themeColor="text1"/>
          <w:sz w:val="44"/>
          <w:szCs w:val="44"/>
          <w:highlight w:val="none"/>
          <w14:textFill>
            <w14:solidFill>
              <w14:schemeClr w14:val="tx1"/>
            </w14:solidFill>
          </w14:textFill>
        </w:rPr>
        <w:t>中 标 通 知 书 样 式</w:t>
      </w:r>
    </w:p>
    <w:p>
      <w:pPr>
        <w:jc w:val="center"/>
        <w:rPr>
          <w:rFonts w:ascii="等线" w:hAnsi="等线" w:eastAsia="等线"/>
          <w:color w:val="000000" w:themeColor="text1"/>
          <w:szCs w:val="21"/>
          <w:highlight w:val="none"/>
          <w14:textFill>
            <w14:solidFill>
              <w14:schemeClr w14:val="tx1"/>
            </w14:solidFill>
          </w14:textFill>
        </w:rPr>
      </w:pPr>
    </w:p>
    <w:tbl>
      <w:tblPr>
        <w:tblStyle w:val="33"/>
        <w:tblW w:w="87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95"/>
        <w:gridCol w:w="63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774" w:type="dxa"/>
            <w:gridSpan w:val="2"/>
            <w:tcBorders>
              <w:top w:val="single" w:color="auto" w:sz="12" w:space="0"/>
              <w:bottom w:val="nil"/>
            </w:tcBorders>
            <w:vAlign w:val="bottom"/>
          </w:tcPr>
          <w:p>
            <w:pPr>
              <w:spacing w:line="720" w:lineRule="exact"/>
              <w:rPr>
                <w:rFonts w:ascii="仿宋" w:hAnsi="仿宋" w:eastAsia="仿宋"/>
                <w:color w:val="000000" w:themeColor="text1"/>
                <w:sz w:val="32"/>
                <w:szCs w:val="32"/>
                <w:highlight w:val="none"/>
                <w14:textFill>
                  <w14:solidFill>
                    <w14:schemeClr w14:val="tx1"/>
                  </w14:solidFill>
                </w14:textFill>
              </w:rPr>
            </w:pPr>
            <w:r>
              <w:rPr>
                <w:rFonts w:hint="eastAsia" w:ascii="仿宋" w:hAnsi="仿宋" w:eastAsia="仿宋"/>
                <w:color w:val="000000" w:themeColor="text1"/>
                <w:sz w:val="32"/>
                <w:szCs w:val="32"/>
                <w:highlight w:val="none"/>
                <w:u w:val="single"/>
                <w14:textFill>
                  <w14:solidFill>
                    <w14:schemeClr w14:val="tx1"/>
                  </w14:solidFill>
                </w14:textFill>
              </w:rPr>
              <w:t>（中标单位名称）：</w:t>
            </w:r>
          </w:p>
          <w:p>
            <w:pPr>
              <w:spacing w:line="720" w:lineRule="exact"/>
              <w:ind w:firstLine="600"/>
              <w:rPr>
                <w:rFonts w:ascii="仿宋" w:hAnsi="仿宋" w:eastAsia="仿宋"/>
                <w:color w:val="000000" w:themeColor="text1"/>
                <w:sz w:val="32"/>
                <w:szCs w:val="32"/>
                <w:highlight w:val="none"/>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我单位</w:t>
            </w:r>
            <w:r>
              <w:rPr>
                <w:rFonts w:hint="eastAsia" w:ascii="仿宋" w:hAnsi="仿宋" w:eastAsia="仿宋"/>
                <w:color w:val="000000" w:themeColor="text1"/>
                <w:sz w:val="32"/>
                <w:szCs w:val="32"/>
                <w:highlight w:val="none"/>
                <w:u w:val="single"/>
                <w14:textFill>
                  <w14:solidFill>
                    <w14:schemeClr w14:val="tx1"/>
                  </w14:solidFill>
                </w14:textFill>
              </w:rPr>
              <w:t>（项目名称）（项目编号）</w:t>
            </w:r>
            <w:r>
              <w:rPr>
                <w:rFonts w:hint="eastAsia" w:ascii="仿宋" w:hAnsi="仿宋" w:eastAsia="仿宋"/>
                <w:color w:val="000000" w:themeColor="text1"/>
                <w:sz w:val="32"/>
                <w:szCs w:val="32"/>
                <w:highlight w:val="none"/>
                <w14:textFill>
                  <w14:solidFill>
                    <w14:schemeClr w14:val="tx1"/>
                  </w14:solidFill>
                </w14:textFill>
              </w:rPr>
              <w:t>项目，经评审确定贵司为中标单位，中标金额：</w:t>
            </w:r>
            <w:r>
              <w:rPr>
                <w:rFonts w:hint="eastAsia" w:ascii="宋体" w:hAnsi="宋体" w:cs="宋体"/>
                <w:color w:val="000000" w:themeColor="text1"/>
                <w:sz w:val="32"/>
                <w:szCs w:val="32"/>
                <w:highlight w:val="none"/>
                <w:u w:val="single"/>
                <w14:textFill>
                  <w14:solidFill>
                    <w14:schemeClr w14:val="tx1"/>
                  </w14:solidFill>
                </w14:textFill>
              </w:rPr>
              <w:t>（中标金额数字及大写）</w:t>
            </w:r>
            <w:r>
              <w:rPr>
                <w:rFonts w:hint="eastAsia" w:ascii="仿宋" w:hAnsi="仿宋" w:eastAsia="仿宋"/>
                <w:color w:val="000000" w:themeColor="text1"/>
                <w:sz w:val="32"/>
                <w:szCs w:val="32"/>
                <w:highlight w:val="none"/>
                <w14:textFill>
                  <w14:solidFill>
                    <w14:schemeClr w14:val="tx1"/>
                  </w14:solidFill>
                </w14:textFill>
              </w:rPr>
              <w:t>。</w:t>
            </w:r>
          </w:p>
          <w:p>
            <w:pPr>
              <w:spacing w:line="720" w:lineRule="exact"/>
              <w:ind w:firstLine="600"/>
              <w:rPr>
                <w:rFonts w:ascii="仿宋" w:hAnsi="仿宋" w:eastAsia="仿宋"/>
                <w:b/>
                <w:color w:val="000000" w:themeColor="text1"/>
                <w:sz w:val="30"/>
                <w:szCs w:val="30"/>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请你单位在中标通知书发出之日起</w:t>
            </w:r>
            <w:r>
              <w:rPr>
                <w:rFonts w:hint="eastAsia" w:ascii="仿宋" w:hAnsi="仿宋" w:eastAsia="仿宋"/>
                <w:b/>
                <w:color w:val="000000" w:themeColor="text1"/>
                <w:sz w:val="32"/>
                <w:szCs w:val="32"/>
                <w:highlight w:val="none"/>
                <w:u w:val="single"/>
                <w14:textFill>
                  <w14:solidFill>
                    <w14:schemeClr w14:val="tx1"/>
                  </w14:solidFill>
                </w14:textFill>
              </w:rPr>
              <w:t>三十日内</w:t>
            </w:r>
            <w:r>
              <w:rPr>
                <w:rFonts w:hint="eastAsia" w:ascii="仿宋" w:hAnsi="仿宋" w:eastAsia="仿宋"/>
                <w:b/>
                <w:color w:val="000000" w:themeColor="text1"/>
                <w:sz w:val="32"/>
                <w:szCs w:val="32"/>
                <w:highlight w:val="none"/>
                <w14:textFill>
                  <w14:solidFill>
                    <w14:schemeClr w14:val="tx1"/>
                  </w14:solidFill>
                </w14:textFill>
              </w:rPr>
              <w:t>与采购单位签订合同。</w:t>
            </w: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ind w:firstLine="600"/>
              <w:rPr>
                <w:rFonts w:ascii="仿宋" w:hAnsi="仿宋" w:eastAsia="仿宋"/>
                <w:color w:val="000000" w:themeColor="text1"/>
                <w:sz w:val="30"/>
                <w:szCs w:val="30"/>
                <w:highlight w:val="none"/>
                <w14:textFill>
                  <w14:solidFill>
                    <w14:schemeClr w14:val="tx1"/>
                  </w14:solidFill>
                </w14:textFill>
              </w:rPr>
            </w:pPr>
          </w:p>
          <w:p>
            <w:pPr>
              <w:wordWrap w:val="0"/>
              <w:ind w:firstLine="600"/>
              <w:rPr>
                <w:rFonts w:ascii="仿宋" w:hAnsi="仿宋" w:eastAsia="仿宋"/>
                <w:color w:val="000000" w:themeColor="text1"/>
                <w:sz w:val="30"/>
                <w:szCs w:val="30"/>
                <w:highlight w:val="none"/>
                <w14:textFill>
                  <w14:solidFill>
                    <w14:schemeClr w14:val="tx1"/>
                  </w14:solidFill>
                </w14:textFill>
              </w:rPr>
            </w:pPr>
            <w:r>
              <w:rPr>
                <w:rFonts w:ascii="仿宋" w:hAnsi="仿宋" w:eastAsia="仿宋"/>
                <w:color w:val="000000" w:themeColor="text1"/>
                <w:sz w:val="30"/>
                <w:szCs w:val="30"/>
                <w:highlight w:val="none"/>
                <w14:textFill>
                  <w14:solidFill>
                    <w14:schemeClr w14:val="tx1"/>
                  </w14:solidFill>
                </w14:textFill>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395" w:type="dxa"/>
            <w:tcBorders>
              <w:top w:val="nil"/>
              <w:bottom w:val="single" w:color="auto" w:sz="6" w:space="0"/>
              <w:right w:val="nil"/>
            </w:tcBorders>
          </w:tcPr>
          <w:p>
            <w:pPr>
              <w:rPr>
                <w:rFonts w:ascii="仿宋" w:hAnsi="仿宋" w:eastAsia="仿宋"/>
                <w:color w:val="000000" w:themeColor="text1"/>
                <w:sz w:val="30"/>
                <w:szCs w:val="30"/>
                <w:highlight w:val="none"/>
                <w14:textFill>
                  <w14:solidFill>
                    <w14:schemeClr w14:val="tx1"/>
                  </w14:solidFill>
                </w14:textFill>
              </w:rPr>
            </w:pPr>
          </w:p>
        </w:tc>
        <w:tc>
          <w:tcPr>
            <w:tcW w:w="6379" w:type="dxa"/>
            <w:tcBorders>
              <w:top w:val="nil"/>
              <w:left w:val="nil"/>
              <w:bottom w:val="single" w:color="auto" w:sz="6" w:space="0"/>
            </w:tcBorders>
          </w:tcPr>
          <w:p>
            <w:pPr>
              <w:rPr>
                <w:rFonts w:ascii="仿宋" w:hAnsi="仿宋" w:eastAsia="仿宋"/>
                <w:color w:val="000000" w:themeColor="text1"/>
                <w:sz w:val="32"/>
                <w:szCs w:val="32"/>
                <w:highlight w:val="none"/>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采购单位：复旦大学</w:t>
            </w:r>
          </w:p>
          <w:p>
            <w:pPr>
              <w:wordWrap w:val="0"/>
              <w:rPr>
                <w:rFonts w:ascii="仿宋" w:hAnsi="仿宋" w:eastAsia="仿宋"/>
                <w:color w:val="000000" w:themeColor="text1"/>
                <w:sz w:val="32"/>
                <w:szCs w:val="32"/>
                <w:highlight w:val="none"/>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招标代理：上海银鑫建设咨询有限公司</w:t>
            </w:r>
          </w:p>
          <w:p>
            <w:pPr>
              <w:wordWrap w:val="0"/>
              <w:rPr>
                <w:rFonts w:ascii="仿宋" w:hAnsi="仿宋" w:eastAsia="仿宋"/>
                <w:color w:val="000000" w:themeColor="text1"/>
                <w:sz w:val="30"/>
                <w:szCs w:val="30"/>
                <w:highlight w:val="none"/>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日    期：</w:t>
            </w:r>
            <w:r>
              <w:rPr>
                <w:rFonts w:hint="eastAsia" w:ascii="仿宋" w:hAnsi="仿宋" w:eastAsia="仿宋"/>
                <w:color w:val="000000" w:themeColor="text1"/>
                <w:sz w:val="32"/>
                <w:szCs w:val="32"/>
                <w:highlight w:val="none"/>
                <w:u w:val="single"/>
                <w14:textFill>
                  <w14:solidFill>
                    <w14:schemeClr w14:val="tx1"/>
                  </w14:solidFill>
                </w14:textFill>
              </w:rPr>
              <w:t>2020年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 w:hRule="atLeast"/>
          <w:jc w:val="center"/>
        </w:trPr>
        <w:tc>
          <w:tcPr>
            <w:tcW w:w="8774" w:type="dxa"/>
            <w:gridSpan w:val="2"/>
            <w:tcBorders>
              <w:top w:val="single" w:color="auto" w:sz="6" w:space="0"/>
              <w:bottom w:val="single" w:color="auto" w:sz="12" w:space="0"/>
            </w:tcBorders>
          </w:tcPr>
          <w:p>
            <w:pPr>
              <w:jc w:val="left"/>
              <w:rPr>
                <w:rFonts w:ascii="仿宋" w:hAnsi="仿宋" w:eastAsia="仿宋"/>
                <w:color w:val="000000" w:themeColor="text1"/>
                <w:szCs w:val="21"/>
                <w:highlight w:val="none"/>
                <w14:textFill>
                  <w14:solidFill>
                    <w14:schemeClr w14:val="tx1"/>
                  </w14:solidFill>
                </w14:textFill>
              </w:rPr>
            </w:pPr>
            <w:r>
              <w:rPr>
                <w:rFonts w:hint="eastAsia" w:ascii="仿宋" w:hAnsi="仿宋" w:eastAsia="仿宋"/>
                <w:color w:val="000000" w:themeColor="text1"/>
                <w:szCs w:val="21"/>
                <w:highlight w:val="none"/>
                <w14:textFill>
                  <w14:solidFill>
                    <w14:schemeClr w14:val="tx1"/>
                  </w14:solidFill>
                </w14:textFill>
              </w:rPr>
              <w:t>注：本项目已在财政部备案    是（</w:t>
            </w:r>
            <w:r>
              <w:rPr>
                <w:rFonts w:hint="eastAsia" w:ascii="宋体" w:hAnsi="宋体"/>
                <w:color w:val="000000" w:themeColor="text1"/>
                <w:szCs w:val="21"/>
                <w:highlight w:val="none"/>
                <w14:textFill>
                  <w14:solidFill>
                    <w14:schemeClr w14:val="tx1"/>
                  </w14:solidFill>
                </w14:textFill>
              </w:rPr>
              <w:t xml:space="preserve"> </w:t>
            </w:r>
            <w:r>
              <w:rPr>
                <w:rFonts w:hint="eastAsia" w:ascii="仿宋" w:hAnsi="仿宋" w:eastAsia="仿宋"/>
                <w:color w:val="000000" w:themeColor="text1"/>
                <w:szCs w:val="21"/>
                <w:highlight w:val="none"/>
                <w14:textFill>
                  <w14:solidFill>
                    <w14:schemeClr w14:val="tx1"/>
                  </w14:solidFill>
                </w14:textFill>
              </w:rPr>
              <w:t>）      否（ ）</w:t>
            </w:r>
          </w:p>
        </w:tc>
      </w:tr>
    </w:tbl>
    <w:p>
      <w:pPr>
        <w:spacing w:line="360" w:lineRule="auto"/>
        <w:ind w:right="420"/>
        <w:rPr>
          <w:rFonts w:ascii="宋体"/>
          <w:bCs/>
          <w:iCs/>
          <w:color w:val="000000" w:themeColor="text1"/>
          <w:highlight w:val="none"/>
          <w14:textFill>
            <w14:solidFill>
              <w14:schemeClr w14:val="tx1"/>
            </w14:solidFill>
          </w14:textFill>
        </w:rPr>
      </w:pPr>
    </w:p>
    <w:p>
      <w:pPr>
        <w:spacing w:line="840" w:lineRule="auto"/>
        <w:jc w:val="center"/>
        <w:rPr>
          <w:color w:val="000000" w:themeColor="text1"/>
          <w:sz w:val="24"/>
          <w:highlight w:val="none"/>
          <w14:textFill>
            <w14:solidFill>
              <w14:schemeClr w14:val="tx1"/>
            </w14:solidFill>
          </w14:textFill>
        </w:rPr>
      </w:pPr>
    </w:p>
    <w:sectPr>
      <w:footerReference r:id="rId9" w:type="first"/>
      <w:headerReference r:id="rId8"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Narrow">
    <w:altName w:val="Arial"/>
    <w:panose1 w:val="020B0606020202030204"/>
    <w:charset w:val="00"/>
    <w:family w:val="swiss"/>
    <w:pitch w:val="default"/>
    <w:sig w:usb0="00000000" w:usb1="00000000" w:usb2="00000000" w:usb3="00000000" w:csb0="000000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方正姚体">
    <w:altName w:val="宋体"/>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right" w:y="1"/>
      <w:rPr>
        <w:rStyle w:val="37"/>
      </w:rPr>
    </w:pPr>
    <w:r>
      <w:fldChar w:fldCharType="begin"/>
    </w:r>
    <w:r>
      <w:rPr>
        <w:rStyle w:val="37"/>
      </w:rPr>
      <w:instrText xml:space="preserve">PAGE  </w:instrText>
    </w:r>
    <w:r>
      <w:fldChar w:fldCharType="end"/>
    </w:r>
  </w:p>
  <w:p>
    <w:pPr>
      <w:pStyle w:val="2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2"/>
      </w:pBdr>
      <w:jc w:val="right"/>
      <w:rPr>
        <w:u w:val="single"/>
      </w:rPr>
    </w:pPr>
    <w:r>
      <w:fldChar w:fldCharType="begin"/>
    </w:r>
    <w:r>
      <w:rPr>
        <w:rStyle w:val="37"/>
      </w:rPr>
      <w:instrText xml:space="preserve"> PAGE </w:instrText>
    </w:r>
    <w:r>
      <w:fldChar w:fldCharType="separate"/>
    </w:r>
    <w:r>
      <w:rPr>
        <w:rStyle w:val="37"/>
      </w:rPr>
      <w:t>54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right" w:y="1"/>
      <w:rPr>
        <w:rStyle w:val="37"/>
      </w:rPr>
    </w:pPr>
    <w:r>
      <w:fldChar w:fldCharType="begin"/>
    </w:r>
    <w:r>
      <w:rPr>
        <w:rStyle w:val="37"/>
      </w:rPr>
      <w:instrText xml:space="preserve">PAGE  </w:instrText>
    </w:r>
    <w:r>
      <w:fldChar w:fldCharType="separate"/>
    </w:r>
    <w:r>
      <w:rPr>
        <w:rStyle w:val="37"/>
      </w:rPr>
      <w:t>27</w:t>
    </w:r>
    <w:r>
      <w:fldChar w:fldCharType="end"/>
    </w:r>
  </w:p>
  <w:p>
    <w:pPr>
      <w:pStyle w:val="23"/>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57</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9F42"/>
    <w:multiLevelType w:val="multilevel"/>
    <w:tmpl w:val="04529F42"/>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A14E42"/>
    <w:multiLevelType w:val="multilevel"/>
    <w:tmpl w:val="58A14E42"/>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98A3411"/>
    <w:multiLevelType w:val="multilevel"/>
    <w:tmpl w:val="698A3411"/>
    <w:lvl w:ilvl="0" w:tentative="0">
      <w:start w:val="1"/>
      <w:numFmt w:val="lowerLetter"/>
      <w:lvlText w:val="%1)"/>
      <w:lvlJc w:val="left"/>
      <w:pPr>
        <w:ind w:left="420" w:hanging="420"/>
      </w:pPr>
      <w:rPr>
        <w:rFonts w:hint="eastAsia"/>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6A2084A"/>
    <w:multiLevelType w:val="multilevel"/>
    <w:tmpl w:val="76A2084A"/>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D8108AD"/>
    <w:multiLevelType w:val="multilevel"/>
    <w:tmpl w:val="7D8108AD"/>
    <w:lvl w:ilvl="0" w:tentative="0">
      <w:start w:val="1"/>
      <w:numFmt w:val="lowerLetter"/>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2B6AA53F-F9DF-4A71-A7F8-545572ED206F}" w:val="6xRi7tcyT2KHSLke1vrjIs983WmDZ+Pd4CUN0VXqAGBolYpOhz/fgaub=EM5JFnwQ"/>
    <w:docVar w:name="DocumentID" w:val="{A5B8245F-8486-46F4-AE32-F70B89B1D153}"/>
  </w:docVars>
  <w:rsids>
    <w:rsidRoot w:val="008C5F6D"/>
    <w:rsid w:val="000004E0"/>
    <w:rsid w:val="000006EC"/>
    <w:rsid w:val="000008BC"/>
    <w:rsid w:val="00001454"/>
    <w:rsid w:val="00001633"/>
    <w:rsid w:val="0000171E"/>
    <w:rsid w:val="00001812"/>
    <w:rsid w:val="0000398E"/>
    <w:rsid w:val="00003A53"/>
    <w:rsid w:val="00003C9D"/>
    <w:rsid w:val="00005800"/>
    <w:rsid w:val="000065BA"/>
    <w:rsid w:val="00007CD2"/>
    <w:rsid w:val="000104D2"/>
    <w:rsid w:val="00010B7A"/>
    <w:rsid w:val="000116B3"/>
    <w:rsid w:val="00011828"/>
    <w:rsid w:val="0001367B"/>
    <w:rsid w:val="000141B3"/>
    <w:rsid w:val="00014E86"/>
    <w:rsid w:val="00017B81"/>
    <w:rsid w:val="00017F3E"/>
    <w:rsid w:val="00023B85"/>
    <w:rsid w:val="00023C17"/>
    <w:rsid w:val="000246A9"/>
    <w:rsid w:val="000260A1"/>
    <w:rsid w:val="00026C76"/>
    <w:rsid w:val="00030C86"/>
    <w:rsid w:val="000342D3"/>
    <w:rsid w:val="00036FBB"/>
    <w:rsid w:val="00040C6F"/>
    <w:rsid w:val="000416CC"/>
    <w:rsid w:val="000432E9"/>
    <w:rsid w:val="00044657"/>
    <w:rsid w:val="000446A9"/>
    <w:rsid w:val="00044E5D"/>
    <w:rsid w:val="00045434"/>
    <w:rsid w:val="00046FE2"/>
    <w:rsid w:val="00047343"/>
    <w:rsid w:val="0005098F"/>
    <w:rsid w:val="00050C0B"/>
    <w:rsid w:val="00051070"/>
    <w:rsid w:val="000514C2"/>
    <w:rsid w:val="00051E1B"/>
    <w:rsid w:val="000527E2"/>
    <w:rsid w:val="00053333"/>
    <w:rsid w:val="00053591"/>
    <w:rsid w:val="000544CD"/>
    <w:rsid w:val="00055EEE"/>
    <w:rsid w:val="00056262"/>
    <w:rsid w:val="000575AA"/>
    <w:rsid w:val="00057DF8"/>
    <w:rsid w:val="00060501"/>
    <w:rsid w:val="0006138F"/>
    <w:rsid w:val="00062B0F"/>
    <w:rsid w:val="000642B0"/>
    <w:rsid w:val="00064EBB"/>
    <w:rsid w:val="0006544F"/>
    <w:rsid w:val="00066359"/>
    <w:rsid w:val="00066567"/>
    <w:rsid w:val="00070238"/>
    <w:rsid w:val="00070D94"/>
    <w:rsid w:val="0007120B"/>
    <w:rsid w:val="00071B2F"/>
    <w:rsid w:val="00071EDB"/>
    <w:rsid w:val="0007220E"/>
    <w:rsid w:val="00072DE0"/>
    <w:rsid w:val="00072E21"/>
    <w:rsid w:val="00072FD1"/>
    <w:rsid w:val="00073C9D"/>
    <w:rsid w:val="00074880"/>
    <w:rsid w:val="00074D45"/>
    <w:rsid w:val="00075406"/>
    <w:rsid w:val="00076457"/>
    <w:rsid w:val="00077304"/>
    <w:rsid w:val="000819AA"/>
    <w:rsid w:val="00081C1A"/>
    <w:rsid w:val="0008367B"/>
    <w:rsid w:val="00083B86"/>
    <w:rsid w:val="00083DD5"/>
    <w:rsid w:val="000861B3"/>
    <w:rsid w:val="000878FD"/>
    <w:rsid w:val="000879CA"/>
    <w:rsid w:val="00087D81"/>
    <w:rsid w:val="00090B12"/>
    <w:rsid w:val="00090C34"/>
    <w:rsid w:val="00090F73"/>
    <w:rsid w:val="000912BB"/>
    <w:rsid w:val="000924DB"/>
    <w:rsid w:val="00092FE0"/>
    <w:rsid w:val="000935DE"/>
    <w:rsid w:val="0009410A"/>
    <w:rsid w:val="00094A7A"/>
    <w:rsid w:val="00095696"/>
    <w:rsid w:val="000958A8"/>
    <w:rsid w:val="00095E5C"/>
    <w:rsid w:val="000966F5"/>
    <w:rsid w:val="00097741"/>
    <w:rsid w:val="000A0F6E"/>
    <w:rsid w:val="000A1659"/>
    <w:rsid w:val="000A1930"/>
    <w:rsid w:val="000A1FEB"/>
    <w:rsid w:val="000A2751"/>
    <w:rsid w:val="000A2AED"/>
    <w:rsid w:val="000A3163"/>
    <w:rsid w:val="000A320B"/>
    <w:rsid w:val="000A401D"/>
    <w:rsid w:val="000A4975"/>
    <w:rsid w:val="000A5285"/>
    <w:rsid w:val="000A5AB2"/>
    <w:rsid w:val="000A5CEA"/>
    <w:rsid w:val="000A6330"/>
    <w:rsid w:val="000A6B92"/>
    <w:rsid w:val="000B061B"/>
    <w:rsid w:val="000B0B71"/>
    <w:rsid w:val="000B16D0"/>
    <w:rsid w:val="000B4A78"/>
    <w:rsid w:val="000B4EA0"/>
    <w:rsid w:val="000B4FED"/>
    <w:rsid w:val="000B50DC"/>
    <w:rsid w:val="000B5614"/>
    <w:rsid w:val="000B6136"/>
    <w:rsid w:val="000B7236"/>
    <w:rsid w:val="000C075F"/>
    <w:rsid w:val="000C0BEC"/>
    <w:rsid w:val="000C16B6"/>
    <w:rsid w:val="000C1AC2"/>
    <w:rsid w:val="000C2870"/>
    <w:rsid w:val="000C2BAB"/>
    <w:rsid w:val="000C4F53"/>
    <w:rsid w:val="000C51D7"/>
    <w:rsid w:val="000C7559"/>
    <w:rsid w:val="000C75F5"/>
    <w:rsid w:val="000C7D87"/>
    <w:rsid w:val="000D0108"/>
    <w:rsid w:val="000D0328"/>
    <w:rsid w:val="000D05AE"/>
    <w:rsid w:val="000D0AC8"/>
    <w:rsid w:val="000D1912"/>
    <w:rsid w:val="000D364B"/>
    <w:rsid w:val="000D5D6C"/>
    <w:rsid w:val="000D6C08"/>
    <w:rsid w:val="000D6E6C"/>
    <w:rsid w:val="000E0617"/>
    <w:rsid w:val="000E0ED7"/>
    <w:rsid w:val="000E12D8"/>
    <w:rsid w:val="000E2984"/>
    <w:rsid w:val="000E3A94"/>
    <w:rsid w:val="000E41CE"/>
    <w:rsid w:val="000E43DA"/>
    <w:rsid w:val="000E4694"/>
    <w:rsid w:val="000E76E6"/>
    <w:rsid w:val="000F0A57"/>
    <w:rsid w:val="000F0ACE"/>
    <w:rsid w:val="000F2F85"/>
    <w:rsid w:val="000F37F0"/>
    <w:rsid w:val="000F3D65"/>
    <w:rsid w:val="000F3FDE"/>
    <w:rsid w:val="000F423E"/>
    <w:rsid w:val="000F4AC7"/>
    <w:rsid w:val="000F529D"/>
    <w:rsid w:val="000F5C79"/>
    <w:rsid w:val="000F65E8"/>
    <w:rsid w:val="000F66EC"/>
    <w:rsid w:val="000F6D32"/>
    <w:rsid w:val="000F7200"/>
    <w:rsid w:val="001000C2"/>
    <w:rsid w:val="001003A6"/>
    <w:rsid w:val="00102567"/>
    <w:rsid w:val="00102802"/>
    <w:rsid w:val="0010409E"/>
    <w:rsid w:val="00104384"/>
    <w:rsid w:val="00105066"/>
    <w:rsid w:val="00105627"/>
    <w:rsid w:val="00105BD3"/>
    <w:rsid w:val="00106D71"/>
    <w:rsid w:val="0011429B"/>
    <w:rsid w:val="001155B2"/>
    <w:rsid w:val="001167FD"/>
    <w:rsid w:val="001175A0"/>
    <w:rsid w:val="00117E84"/>
    <w:rsid w:val="00122CE2"/>
    <w:rsid w:val="00123B90"/>
    <w:rsid w:val="00123B93"/>
    <w:rsid w:val="0012458C"/>
    <w:rsid w:val="001245D3"/>
    <w:rsid w:val="00124B16"/>
    <w:rsid w:val="001253E4"/>
    <w:rsid w:val="00125544"/>
    <w:rsid w:val="0012590C"/>
    <w:rsid w:val="001272B0"/>
    <w:rsid w:val="00127CB4"/>
    <w:rsid w:val="00127D0E"/>
    <w:rsid w:val="00131A3B"/>
    <w:rsid w:val="00132106"/>
    <w:rsid w:val="00133EAF"/>
    <w:rsid w:val="00135745"/>
    <w:rsid w:val="001359C4"/>
    <w:rsid w:val="001366CF"/>
    <w:rsid w:val="00136CF5"/>
    <w:rsid w:val="00137CB8"/>
    <w:rsid w:val="001402F9"/>
    <w:rsid w:val="0014087B"/>
    <w:rsid w:val="00140CE6"/>
    <w:rsid w:val="001431DE"/>
    <w:rsid w:val="00143A09"/>
    <w:rsid w:val="00143A24"/>
    <w:rsid w:val="00144C66"/>
    <w:rsid w:val="001451EB"/>
    <w:rsid w:val="001511DF"/>
    <w:rsid w:val="00152280"/>
    <w:rsid w:val="001526ED"/>
    <w:rsid w:val="0015384D"/>
    <w:rsid w:val="00153A55"/>
    <w:rsid w:val="00154E8F"/>
    <w:rsid w:val="00155640"/>
    <w:rsid w:val="00155A6F"/>
    <w:rsid w:val="001578B2"/>
    <w:rsid w:val="00160E8A"/>
    <w:rsid w:val="00163370"/>
    <w:rsid w:val="00163472"/>
    <w:rsid w:val="00164CB2"/>
    <w:rsid w:val="0016547C"/>
    <w:rsid w:val="001654FC"/>
    <w:rsid w:val="001655CE"/>
    <w:rsid w:val="00166B16"/>
    <w:rsid w:val="00167C3E"/>
    <w:rsid w:val="001728F3"/>
    <w:rsid w:val="00172DC3"/>
    <w:rsid w:val="001740F5"/>
    <w:rsid w:val="001745B9"/>
    <w:rsid w:val="001752F7"/>
    <w:rsid w:val="00176E6C"/>
    <w:rsid w:val="0017759D"/>
    <w:rsid w:val="00177969"/>
    <w:rsid w:val="001779CE"/>
    <w:rsid w:val="00177E9F"/>
    <w:rsid w:val="00180151"/>
    <w:rsid w:val="0018074F"/>
    <w:rsid w:val="0018195E"/>
    <w:rsid w:val="00182723"/>
    <w:rsid w:val="0018285E"/>
    <w:rsid w:val="00182A48"/>
    <w:rsid w:val="00183FE4"/>
    <w:rsid w:val="0018425B"/>
    <w:rsid w:val="00184FB9"/>
    <w:rsid w:val="00185476"/>
    <w:rsid w:val="0018592A"/>
    <w:rsid w:val="001866C2"/>
    <w:rsid w:val="00186C76"/>
    <w:rsid w:val="00186FA9"/>
    <w:rsid w:val="00187393"/>
    <w:rsid w:val="00187C91"/>
    <w:rsid w:val="00187E8B"/>
    <w:rsid w:val="0019020F"/>
    <w:rsid w:val="00190731"/>
    <w:rsid w:val="00192462"/>
    <w:rsid w:val="00193714"/>
    <w:rsid w:val="00194AC9"/>
    <w:rsid w:val="00195783"/>
    <w:rsid w:val="00195E52"/>
    <w:rsid w:val="00197122"/>
    <w:rsid w:val="00197AE1"/>
    <w:rsid w:val="001A11CE"/>
    <w:rsid w:val="001A18A3"/>
    <w:rsid w:val="001A20A7"/>
    <w:rsid w:val="001A397F"/>
    <w:rsid w:val="001A40DF"/>
    <w:rsid w:val="001A414A"/>
    <w:rsid w:val="001A498B"/>
    <w:rsid w:val="001A50D2"/>
    <w:rsid w:val="001A51C2"/>
    <w:rsid w:val="001A66BB"/>
    <w:rsid w:val="001A6731"/>
    <w:rsid w:val="001A6815"/>
    <w:rsid w:val="001A698C"/>
    <w:rsid w:val="001A6D2C"/>
    <w:rsid w:val="001A79BE"/>
    <w:rsid w:val="001B0452"/>
    <w:rsid w:val="001B0620"/>
    <w:rsid w:val="001B0A7B"/>
    <w:rsid w:val="001B0AE6"/>
    <w:rsid w:val="001B0C9F"/>
    <w:rsid w:val="001B15A0"/>
    <w:rsid w:val="001B1748"/>
    <w:rsid w:val="001B2A7E"/>
    <w:rsid w:val="001B3458"/>
    <w:rsid w:val="001B3D17"/>
    <w:rsid w:val="001B3EA4"/>
    <w:rsid w:val="001B3F92"/>
    <w:rsid w:val="001B79CA"/>
    <w:rsid w:val="001C0E29"/>
    <w:rsid w:val="001C0E66"/>
    <w:rsid w:val="001C129E"/>
    <w:rsid w:val="001C2A68"/>
    <w:rsid w:val="001C30A7"/>
    <w:rsid w:val="001C397F"/>
    <w:rsid w:val="001C3FF3"/>
    <w:rsid w:val="001C7509"/>
    <w:rsid w:val="001C756B"/>
    <w:rsid w:val="001C7808"/>
    <w:rsid w:val="001D0609"/>
    <w:rsid w:val="001D0792"/>
    <w:rsid w:val="001D1EA8"/>
    <w:rsid w:val="001D2806"/>
    <w:rsid w:val="001D49A5"/>
    <w:rsid w:val="001D4D89"/>
    <w:rsid w:val="001D5427"/>
    <w:rsid w:val="001E076C"/>
    <w:rsid w:val="001E0CC3"/>
    <w:rsid w:val="001E1F27"/>
    <w:rsid w:val="001E2FD0"/>
    <w:rsid w:val="001E3C22"/>
    <w:rsid w:val="001E3D5E"/>
    <w:rsid w:val="001E5B02"/>
    <w:rsid w:val="001E5B9B"/>
    <w:rsid w:val="001E667E"/>
    <w:rsid w:val="001E73D8"/>
    <w:rsid w:val="001E770B"/>
    <w:rsid w:val="001F08A7"/>
    <w:rsid w:val="001F1CAC"/>
    <w:rsid w:val="001F1F4D"/>
    <w:rsid w:val="001F2CF3"/>
    <w:rsid w:val="001F3ED6"/>
    <w:rsid w:val="001F4755"/>
    <w:rsid w:val="001F49FA"/>
    <w:rsid w:val="001F4A44"/>
    <w:rsid w:val="001F5AF6"/>
    <w:rsid w:val="001F739D"/>
    <w:rsid w:val="00200BF7"/>
    <w:rsid w:val="00201FBD"/>
    <w:rsid w:val="00202011"/>
    <w:rsid w:val="00203E84"/>
    <w:rsid w:val="00203EBE"/>
    <w:rsid w:val="0020423E"/>
    <w:rsid w:val="00204B21"/>
    <w:rsid w:val="00204E0C"/>
    <w:rsid w:val="0020520D"/>
    <w:rsid w:val="00205866"/>
    <w:rsid w:val="00207939"/>
    <w:rsid w:val="00211848"/>
    <w:rsid w:val="002128EF"/>
    <w:rsid w:val="00213F70"/>
    <w:rsid w:val="002141A3"/>
    <w:rsid w:val="00214678"/>
    <w:rsid w:val="00214CFC"/>
    <w:rsid w:val="00215160"/>
    <w:rsid w:val="0021636C"/>
    <w:rsid w:val="002169FD"/>
    <w:rsid w:val="0022044F"/>
    <w:rsid w:val="00222366"/>
    <w:rsid w:val="00222381"/>
    <w:rsid w:val="00223277"/>
    <w:rsid w:val="002233D0"/>
    <w:rsid w:val="00224BAA"/>
    <w:rsid w:val="00225921"/>
    <w:rsid w:val="00225ACB"/>
    <w:rsid w:val="00225EBF"/>
    <w:rsid w:val="002265E2"/>
    <w:rsid w:val="00226715"/>
    <w:rsid w:val="00227010"/>
    <w:rsid w:val="00227C6F"/>
    <w:rsid w:val="00230217"/>
    <w:rsid w:val="00230D70"/>
    <w:rsid w:val="0023239E"/>
    <w:rsid w:val="0023366A"/>
    <w:rsid w:val="0023371A"/>
    <w:rsid w:val="00233D11"/>
    <w:rsid w:val="00233F8A"/>
    <w:rsid w:val="00235C5A"/>
    <w:rsid w:val="002372E7"/>
    <w:rsid w:val="00237B2A"/>
    <w:rsid w:val="00240420"/>
    <w:rsid w:val="00241572"/>
    <w:rsid w:val="00244209"/>
    <w:rsid w:val="00244255"/>
    <w:rsid w:val="00244EE3"/>
    <w:rsid w:val="0024731C"/>
    <w:rsid w:val="002474BA"/>
    <w:rsid w:val="00250D5A"/>
    <w:rsid w:val="00251C6E"/>
    <w:rsid w:val="002524A2"/>
    <w:rsid w:val="00253484"/>
    <w:rsid w:val="0025410D"/>
    <w:rsid w:val="00254208"/>
    <w:rsid w:val="002545E3"/>
    <w:rsid w:val="0025467C"/>
    <w:rsid w:val="00254D10"/>
    <w:rsid w:val="00254DEC"/>
    <w:rsid w:val="002552EF"/>
    <w:rsid w:val="002555A3"/>
    <w:rsid w:val="002556CF"/>
    <w:rsid w:val="002565B5"/>
    <w:rsid w:val="00257724"/>
    <w:rsid w:val="00260E5C"/>
    <w:rsid w:val="0026226A"/>
    <w:rsid w:val="002624A6"/>
    <w:rsid w:val="00262E53"/>
    <w:rsid w:val="0026391B"/>
    <w:rsid w:val="0026398E"/>
    <w:rsid w:val="0026585B"/>
    <w:rsid w:val="002708FD"/>
    <w:rsid w:val="00271B10"/>
    <w:rsid w:val="00272332"/>
    <w:rsid w:val="00272B5D"/>
    <w:rsid w:val="00273E06"/>
    <w:rsid w:val="00275941"/>
    <w:rsid w:val="00275C7D"/>
    <w:rsid w:val="00275DE2"/>
    <w:rsid w:val="00275EEA"/>
    <w:rsid w:val="002779C5"/>
    <w:rsid w:val="00280750"/>
    <w:rsid w:val="00281F9B"/>
    <w:rsid w:val="00283892"/>
    <w:rsid w:val="002842BB"/>
    <w:rsid w:val="002847A7"/>
    <w:rsid w:val="00286DB0"/>
    <w:rsid w:val="00286EE7"/>
    <w:rsid w:val="00287738"/>
    <w:rsid w:val="00290727"/>
    <w:rsid w:val="00290811"/>
    <w:rsid w:val="00292D6E"/>
    <w:rsid w:val="00294087"/>
    <w:rsid w:val="00294EE5"/>
    <w:rsid w:val="002960AA"/>
    <w:rsid w:val="00297862"/>
    <w:rsid w:val="002A05E6"/>
    <w:rsid w:val="002A0A3A"/>
    <w:rsid w:val="002A0F9C"/>
    <w:rsid w:val="002A1F80"/>
    <w:rsid w:val="002A2CE0"/>
    <w:rsid w:val="002A4061"/>
    <w:rsid w:val="002A5814"/>
    <w:rsid w:val="002A5B70"/>
    <w:rsid w:val="002A678C"/>
    <w:rsid w:val="002A6A1D"/>
    <w:rsid w:val="002B041E"/>
    <w:rsid w:val="002B191A"/>
    <w:rsid w:val="002B2805"/>
    <w:rsid w:val="002B30E7"/>
    <w:rsid w:val="002B3A73"/>
    <w:rsid w:val="002B3C00"/>
    <w:rsid w:val="002B3C48"/>
    <w:rsid w:val="002B430B"/>
    <w:rsid w:val="002B594A"/>
    <w:rsid w:val="002B5AC4"/>
    <w:rsid w:val="002B78D0"/>
    <w:rsid w:val="002C0B0A"/>
    <w:rsid w:val="002C191D"/>
    <w:rsid w:val="002C246C"/>
    <w:rsid w:val="002C2707"/>
    <w:rsid w:val="002C2D0F"/>
    <w:rsid w:val="002C4BDA"/>
    <w:rsid w:val="002C4FD1"/>
    <w:rsid w:val="002C53B3"/>
    <w:rsid w:val="002C6711"/>
    <w:rsid w:val="002C67FA"/>
    <w:rsid w:val="002C6AD4"/>
    <w:rsid w:val="002C7223"/>
    <w:rsid w:val="002C73D5"/>
    <w:rsid w:val="002C7EF2"/>
    <w:rsid w:val="002D22DD"/>
    <w:rsid w:val="002D2C31"/>
    <w:rsid w:val="002D3B71"/>
    <w:rsid w:val="002D46CA"/>
    <w:rsid w:val="002D4854"/>
    <w:rsid w:val="002D729C"/>
    <w:rsid w:val="002D74A2"/>
    <w:rsid w:val="002D7A73"/>
    <w:rsid w:val="002E05B8"/>
    <w:rsid w:val="002E05E9"/>
    <w:rsid w:val="002E1054"/>
    <w:rsid w:val="002E245E"/>
    <w:rsid w:val="002E2FE1"/>
    <w:rsid w:val="002E3458"/>
    <w:rsid w:val="002E5E2F"/>
    <w:rsid w:val="002E77A6"/>
    <w:rsid w:val="002E7BC9"/>
    <w:rsid w:val="002F0760"/>
    <w:rsid w:val="002F1000"/>
    <w:rsid w:val="002F10C8"/>
    <w:rsid w:val="002F1459"/>
    <w:rsid w:val="002F2F42"/>
    <w:rsid w:val="002F5293"/>
    <w:rsid w:val="002F6631"/>
    <w:rsid w:val="002F7470"/>
    <w:rsid w:val="002F7B12"/>
    <w:rsid w:val="00300593"/>
    <w:rsid w:val="00300628"/>
    <w:rsid w:val="00300862"/>
    <w:rsid w:val="0030094B"/>
    <w:rsid w:val="00300EE2"/>
    <w:rsid w:val="00301F42"/>
    <w:rsid w:val="003029AE"/>
    <w:rsid w:val="00302A8F"/>
    <w:rsid w:val="00302F36"/>
    <w:rsid w:val="00304E46"/>
    <w:rsid w:val="003054FD"/>
    <w:rsid w:val="00306CEA"/>
    <w:rsid w:val="0030735B"/>
    <w:rsid w:val="00310620"/>
    <w:rsid w:val="00311A31"/>
    <w:rsid w:val="003128A5"/>
    <w:rsid w:val="0032001B"/>
    <w:rsid w:val="00320FE1"/>
    <w:rsid w:val="0032150E"/>
    <w:rsid w:val="00321870"/>
    <w:rsid w:val="00323749"/>
    <w:rsid w:val="0032416D"/>
    <w:rsid w:val="00326D70"/>
    <w:rsid w:val="003270C2"/>
    <w:rsid w:val="00331A61"/>
    <w:rsid w:val="00332AD6"/>
    <w:rsid w:val="00332DE1"/>
    <w:rsid w:val="00333790"/>
    <w:rsid w:val="00334151"/>
    <w:rsid w:val="003349F4"/>
    <w:rsid w:val="00334DF1"/>
    <w:rsid w:val="003353C9"/>
    <w:rsid w:val="00335BF6"/>
    <w:rsid w:val="003364A7"/>
    <w:rsid w:val="00337B01"/>
    <w:rsid w:val="003418E9"/>
    <w:rsid w:val="00341FB1"/>
    <w:rsid w:val="00343993"/>
    <w:rsid w:val="00344148"/>
    <w:rsid w:val="003443D5"/>
    <w:rsid w:val="00345409"/>
    <w:rsid w:val="003461FE"/>
    <w:rsid w:val="003516E8"/>
    <w:rsid w:val="00351786"/>
    <w:rsid w:val="00351F3F"/>
    <w:rsid w:val="003523DE"/>
    <w:rsid w:val="00352AE9"/>
    <w:rsid w:val="00352C4F"/>
    <w:rsid w:val="003530CD"/>
    <w:rsid w:val="00353255"/>
    <w:rsid w:val="00353FC9"/>
    <w:rsid w:val="00354A72"/>
    <w:rsid w:val="00354EE9"/>
    <w:rsid w:val="0035595B"/>
    <w:rsid w:val="00356F2B"/>
    <w:rsid w:val="00360674"/>
    <w:rsid w:val="00360AD6"/>
    <w:rsid w:val="00360B73"/>
    <w:rsid w:val="00360C4B"/>
    <w:rsid w:val="00361094"/>
    <w:rsid w:val="00361B86"/>
    <w:rsid w:val="0036203B"/>
    <w:rsid w:val="0036247C"/>
    <w:rsid w:val="003624EB"/>
    <w:rsid w:val="00362550"/>
    <w:rsid w:val="003627DC"/>
    <w:rsid w:val="0036387B"/>
    <w:rsid w:val="00363AAB"/>
    <w:rsid w:val="00363DAE"/>
    <w:rsid w:val="003640E3"/>
    <w:rsid w:val="00364C3F"/>
    <w:rsid w:val="00365C07"/>
    <w:rsid w:val="003662B2"/>
    <w:rsid w:val="00366978"/>
    <w:rsid w:val="00367064"/>
    <w:rsid w:val="00367B7A"/>
    <w:rsid w:val="00367CB7"/>
    <w:rsid w:val="003703E9"/>
    <w:rsid w:val="00371C98"/>
    <w:rsid w:val="00371CD5"/>
    <w:rsid w:val="00372A1D"/>
    <w:rsid w:val="00372B40"/>
    <w:rsid w:val="00373446"/>
    <w:rsid w:val="003736B1"/>
    <w:rsid w:val="00373B72"/>
    <w:rsid w:val="0037593C"/>
    <w:rsid w:val="00376053"/>
    <w:rsid w:val="00376307"/>
    <w:rsid w:val="0037791A"/>
    <w:rsid w:val="00377D43"/>
    <w:rsid w:val="0038029F"/>
    <w:rsid w:val="003818FE"/>
    <w:rsid w:val="003820D4"/>
    <w:rsid w:val="00382557"/>
    <w:rsid w:val="00382D04"/>
    <w:rsid w:val="00383610"/>
    <w:rsid w:val="003836A6"/>
    <w:rsid w:val="003844EE"/>
    <w:rsid w:val="00387CF0"/>
    <w:rsid w:val="00390268"/>
    <w:rsid w:val="00390D78"/>
    <w:rsid w:val="00391982"/>
    <w:rsid w:val="00391FA9"/>
    <w:rsid w:val="003925AF"/>
    <w:rsid w:val="003929B7"/>
    <w:rsid w:val="003936DE"/>
    <w:rsid w:val="00393D72"/>
    <w:rsid w:val="0039679C"/>
    <w:rsid w:val="00397DD3"/>
    <w:rsid w:val="003A022C"/>
    <w:rsid w:val="003A037D"/>
    <w:rsid w:val="003A03C2"/>
    <w:rsid w:val="003A1B4F"/>
    <w:rsid w:val="003A50AD"/>
    <w:rsid w:val="003A61F2"/>
    <w:rsid w:val="003A6762"/>
    <w:rsid w:val="003A7CCF"/>
    <w:rsid w:val="003B0A58"/>
    <w:rsid w:val="003B11D7"/>
    <w:rsid w:val="003B1D0D"/>
    <w:rsid w:val="003B2310"/>
    <w:rsid w:val="003B2571"/>
    <w:rsid w:val="003B2693"/>
    <w:rsid w:val="003B2C0F"/>
    <w:rsid w:val="003B3CFB"/>
    <w:rsid w:val="003B411E"/>
    <w:rsid w:val="003B7E61"/>
    <w:rsid w:val="003C101F"/>
    <w:rsid w:val="003C157C"/>
    <w:rsid w:val="003C372A"/>
    <w:rsid w:val="003C3DE7"/>
    <w:rsid w:val="003C420B"/>
    <w:rsid w:val="003C4E4E"/>
    <w:rsid w:val="003C636E"/>
    <w:rsid w:val="003C7E9F"/>
    <w:rsid w:val="003D01C6"/>
    <w:rsid w:val="003D0D43"/>
    <w:rsid w:val="003D0D95"/>
    <w:rsid w:val="003D1637"/>
    <w:rsid w:val="003D29A2"/>
    <w:rsid w:val="003D32EB"/>
    <w:rsid w:val="003D33BA"/>
    <w:rsid w:val="003D42F9"/>
    <w:rsid w:val="003D5081"/>
    <w:rsid w:val="003D5550"/>
    <w:rsid w:val="003D7E93"/>
    <w:rsid w:val="003E1188"/>
    <w:rsid w:val="003E1857"/>
    <w:rsid w:val="003E209C"/>
    <w:rsid w:val="003E2443"/>
    <w:rsid w:val="003E3825"/>
    <w:rsid w:val="003E5E91"/>
    <w:rsid w:val="003F0E3F"/>
    <w:rsid w:val="003F12D0"/>
    <w:rsid w:val="003F1D9D"/>
    <w:rsid w:val="003F56FD"/>
    <w:rsid w:val="003F6027"/>
    <w:rsid w:val="003F69E0"/>
    <w:rsid w:val="00400228"/>
    <w:rsid w:val="0040031B"/>
    <w:rsid w:val="004023CF"/>
    <w:rsid w:val="004025F6"/>
    <w:rsid w:val="0040280C"/>
    <w:rsid w:val="00403BC2"/>
    <w:rsid w:val="00404700"/>
    <w:rsid w:val="00404737"/>
    <w:rsid w:val="00405027"/>
    <w:rsid w:val="00406A31"/>
    <w:rsid w:val="00406D21"/>
    <w:rsid w:val="00407DFD"/>
    <w:rsid w:val="00410119"/>
    <w:rsid w:val="004111C8"/>
    <w:rsid w:val="00411D41"/>
    <w:rsid w:val="00412C83"/>
    <w:rsid w:val="00412F41"/>
    <w:rsid w:val="004131B6"/>
    <w:rsid w:val="0041322C"/>
    <w:rsid w:val="00413330"/>
    <w:rsid w:val="00413A03"/>
    <w:rsid w:val="00413A86"/>
    <w:rsid w:val="00413CED"/>
    <w:rsid w:val="0041525E"/>
    <w:rsid w:val="004157DB"/>
    <w:rsid w:val="00417DBE"/>
    <w:rsid w:val="00420485"/>
    <w:rsid w:val="00420D4A"/>
    <w:rsid w:val="00422267"/>
    <w:rsid w:val="00424BD8"/>
    <w:rsid w:val="004255D1"/>
    <w:rsid w:val="00426C71"/>
    <w:rsid w:val="00427F3A"/>
    <w:rsid w:val="00431193"/>
    <w:rsid w:val="00431B99"/>
    <w:rsid w:val="0043267E"/>
    <w:rsid w:val="0043287B"/>
    <w:rsid w:val="004360F0"/>
    <w:rsid w:val="004367DE"/>
    <w:rsid w:val="0043758C"/>
    <w:rsid w:val="00440E0A"/>
    <w:rsid w:val="00441A56"/>
    <w:rsid w:val="00442C1E"/>
    <w:rsid w:val="00443266"/>
    <w:rsid w:val="00443A5C"/>
    <w:rsid w:val="0044407C"/>
    <w:rsid w:val="004441B0"/>
    <w:rsid w:val="004453AC"/>
    <w:rsid w:val="004466F1"/>
    <w:rsid w:val="0044741E"/>
    <w:rsid w:val="0044770F"/>
    <w:rsid w:val="00452C79"/>
    <w:rsid w:val="004532B7"/>
    <w:rsid w:val="00453DE4"/>
    <w:rsid w:val="004549E3"/>
    <w:rsid w:val="00455393"/>
    <w:rsid w:val="00455887"/>
    <w:rsid w:val="0045690E"/>
    <w:rsid w:val="00457879"/>
    <w:rsid w:val="00460453"/>
    <w:rsid w:val="00460B1C"/>
    <w:rsid w:val="00460E28"/>
    <w:rsid w:val="00461C43"/>
    <w:rsid w:val="0046292C"/>
    <w:rsid w:val="00463891"/>
    <w:rsid w:val="00464947"/>
    <w:rsid w:val="00465F0C"/>
    <w:rsid w:val="00466E3F"/>
    <w:rsid w:val="00470746"/>
    <w:rsid w:val="00471D1E"/>
    <w:rsid w:val="00472107"/>
    <w:rsid w:val="0047236A"/>
    <w:rsid w:val="004725AF"/>
    <w:rsid w:val="00472DB5"/>
    <w:rsid w:val="00472F1F"/>
    <w:rsid w:val="00474202"/>
    <w:rsid w:val="0047491A"/>
    <w:rsid w:val="00475190"/>
    <w:rsid w:val="004755BF"/>
    <w:rsid w:val="00475A0C"/>
    <w:rsid w:val="00475CAA"/>
    <w:rsid w:val="0047627F"/>
    <w:rsid w:val="00476756"/>
    <w:rsid w:val="00477171"/>
    <w:rsid w:val="00481458"/>
    <w:rsid w:val="00481B5F"/>
    <w:rsid w:val="00482AB0"/>
    <w:rsid w:val="00483DC1"/>
    <w:rsid w:val="004842B0"/>
    <w:rsid w:val="00484691"/>
    <w:rsid w:val="00485EAC"/>
    <w:rsid w:val="004867F9"/>
    <w:rsid w:val="004878CA"/>
    <w:rsid w:val="00490673"/>
    <w:rsid w:val="0049118E"/>
    <w:rsid w:val="0049164D"/>
    <w:rsid w:val="00491B8C"/>
    <w:rsid w:val="004925C8"/>
    <w:rsid w:val="0049327A"/>
    <w:rsid w:val="00493540"/>
    <w:rsid w:val="004946D4"/>
    <w:rsid w:val="0049553C"/>
    <w:rsid w:val="0049691D"/>
    <w:rsid w:val="00496D7A"/>
    <w:rsid w:val="0049713A"/>
    <w:rsid w:val="00497709"/>
    <w:rsid w:val="004A009C"/>
    <w:rsid w:val="004A0703"/>
    <w:rsid w:val="004A07B1"/>
    <w:rsid w:val="004A2CC7"/>
    <w:rsid w:val="004A2D6D"/>
    <w:rsid w:val="004A3187"/>
    <w:rsid w:val="004A3D49"/>
    <w:rsid w:val="004A400B"/>
    <w:rsid w:val="004A4ADE"/>
    <w:rsid w:val="004A4DAF"/>
    <w:rsid w:val="004A4F12"/>
    <w:rsid w:val="004A5096"/>
    <w:rsid w:val="004A5303"/>
    <w:rsid w:val="004A6E56"/>
    <w:rsid w:val="004A7213"/>
    <w:rsid w:val="004A721B"/>
    <w:rsid w:val="004A7AE0"/>
    <w:rsid w:val="004B29AE"/>
    <w:rsid w:val="004B2E8C"/>
    <w:rsid w:val="004B33DA"/>
    <w:rsid w:val="004B4209"/>
    <w:rsid w:val="004B4285"/>
    <w:rsid w:val="004B430E"/>
    <w:rsid w:val="004B5A7A"/>
    <w:rsid w:val="004B5F91"/>
    <w:rsid w:val="004B64B4"/>
    <w:rsid w:val="004B6AAF"/>
    <w:rsid w:val="004C1B1B"/>
    <w:rsid w:val="004C31FA"/>
    <w:rsid w:val="004C3286"/>
    <w:rsid w:val="004C3908"/>
    <w:rsid w:val="004C3AFB"/>
    <w:rsid w:val="004C3CF3"/>
    <w:rsid w:val="004C5F54"/>
    <w:rsid w:val="004C6412"/>
    <w:rsid w:val="004C6C91"/>
    <w:rsid w:val="004D1187"/>
    <w:rsid w:val="004D1756"/>
    <w:rsid w:val="004D2154"/>
    <w:rsid w:val="004D3124"/>
    <w:rsid w:val="004D3F03"/>
    <w:rsid w:val="004D49E1"/>
    <w:rsid w:val="004D5182"/>
    <w:rsid w:val="004D698D"/>
    <w:rsid w:val="004D744A"/>
    <w:rsid w:val="004E0EAE"/>
    <w:rsid w:val="004E1B5F"/>
    <w:rsid w:val="004E201D"/>
    <w:rsid w:val="004E2EC5"/>
    <w:rsid w:val="004E3D09"/>
    <w:rsid w:val="004E42FB"/>
    <w:rsid w:val="004E4340"/>
    <w:rsid w:val="004E5B1C"/>
    <w:rsid w:val="004E6BF1"/>
    <w:rsid w:val="004F13F8"/>
    <w:rsid w:val="004F1CA0"/>
    <w:rsid w:val="004F211A"/>
    <w:rsid w:val="004F6B3F"/>
    <w:rsid w:val="00502B31"/>
    <w:rsid w:val="005064EE"/>
    <w:rsid w:val="00506CE4"/>
    <w:rsid w:val="00506D9C"/>
    <w:rsid w:val="0050700B"/>
    <w:rsid w:val="005070DF"/>
    <w:rsid w:val="00507AFE"/>
    <w:rsid w:val="00507D9A"/>
    <w:rsid w:val="00511379"/>
    <w:rsid w:val="0051182A"/>
    <w:rsid w:val="0051210F"/>
    <w:rsid w:val="005128B5"/>
    <w:rsid w:val="00513A20"/>
    <w:rsid w:val="005155A3"/>
    <w:rsid w:val="00516E04"/>
    <w:rsid w:val="00516EA8"/>
    <w:rsid w:val="00516EC2"/>
    <w:rsid w:val="00522136"/>
    <w:rsid w:val="0052419D"/>
    <w:rsid w:val="005247C3"/>
    <w:rsid w:val="00524D54"/>
    <w:rsid w:val="00525C2C"/>
    <w:rsid w:val="0052644F"/>
    <w:rsid w:val="005268AB"/>
    <w:rsid w:val="00530900"/>
    <w:rsid w:val="00530D17"/>
    <w:rsid w:val="0053262B"/>
    <w:rsid w:val="00533C10"/>
    <w:rsid w:val="00533E0B"/>
    <w:rsid w:val="00535868"/>
    <w:rsid w:val="00535ED4"/>
    <w:rsid w:val="00536534"/>
    <w:rsid w:val="00537660"/>
    <w:rsid w:val="00540D39"/>
    <w:rsid w:val="005413FE"/>
    <w:rsid w:val="00541959"/>
    <w:rsid w:val="0054203D"/>
    <w:rsid w:val="005423FA"/>
    <w:rsid w:val="005425A5"/>
    <w:rsid w:val="00543A76"/>
    <w:rsid w:val="00543C13"/>
    <w:rsid w:val="00543D7D"/>
    <w:rsid w:val="005452B1"/>
    <w:rsid w:val="00545570"/>
    <w:rsid w:val="00545C57"/>
    <w:rsid w:val="005467FA"/>
    <w:rsid w:val="00546E1C"/>
    <w:rsid w:val="0055188D"/>
    <w:rsid w:val="00554B80"/>
    <w:rsid w:val="00555A7F"/>
    <w:rsid w:val="00556A15"/>
    <w:rsid w:val="00556E91"/>
    <w:rsid w:val="0055728A"/>
    <w:rsid w:val="00560A37"/>
    <w:rsid w:val="005610B4"/>
    <w:rsid w:val="005616F1"/>
    <w:rsid w:val="00561786"/>
    <w:rsid w:val="00562594"/>
    <w:rsid w:val="0056260C"/>
    <w:rsid w:val="00562628"/>
    <w:rsid w:val="0056394B"/>
    <w:rsid w:val="00563B02"/>
    <w:rsid w:val="00563D98"/>
    <w:rsid w:val="00563ECC"/>
    <w:rsid w:val="00564E53"/>
    <w:rsid w:val="0056639E"/>
    <w:rsid w:val="0056731A"/>
    <w:rsid w:val="00570107"/>
    <w:rsid w:val="00570C8A"/>
    <w:rsid w:val="0057154F"/>
    <w:rsid w:val="00574ACD"/>
    <w:rsid w:val="005754F8"/>
    <w:rsid w:val="00576434"/>
    <w:rsid w:val="00576858"/>
    <w:rsid w:val="00577BD3"/>
    <w:rsid w:val="00582052"/>
    <w:rsid w:val="00582D8A"/>
    <w:rsid w:val="00583EBA"/>
    <w:rsid w:val="00584C05"/>
    <w:rsid w:val="00585721"/>
    <w:rsid w:val="00586F7F"/>
    <w:rsid w:val="005870FE"/>
    <w:rsid w:val="005872FF"/>
    <w:rsid w:val="0058770D"/>
    <w:rsid w:val="00587981"/>
    <w:rsid w:val="00587E18"/>
    <w:rsid w:val="005900AE"/>
    <w:rsid w:val="00591162"/>
    <w:rsid w:val="00591C81"/>
    <w:rsid w:val="0059208E"/>
    <w:rsid w:val="005931B7"/>
    <w:rsid w:val="005933E9"/>
    <w:rsid w:val="005938F0"/>
    <w:rsid w:val="005945BC"/>
    <w:rsid w:val="0059506C"/>
    <w:rsid w:val="0059761A"/>
    <w:rsid w:val="005A0847"/>
    <w:rsid w:val="005A0A43"/>
    <w:rsid w:val="005A0F68"/>
    <w:rsid w:val="005A22AC"/>
    <w:rsid w:val="005A2CB3"/>
    <w:rsid w:val="005A33D2"/>
    <w:rsid w:val="005A4919"/>
    <w:rsid w:val="005A5808"/>
    <w:rsid w:val="005A5D24"/>
    <w:rsid w:val="005A6B48"/>
    <w:rsid w:val="005A723E"/>
    <w:rsid w:val="005A7F99"/>
    <w:rsid w:val="005B078D"/>
    <w:rsid w:val="005B0BED"/>
    <w:rsid w:val="005B301C"/>
    <w:rsid w:val="005B5F0A"/>
    <w:rsid w:val="005B60B7"/>
    <w:rsid w:val="005B64D1"/>
    <w:rsid w:val="005B69DB"/>
    <w:rsid w:val="005B7754"/>
    <w:rsid w:val="005C0A7C"/>
    <w:rsid w:val="005C134C"/>
    <w:rsid w:val="005C1643"/>
    <w:rsid w:val="005C23AD"/>
    <w:rsid w:val="005C261C"/>
    <w:rsid w:val="005C3440"/>
    <w:rsid w:val="005C3923"/>
    <w:rsid w:val="005C4379"/>
    <w:rsid w:val="005C5AA9"/>
    <w:rsid w:val="005C5D74"/>
    <w:rsid w:val="005C7CA8"/>
    <w:rsid w:val="005D02DC"/>
    <w:rsid w:val="005D0AAA"/>
    <w:rsid w:val="005D185D"/>
    <w:rsid w:val="005D1973"/>
    <w:rsid w:val="005D24F2"/>
    <w:rsid w:val="005D28F2"/>
    <w:rsid w:val="005D6758"/>
    <w:rsid w:val="005E0BF4"/>
    <w:rsid w:val="005E11D8"/>
    <w:rsid w:val="005E2623"/>
    <w:rsid w:val="005E2669"/>
    <w:rsid w:val="005E2DF6"/>
    <w:rsid w:val="005E3852"/>
    <w:rsid w:val="005E3EE0"/>
    <w:rsid w:val="005E51FD"/>
    <w:rsid w:val="005E53E9"/>
    <w:rsid w:val="005E6A9C"/>
    <w:rsid w:val="005E6F76"/>
    <w:rsid w:val="005E7B55"/>
    <w:rsid w:val="005E7D8B"/>
    <w:rsid w:val="005F00C8"/>
    <w:rsid w:val="005F05BF"/>
    <w:rsid w:val="005F0873"/>
    <w:rsid w:val="005F0B60"/>
    <w:rsid w:val="005F2E57"/>
    <w:rsid w:val="005F3C72"/>
    <w:rsid w:val="005F40D1"/>
    <w:rsid w:val="005F461B"/>
    <w:rsid w:val="005F4DD3"/>
    <w:rsid w:val="005F4E02"/>
    <w:rsid w:val="005F6CC8"/>
    <w:rsid w:val="005F6E3E"/>
    <w:rsid w:val="005F72FC"/>
    <w:rsid w:val="006007F2"/>
    <w:rsid w:val="00601464"/>
    <w:rsid w:val="00601C0B"/>
    <w:rsid w:val="0060211C"/>
    <w:rsid w:val="0060237F"/>
    <w:rsid w:val="00602EBE"/>
    <w:rsid w:val="0060456A"/>
    <w:rsid w:val="00605EFB"/>
    <w:rsid w:val="006069C2"/>
    <w:rsid w:val="00607E84"/>
    <w:rsid w:val="00611FEB"/>
    <w:rsid w:val="006135D0"/>
    <w:rsid w:val="00615DF8"/>
    <w:rsid w:val="0061747A"/>
    <w:rsid w:val="00620548"/>
    <w:rsid w:val="00620A9F"/>
    <w:rsid w:val="00622D84"/>
    <w:rsid w:val="00623398"/>
    <w:rsid w:val="00623C41"/>
    <w:rsid w:val="00623DAA"/>
    <w:rsid w:val="006244C8"/>
    <w:rsid w:val="00624E59"/>
    <w:rsid w:val="00625268"/>
    <w:rsid w:val="006263A6"/>
    <w:rsid w:val="00626AB8"/>
    <w:rsid w:val="00626AFC"/>
    <w:rsid w:val="00626D62"/>
    <w:rsid w:val="00631DC8"/>
    <w:rsid w:val="006342E0"/>
    <w:rsid w:val="00635B1F"/>
    <w:rsid w:val="00635C3B"/>
    <w:rsid w:val="006364C9"/>
    <w:rsid w:val="00636B08"/>
    <w:rsid w:val="0064004A"/>
    <w:rsid w:val="00641864"/>
    <w:rsid w:val="0064288F"/>
    <w:rsid w:val="0064406E"/>
    <w:rsid w:val="00644A6D"/>
    <w:rsid w:val="00645766"/>
    <w:rsid w:val="006459E2"/>
    <w:rsid w:val="00645A0F"/>
    <w:rsid w:val="00647EC1"/>
    <w:rsid w:val="00650B89"/>
    <w:rsid w:val="00651F85"/>
    <w:rsid w:val="00652B62"/>
    <w:rsid w:val="00652CB0"/>
    <w:rsid w:val="006536C8"/>
    <w:rsid w:val="00655779"/>
    <w:rsid w:val="00656517"/>
    <w:rsid w:val="00657DFD"/>
    <w:rsid w:val="00657FC2"/>
    <w:rsid w:val="00660012"/>
    <w:rsid w:val="00660D82"/>
    <w:rsid w:val="00661FE0"/>
    <w:rsid w:val="00662C1D"/>
    <w:rsid w:val="00662E28"/>
    <w:rsid w:val="006633D2"/>
    <w:rsid w:val="00665194"/>
    <w:rsid w:val="00665391"/>
    <w:rsid w:val="0066608E"/>
    <w:rsid w:val="00666A73"/>
    <w:rsid w:val="00666E0C"/>
    <w:rsid w:val="00666E3F"/>
    <w:rsid w:val="00667025"/>
    <w:rsid w:val="006674FC"/>
    <w:rsid w:val="00667789"/>
    <w:rsid w:val="00670816"/>
    <w:rsid w:val="006708F7"/>
    <w:rsid w:val="00670FA0"/>
    <w:rsid w:val="00671404"/>
    <w:rsid w:val="00671CAB"/>
    <w:rsid w:val="0067272D"/>
    <w:rsid w:val="006729DE"/>
    <w:rsid w:val="00672EC5"/>
    <w:rsid w:val="00672F57"/>
    <w:rsid w:val="0067400A"/>
    <w:rsid w:val="006749C4"/>
    <w:rsid w:val="006755EE"/>
    <w:rsid w:val="00675FA3"/>
    <w:rsid w:val="00676C44"/>
    <w:rsid w:val="00676E2B"/>
    <w:rsid w:val="00683AA3"/>
    <w:rsid w:val="00683F6D"/>
    <w:rsid w:val="00684437"/>
    <w:rsid w:val="006849F0"/>
    <w:rsid w:val="006856FC"/>
    <w:rsid w:val="00690E23"/>
    <w:rsid w:val="00693403"/>
    <w:rsid w:val="0069350A"/>
    <w:rsid w:val="00693678"/>
    <w:rsid w:val="00694568"/>
    <w:rsid w:val="006948EC"/>
    <w:rsid w:val="00695482"/>
    <w:rsid w:val="006960B9"/>
    <w:rsid w:val="00697F00"/>
    <w:rsid w:val="006A0207"/>
    <w:rsid w:val="006A0DF1"/>
    <w:rsid w:val="006A1467"/>
    <w:rsid w:val="006A2645"/>
    <w:rsid w:val="006A2AD0"/>
    <w:rsid w:val="006A41F0"/>
    <w:rsid w:val="006A5BC7"/>
    <w:rsid w:val="006A60F8"/>
    <w:rsid w:val="006B082E"/>
    <w:rsid w:val="006B1381"/>
    <w:rsid w:val="006B17D7"/>
    <w:rsid w:val="006B28E4"/>
    <w:rsid w:val="006B3FC9"/>
    <w:rsid w:val="006B48D0"/>
    <w:rsid w:val="006B4F90"/>
    <w:rsid w:val="006B5A6E"/>
    <w:rsid w:val="006B5C32"/>
    <w:rsid w:val="006B5C47"/>
    <w:rsid w:val="006B5FDC"/>
    <w:rsid w:val="006C020F"/>
    <w:rsid w:val="006C2B72"/>
    <w:rsid w:val="006C2C3B"/>
    <w:rsid w:val="006C406E"/>
    <w:rsid w:val="006C4D75"/>
    <w:rsid w:val="006C6836"/>
    <w:rsid w:val="006C7179"/>
    <w:rsid w:val="006D093D"/>
    <w:rsid w:val="006D1455"/>
    <w:rsid w:val="006D1B95"/>
    <w:rsid w:val="006D2837"/>
    <w:rsid w:val="006D338C"/>
    <w:rsid w:val="006D4611"/>
    <w:rsid w:val="006D51EB"/>
    <w:rsid w:val="006E0B85"/>
    <w:rsid w:val="006E0D78"/>
    <w:rsid w:val="006E1B72"/>
    <w:rsid w:val="006E2148"/>
    <w:rsid w:val="006E614D"/>
    <w:rsid w:val="006E629B"/>
    <w:rsid w:val="006F0C1C"/>
    <w:rsid w:val="006F17E5"/>
    <w:rsid w:val="006F1ECC"/>
    <w:rsid w:val="006F394B"/>
    <w:rsid w:val="006F3966"/>
    <w:rsid w:val="006F409F"/>
    <w:rsid w:val="006F490B"/>
    <w:rsid w:val="006F56CB"/>
    <w:rsid w:val="006F6285"/>
    <w:rsid w:val="007014D8"/>
    <w:rsid w:val="00701EE4"/>
    <w:rsid w:val="00702066"/>
    <w:rsid w:val="00702C2E"/>
    <w:rsid w:val="007033D6"/>
    <w:rsid w:val="00705656"/>
    <w:rsid w:val="00705B2E"/>
    <w:rsid w:val="00707070"/>
    <w:rsid w:val="007114D2"/>
    <w:rsid w:val="007130D1"/>
    <w:rsid w:val="00713497"/>
    <w:rsid w:val="00713C0F"/>
    <w:rsid w:val="00714D31"/>
    <w:rsid w:val="00714DF7"/>
    <w:rsid w:val="007156FA"/>
    <w:rsid w:val="007158D1"/>
    <w:rsid w:val="007158FE"/>
    <w:rsid w:val="00720125"/>
    <w:rsid w:val="00720D25"/>
    <w:rsid w:val="00722A75"/>
    <w:rsid w:val="00722B69"/>
    <w:rsid w:val="00722DE3"/>
    <w:rsid w:val="007234A8"/>
    <w:rsid w:val="007234E5"/>
    <w:rsid w:val="0072578E"/>
    <w:rsid w:val="00727C7E"/>
    <w:rsid w:val="0073027F"/>
    <w:rsid w:val="007315C5"/>
    <w:rsid w:val="00731C47"/>
    <w:rsid w:val="00732F01"/>
    <w:rsid w:val="0073416F"/>
    <w:rsid w:val="007355F3"/>
    <w:rsid w:val="007358A8"/>
    <w:rsid w:val="00735AA8"/>
    <w:rsid w:val="00736774"/>
    <w:rsid w:val="00737232"/>
    <w:rsid w:val="007375C4"/>
    <w:rsid w:val="00737655"/>
    <w:rsid w:val="00737B30"/>
    <w:rsid w:val="00737D61"/>
    <w:rsid w:val="00740CB3"/>
    <w:rsid w:val="00742CC9"/>
    <w:rsid w:val="00743420"/>
    <w:rsid w:val="00743C59"/>
    <w:rsid w:val="00744963"/>
    <w:rsid w:val="00744BB2"/>
    <w:rsid w:val="00744FC6"/>
    <w:rsid w:val="00745124"/>
    <w:rsid w:val="00745341"/>
    <w:rsid w:val="007456B5"/>
    <w:rsid w:val="0074608E"/>
    <w:rsid w:val="00746BFE"/>
    <w:rsid w:val="00747698"/>
    <w:rsid w:val="007476EB"/>
    <w:rsid w:val="00750FDE"/>
    <w:rsid w:val="0075191A"/>
    <w:rsid w:val="007528FE"/>
    <w:rsid w:val="007536CF"/>
    <w:rsid w:val="00754941"/>
    <w:rsid w:val="0075519F"/>
    <w:rsid w:val="0075556A"/>
    <w:rsid w:val="007556D5"/>
    <w:rsid w:val="00755959"/>
    <w:rsid w:val="007560E2"/>
    <w:rsid w:val="007563A8"/>
    <w:rsid w:val="00756E30"/>
    <w:rsid w:val="00757FC5"/>
    <w:rsid w:val="00760754"/>
    <w:rsid w:val="007608C6"/>
    <w:rsid w:val="007611C1"/>
    <w:rsid w:val="007612F4"/>
    <w:rsid w:val="00761ACD"/>
    <w:rsid w:val="00761BAC"/>
    <w:rsid w:val="00764661"/>
    <w:rsid w:val="00764C29"/>
    <w:rsid w:val="00764E33"/>
    <w:rsid w:val="0076566E"/>
    <w:rsid w:val="00765867"/>
    <w:rsid w:val="007661E0"/>
    <w:rsid w:val="0076792D"/>
    <w:rsid w:val="00767A21"/>
    <w:rsid w:val="007710DA"/>
    <w:rsid w:val="00771228"/>
    <w:rsid w:val="0077172E"/>
    <w:rsid w:val="00771856"/>
    <w:rsid w:val="00773153"/>
    <w:rsid w:val="0077374B"/>
    <w:rsid w:val="0077476E"/>
    <w:rsid w:val="007754EC"/>
    <w:rsid w:val="00777A2D"/>
    <w:rsid w:val="00780042"/>
    <w:rsid w:val="00780C32"/>
    <w:rsid w:val="00780F5F"/>
    <w:rsid w:val="0078443C"/>
    <w:rsid w:val="00787C3A"/>
    <w:rsid w:val="0079057D"/>
    <w:rsid w:val="0079125A"/>
    <w:rsid w:val="00792025"/>
    <w:rsid w:val="007931B0"/>
    <w:rsid w:val="00793CF5"/>
    <w:rsid w:val="00794429"/>
    <w:rsid w:val="00794477"/>
    <w:rsid w:val="00794B39"/>
    <w:rsid w:val="00794CB6"/>
    <w:rsid w:val="00795C8B"/>
    <w:rsid w:val="00796437"/>
    <w:rsid w:val="00797DC3"/>
    <w:rsid w:val="007A27C0"/>
    <w:rsid w:val="007A2BA8"/>
    <w:rsid w:val="007A5BB9"/>
    <w:rsid w:val="007A6B45"/>
    <w:rsid w:val="007B17E9"/>
    <w:rsid w:val="007B27C2"/>
    <w:rsid w:val="007B3C2F"/>
    <w:rsid w:val="007B4838"/>
    <w:rsid w:val="007B50BE"/>
    <w:rsid w:val="007B59D6"/>
    <w:rsid w:val="007B70BE"/>
    <w:rsid w:val="007C0BD3"/>
    <w:rsid w:val="007C1133"/>
    <w:rsid w:val="007C1B40"/>
    <w:rsid w:val="007C20AE"/>
    <w:rsid w:val="007C21AC"/>
    <w:rsid w:val="007C25F8"/>
    <w:rsid w:val="007C2814"/>
    <w:rsid w:val="007C282C"/>
    <w:rsid w:val="007C39AF"/>
    <w:rsid w:val="007C3A88"/>
    <w:rsid w:val="007C5753"/>
    <w:rsid w:val="007C67F3"/>
    <w:rsid w:val="007C763A"/>
    <w:rsid w:val="007D09DA"/>
    <w:rsid w:val="007D4351"/>
    <w:rsid w:val="007D46B7"/>
    <w:rsid w:val="007D46F7"/>
    <w:rsid w:val="007D49BB"/>
    <w:rsid w:val="007D5912"/>
    <w:rsid w:val="007D649C"/>
    <w:rsid w:val="007D73FB"/>
    <w:rsid w:val="007E14DD"/>
    <w:rsid w:val="007E1E8A"/>
    <w:rsid w:val="007E332A"/>
    <w:rsid w:val="007E3334"/>
    <w:rsid w:val="007E3A8E"/>
    <w:rsid w:val="007E3AC9"/>
    <w:rsid w:val="007E431B"/>
    <w:rsid w:val="007E5F77"/>
    <w:rsid w:val="007E7139"/>
    <w:rsid w:val="007E7CB2"/>
    <w:rsid w:val="007F0C94"/>
    <w:rsid w:val="007F1943"/>
    <w:rsid w:val="007F28DF"/>
    <w:rsid w:val="007F33CF"/>
    <w:rsid w:val="007F3956"/>
    <w:rsid w:val="007F3AC6"/>
    <w:rsid w:val="007F3D8A"/>
    <w:rsid w:val="007F4AC6"/>
    <w:rsid w:val="007F7C01"/>
    <w:rsid w:val="0080113E"/>
    <w:rsid w:val="00801692"/>
    <w:rsid w:val="00801B2F"/>
    <w:rsid w:val="00802651"/>
    <w:rsid w:val="00802AFE"/>
    <w:rsid w:val="008030EB"/>
    <w:rsid w:val="00803170"/>
    <w:rsid w:val="00803C44"/>
    <w:rsid w:val="0080614B"/>
    <w:rsid w:val="008069ED"/>
    <w:rsid w:val="00807042"/>
    <w:rsid w:val="00810254"/>
    <w:rsid w:val="00810F95"/>
    <w:rsid w:val="00812B6C"/>
    <w:rsid w:val="0081405E"/>
    <w:rsid w:val="00814399"/>
    <w:rsid w:val="00817047"/>
    <w:rsid w:val="0081758E"/>
    <w:rsid w:val="00817BBB"/>
    <w:rsid w:val="00817DF6"/>
    <w:rsid w:val="008200B3"/>
    <w:rsid w:val="008202D5"/>
    <w:rsid w:val="0082081D"/>
    <w:rsid w:val="00820836"/>
    <w:rsid w:val="00821747"/>
    <w:rsid w:val="00822194"/>
    <w:rsid w:val="00822B00"/>
    <w:rsid w:val="00823979"/>
    <w:rsid w:val="00823CF4"/>
    <w:rsid w:val="00824788"/>
    <w:rsid w:val="008257F4"/>
    <w:rsid w:val="00825AE9"/>
    <w:rsid w:val="00825CFC"/>
    <w:rsid w:val="0082794E"/>
    <w:rsid w:val="008306DD"/>
    <w:rsid w:val="00830CED"/>
    <w:rsid w:val="00833AEE"/>
    <w:rsid w:val="00833DA4"/>
    <w:rsid w:val="00834018"/>
    <w:rsid w:val="008346DD"/>
    <w:rsid w:val="00834B76"/>
    <w:rsid w:val="00835E13"/>
    <w:rsid w:val="0083633F"/>
    <w:rsid w:val="008366BA"/>
    <w:rsid w:val="008377DB"/>
    <w:rsid w:val="00837DFE"/>
    <w:rsid w:val="008401C0"/>
    <w:rsid w:val="00842A7B"/>
    <w:rsid w:val="00842FF9"/>
    <w:rsid w:val="008432FB"/>
    <w:rsid w:val="00843CEA"/>
    <w:rsid w:val="00845068"/>
    <w:rsid w:val="00845A86"/>
    <w:rsid w:val="0084683C"/>
    <w:rsid w:val="008473B7"/>
    <w:rsid w:val="0085001F"/>
    <w:rsid w:val="00850CF1"/>
    <w:rsid w:val="00851BE4"/>
    <w:rsid w:val="00851CC9"/>
    <w:rsid w:val="008529D9"/>
    <w:rsid w:val="0085349C"/>
    <w:rsid w:val="00853FBD"/>
    <w:rsid w:val="008549D6"/>
    <w:rsid w:val="00855152"/>
    <w:rsid w:val="00855179"/>
    <w:rsid w:val="00855787"/>
    <w:rsid w:val="00856C82"/>
    <w:rsid w:val="0085783D"/>
    <w:rsid w:val="008579D2"/>
    <w:rsid w:val="008601DB"/>
    <w:rsid w:val="0086061F"/>
    <w:rsid w:val="00860643"/>
    <w:rsid w:val="00860A60"/>
    <w:rsid w:val="00863CC1"/>
    <w:rsid w:val="00863E18"/>
    <w:rsid w:val="008652A1"/>
    <w:rsid w:val="008657B9"/>
    <w:rsid w:val="00866AA6"/>
    <w:rsid w:val="00867716"/>
    <w:rsid w:val="00870226"/>
    <w:rsid w:val="00870888"/>
    <w:rsid w:val="00871141"/>
    <w:rsid w:val="00871E35"/>
    <w:rsid w:val="0087286B"/>
    <w:rsid w:val="00872883"/>
    <w:rsid w:val="00873211"/>
    <w:rsid w:val="00873296"/>
    <w:rsid w:val="00873E9A"/>
    <w:rsid w:val="00874232"/>
    <w:rsid w:val="00875575"/>
    <w:rsid w:val="00876EB9"/>
    <w:rsid w:val="0087718F"/>
    <w:rsid w:val="0087765D"/>
    <w:rsid w:val="00877937"/>
    <w:rsid w:val="00877E5A"/>
    <w:rsid w:val="00880A90"/>
    <w:rsid w:val="00881C98"/>
    <w:rsid w:val="00882519"/>
    <w:rsid w:val="00882D94"/>
    <w:rsid w:val="00883A69"/>
    <w:rsid w:val="0088467D"/>
    <w:rsid w:val="0088475F"/>
    <w:rsid w:val="008851A1"/>
    <w:rsid w:val="008866EB"/>
    <w:rsid w:val="00890A99"/>
    <w:rsid w:val="00890DF2"/>
    <w:rsid w:val="00892FCC"/>
    <w:rsid w:val="00892FFB"/>
    <w:rsid w:val="00893313"/>
    <w:rsid w:val="0089356A"/>
    <w:rsid w:val="008935D9"/>
    <w:rsid w:val="00894F2B"/>
    <w:rsid w:val="008950EF"/>
    <w:rsid w:val="00895DA3"/>
    <w:rsid w:val="00897E0B"/>
    <w:rsid w:val="008A0B7D"/>
    <w:rsid w:val="008A144C"/>
    <w:rsid w:val="008A2548"/>
    <w:rsid w:val="008A4347"/>
    <w:rsid w:val="008A4CE2"/>
    <w:rsid w:val="008A657C"/>
    <w:rsid w:val="008B01A2"/>
    <w:rsid w:val="008B2915"/>
    <w:rsid w:val="008B3A5B"/>
    <w:rsid w:val="008B4430"/>
    <w:rsid w:val="008B553F"/>
    <w:rsid w:val="008C0218"/>
    <w:rsid w:val="008C0ECA"/>
    <w:rsid w:val="008C1298"/>
    <w:rsid w:val="008C18F6"/>
    <w:rsid w:val="008C2CB3"/>
    <w:rsid w:val="008C54BE"/>
    <w:rsid w:val="008C54D0"/>
    <w:rsid w:val="008C5875"/>
    <w:rsid w:val="008C5F6D"/>
    <w:rsid w:val="008C6B24"/>
    <w:rsid w:val="008D1C27"/>
    <w:rsid w:val="008D232D"/>
    <w:rsid w:val="008D287C"/>
    <w:rsid w:val="008D2C82"/>
    <w:rsid w:val="008D3B3E"/>
    <w:rsid w:val="008D459A"/>
    <w:rsid w:val="008D45BC"/>
    <w:rsid w:val="008D4740"/>
    <w:rsid w:val="008D5FBC"/>
    <w:rsid w:val="008D6C66"/>
    <w:rsid w:val="008D76C0"/>
    <w:rsid w:val="008E05D3"/>
    <w:rsid w:val="008E1A09"/>
    <w:rsid w:val="008E1E5F"/>
    <w:rsid w:val="008E2855"/>
    <w:rsid w:val="008E4056"/>
    <w:rsid w:val="008E4BB6"/>
    <w:rsid w:val="008E6FDB"/>
    <w:rsid w:val="008E7271"/>
    <w:rsid w:val="008E7DAD"/>
    <w:rsid w:val="008F0459"/>
    <w:rsid w:val="008F32AF"/>
    <w:rsid w:val="008F44C7"/>
    <w:rsid w:val="008F70E3"/>
    <w:rsid w:val="008F7B4A"/>
    <w:rsid w:val="00900C0C"/>
    <w:rsid w:val="00900E34"/>
    <w:rsid w:val="00901377"/>
    <w:rsid w:val="00901958"/>
    <w:rsid w:val="0090282B"/>
    <w:rsid w:val="0090323E"/>
    <w:rsid w:val="00903AFF"/>
    <w:rsid w:val="00903E6F"/>
    <w:rsid w:val="009040FA"/>
    <w:rsid w:val="00904C85"/>
    <w:rsid w:val="0090508D"/>
    <w:rsid w:val="009055BD"/>
    <w:rsid w:val="00906757"/>
    <w:rsid w:val="00906825"/>
    <w:rsid w:val="009075F6"/>
    <w:rsid w:val="00907D42"/>
    <w:rsid w:val="00911195"/>
    <w:rsid w:val="009112E8"/>
    <w:rsid w:val="00911498"/>
    <w:rsid w:val="00911EBA"/>
    <w:rsid w:val="0091235E"/>
    <w:rsid w:val="00913123"/>
    <w:rsid w:val="0091331F"/>
    <w:rsid w:val="00914133"/>
    <w:rsid w:val="00915418"/>
    <w:rsid w:val="00915712"/>
    <w:rsid w:val="009166F6"/>
    <w:rsid w:val="009178ED"/>
    <w:rsid w:val="00917BD5"/>
    <w:rsid w:val="00917BEA"/>
    <w:rsid w:val="009208B7"/>
    <w:rsid w:val="00922E17"/>
    <w:rsid w:val="009236B4"/>
    <w:rsid w:val="0092547A"/>
    <w:rsid w:val="009307EC"/>
    <w:rsid w:val="00932071"/>
    <w:rsid w:val="00933562"/>
    <w:rsid w:val="009346D5"/>
    <w:rsid w:val="00936117"/>
    <w:rsid w:val="009361DD"/>
    <w:rsid w:val="00937836"/>
    <w:rsid w:val="00942179"/>
    <w:rsid w:val="00942CCE"/>
    <w:rsid w:val="00943851"/>
    <w:rsid w:val="00943E81"/>
    <w:rsid w:val="0094688A"/>
    <w:rsid w:val="00946E2A"/>
    <w:rsid w:val="009470E9"/>
    <w:rsid w:val="00947BDF"/>
    <w:rsid w:val="00950176"/>
    <w:rsid w:val="0095073E"/>
    <w:rsid w:val="009507B1"/>
    <w:rsid w:val="0095098B"/>
    <w:rsid w:val="00950CF6"/>
    <w:rsid w:val="00951069"/>
    <w:rsid w:val="00951769"/>
    <w:rsid w:val="009527C2"/>
    <w:rsid w:val="00952E0A"/>
    <w:rsid w:val="00954B05"/>
    <w:rsid w:val="00956307"/>
    <w:rsid w:val="009566C6"/>
    <w:rsid w:val="00960F9D"/>
    <w:rsid w:val="00962690"/>
    <w:rsid w:val="00962856"/>
    <w:rsid w:val="00962B58"/>
    <w:rsid w:val="00963341"/>
    <w:rsid w:val="0096337E"/>
    <w:rsid w:val="00963DDE"/>
    <w:rsid w:val="00963EE6"/>
    <w:rsid w:val="00964622"/>
    <w:rsid w:val="00964D6C"/>
    <w:rsid w:val="00966650"/>
    <w:rsid w:val="00966A89"/>
    <w:rsid w:val="00966AB4"/>
    <w:rsid w:val="00966D32"/>
    <w:rsid w:val="0096792A"/>
    <w:rsid w:val="00967F1E"/>
    <w:rsid w:val="0097088E"/>
    <w:rsid w:val="0097228E"/>
    <w:rsid w:val="009744E0"/>
    <w:rsid w:val="00974764"/>
    <w:rsid w:val="009751C0"/>
    <w:rsid w:val="00976793"/>
    <w:rsid w:val="0097697E"/>
    <w:rsid w:val="00977217"/>
    <w:rsid w:val="00980F6C"/>
    <w:rsid w:val="00981B1A"/>
    <w:rsid w:val="00981D64"/>
    <w:rsid w:val="009839DF"/>
    <w:rsid w:val="00983E37"/>
    <w:rsid w:val="00983FFE"/>
    <w:rsid w:val="009850A1"/>
    <w:rsid w:val="0098513F"/>
    <w:rsid w:val="00987EE2"/>
    <w:rsid w:val="009902E7"/>
    <w:rsid w:val="00991256"/>
    <w:rsid w:val="00991C9A"/>
    <w:rsid w:val="00992F50"/>
    <w:rsid w:val="0099310F"/>
    <w:rsid w:val="00994D67"/>
    <w:rsid w:val="00995118"/>
    <w:rsid w:val="009951D3"/>
    <w:rsid w:val="0099526D"/>
    <w:rsid w:val="00996AEC"/>
    <w:rsid w:val="00997837"/>
    <w:rsid w:val="009A0EEE"/>
    <w:rsid w:val="009A254D"/>
    <w:rsid w:val="009A2F2E"/>
    <w:rsid w:val="009A30F8"/>
    <w:rsid w:val="009A425B"/>
    <w:rsid w:val="009A5534"/>
    <w:rsid w:val="009A5590"/>
    <w:rsid w:val="009A61B5"/>
    <w:rsid w:val="009A63EF"/>
    <w:rsid w:val="009A78F0"/>
    <w:rsid w:val="009B0272"/>
    <w:rsid w:val="009B0339"/>
    <w:rsid w:val="009B068B"/>
    <w:rsid w:val="009B1181"/>
    <w:rsid w:val="009B3682"/>
    <w:rsid w:val="009B4BB2"/>
    <w:rsid w:val="009B4CAF"/>
    <w:rsid w:val="009B579A"/>
    <w:rsid w:val="009B57BF"/>
    <w:rsid w:val="009B632E"/>
    <w:rsid w:val="009B68CF"/>
    <w:rsid w:val="009B6CD0"/>
    <w:rsid w:val="009B78FC"/>
    <w:rsid w:val="009C0702"/>
    <w:rsid w:val="009C0E14"/>
    <w:rsid w:val="009C113D"/>
    <w:rsid w:val="009C1659"/>
    <w:rsid w:val="009C4425"/>
    <w:rsid w:val="009C6CCE"/>
    <w:rsid w:val="009C7237"/>
    <w:rsid w:val="009C7572"/>
    <w:rsid w:val="009D1C0F"/>
    <w:rsid w:val="009D2CBB"/>
    <w:rsid w:val="009D381A"/>
    <w:rsid w:val="009D4140"/>
    <w:rsid w:val="009D54A6"/>
    <w:rsid w:val="009E119D"/>
    <w:rsid w:val="009E2BA4"/>
    <w:rsid w:val="009E35A7"/>
    <w:rsid w:val="009E4D6C"/>
    <w:rsid w:val="009E528E"/>
    <w:rsid w:val="009E54F6"/>
    <w:rsid w:val="009E5A5F"/>
    <w:rsid w:val="009E6FA2"/>
    <w:rsid w:val="009E7259"/>
    <w:rsid w:val="009E7992"/>
    <w:rsid w:val="009E7D4A"/>
    <w:rsid w:val="009F0D7E"/>
    <w:rsid w:val="009F1C08"/>
    <w:rsid w:val="009F1E54"/>
    <w:rsid w:val="009F1E61"/>
    <w:rsid w:val="009F2097"/>
    <w:rsid w:val="009F2AAD"/>
    <w:rsid w:val="009F2C23"/>
    <w:rsid w:val="009F3853"/>
    <w:rsid w:val="009F4A07"/>
    <w:rsid w:val="009F4AF3"/>
    <w:rsid w:val="009F6012"/>
    <w:rsid w:val="009F67BB"/>
    <w:rsid w:val="009F7420"/>
    <w:rsid w:val="00A0015C"/>
    <w:rsid w:val="00A00877"/>
    <w:rsid w:val="00A00CD1"/>
    <w:rsid w:val="00A0101B"/>
    <w:rsid w:val="00A013F2"/>
    <w:rsid w:val="00A020EE"/>
    <w:rsid w:val="00A02F5B"/>
    <w:rsid w:val="00A03439"/>
    <w:rsid w:val="00A03936"/>
    <w:rsid w:val="00A042E1"/>
    <w:rsid w:val="00A051BE"/>
    <w:rsid w:val="00A054B6"/>
    <w:rsid w:val="00A06399"/>
    <w:rsid w:val="00A06DB7"/>
    <w:rsid w:val="00A07097"/>
    <w:rsid w:val="00A070E7"/>
    <w:rsid w:val="00A0717D"/>
    <w:rsid w:val="00A10614"/>
    <w:rsid w:val="00A11C09"/>
    <w:rsid w:val="00A12706"/>
    <w:rsid w:val="00A12D6C"/>
    <w:rsid w:val="00A13347"/>
    <w:rsid w:val="00A13DEE"/>
    <w:rsid w:val="00A1486E"/>
    <w:rsid w:val="00A148AB"/>
    <w:rsid w:val="00A1544B"/>
    <w:rsid w:val="00A177E9"/>
    <w:rsid w:val="00A21778"/>
    <w:rsid w:val="00A219C7"/>
    <w:rsid w:val="00A2269D"/>
    <w:rsid w:val="00A22832"/>
    <w:rsid w:val="00A252A0"/>
    <w:rsid w:val="00A262AF"/>
    <w:rsid w:val="00A2632E"/>
    <w:rsid w:val="00A30456"/>
    <w:rsid w:val="00A31885"/>
    <w:rsid w:val="00A31D74"/>
    <w:rsid w:val="00A32030"/>
    <w:rsid w:val="00A321B7"/>
    <w:rsid w:val="00A32BB2"/>
    <w:rsid w:val="00A32DF0"/>
    <w:rsid w:val="00A34917"/>
    <w:rsid w:val="00A35A6B"/>
    <w:rsid w:val="00A36057"/>
    <w:rsid w:val="00A362E6"/>
    <w:rsid w:val="00A366E5"/>
    <w:rsid w:val="00A36C4B"/>
    <w:rsid w:val="00A36DEF"/>
    <w:rsid w:val="00A42266"/>
    <w:rsid w:val="00A42937"/>
    <w:rsid w:val="00A43136"/>
    <w:rsid w:val="00A431E0"/>
    <w:rsid w:val="00A43794"/>
    <w:rsid w:val="00A466CF"/>
    <w:rsid w:val="00A46F3B"/>
    <w:rsid w:val="00A47F14"/>
    <w:rsid w:val="00A47F2A"/>
    <w:rsid w:val="00A50C3A"/>
    <w:rsid w:val="00A50C95"/>
    <w:rsid w:val="00A52041"/>
    <w:rsid w:val="00A52660"/>
    <w:rsid w:val="00A52B51"/>
    <w:rsid w:val="00A53741"/>
    <w:rsid w:val="00A53B08"/>
    <w:rsid w:val="00A555BD"/>
    <w:rsid w:val="00A55820"/>
    <w:rsid w:val="00A55D71"/>
    <w:rsid w:val="00A570CD"/>
    <w:rsid w:val="00A579EA"/>
    <w:rsid w:val="00A57B0E"/>
    <w:rsid w:val="00A606C9"/>
    <w:rsid w:val="00A6124C"/>
    <w:rsid w:val="00A62636"/>
    <w:rsid w:val="00A6519A"/>
    <w:rsid w:val="00A668CE"/>
    <w:rsid w:val="00A66F79"/>
    <w:rsid w:val="00A7105C"/>
    <w:rsid w:val="00A726C7"/>
    <w:rsid w:val="00A74E81"/>
    <w:rsid w:val="00A752D2"/>
    <w:rsid w:val="00A75AE4"/>
    <w:rsid w:val="00A75F20"/>
    <w:rsid w:val="00A76783"/>
    <w:rsid w:val="00A76956"/>
    <w:rsid w:val="00A80510"/>
    <w:rsid w:val="00A806C1"/>
    <w:rsid w:val="00A818F4"/>
    <w:rsid w:val="00A82881"/>
    <w:rsid w:val="00A83601"/>
    <w:rsid w:val="00A83A8F"/>
    <w:rsid w:val="00A83BE3"/>
    <w:rsid w:val="00A83CC2"/>
    <w:rsid w:val="00A8424B"/>
    <w:rsid w:val="00A853E3"/>
    <w:rsid w:val="00A9051E"/>
    <w:rsid w:val="00A92FC1"/>
    <w:rsid w:val="00A942B4"/>
    <w:rsid w:val="00A94C86"/>
    <w:rsid w:val="00A94E86"/>
    <w:rsid w:val="00A951C6"/>
    <w:rsid w:val="00A969BC"/>
    <w:rsid w:val="00A9771E"/>
    <w:rsid w:val="00AA008F"/>
    <w:rsid w:val="00AA11EA"/>
    <w:rsid w:val="00AA1A15"/>
    <w:rsid w:val="00AA2286"/>
    <w:rsid w:val="00AA24BF"/>
    <w:rsid w:val="00AA3146"/>
    <w:rsid w:val="00AA35C5"/>
    <w:rsid w:val="00AA45F8"/>
    <w:rsid w:val="00AA4F05"/>
    <w:rsid w:val="00AA5855"/>
    <w:rsid w:val="00AA5ED8"/>
    <w:rsid w:val="00AA7178"/>
    <w:rsid w:val="00AB1A78"/>
    <w:rsid w:val="00AB1AD0"/>
    <w:rsid w:val="00AB3CDA"/>
    <w:rsid w:val="00AB4740"/>
    <w:rsid w:val="00AB5454"/>
    <w:rsid w:val="00AB66FA"/>
    <w:rsid w:val="00AB7176"/>
    <w:rsid w:val="00AC1C5B"/>
    <w:rsid w:val="00AC2678"/>
    <w:rsid w:val="00AC2AB4"/>
    <w:rsid w:val="00AC4D5F"/>
    <w:rsid w:val="00AC5BCB"/>
    <w:rsid w:val="00AD3CC4"/>
    <w:rsid w:val="00AD50B4"/>
    <w:rsid w:val="00AD565C"/>
    <w:rsid w:val="00AD58A7"/>
    <w:rsid w:val="00AD73F4"/>
    <w:rsid w:val="00AD7BC3"/>
    <w:rsid w:val="00AE0215"/>
    <w:rsid w:val="00AE1195"/>
    <w:rsid w:val="00AE170E"/>
    <w:rsid w:val="00AE3E0B"/>
    <w:rsid w:val="00AE4552"/>
    <w:rsid w:val="00AE62B8"/>
    <w:rsid w:val="00AF00F7"/>
    <w:rsid w:val="00AF127C"/>
    <w:rsid w:val="00AF1AC8"/>
    <w:rsid w:val="00AF229D"/>
    <w:rsid w:val="00AF3ACA"/>
    <w:rsid w:val="00AF4466"/>
    <w:rsid w:val="00AF4694"/>
    <w:rsid w:val="00AF46DF"/>
    <w:rsid w:val="00AF6AA2"/>
    <w:rsid w:val="00AF78D0"/>
    <w:rsid w:val="00AF7F5A"/>
    <w:rsid w:val="00B004D7"/>
    <w:rsid w:val="00B00618"/>
    <w:rsid w:val="00B00DFF"/>
    <w:rsid w:val="00B054DD"/>
    <w:rsid w:val="00B06B7B"/>
    <w:rsid w:val="00B07C59"/>
    <w:rsid w:val="00B106FF"/>
    <w:rsid w:val="00B11A30"/>
    <w:rsid w:val="00B11EBB"/>
    <w:rsid w:val="00B12D7F"/>
    <w:rsid w:val="00B14BD2"/>
    <w:rsid w:val="00B16325"/>
    <w:rsid w:val="00B175B3"/>
    <w:rsid w:val="00B17A33"/>
    <w:rsid w:val="00B2031D"/>
    <w:rsid w:val="00B2120A"/>
    <w:rsid w:val="00B21556"/>
    <w:rsid w:val="00B215CA"/>
    <w:rsid w:val="00B21873"/>
    <w:rsid w:val="00B21921"/>
    <w:rsid w:val="00B220D4"/>
    <w:rsid w:val="00B233C9"/>
    <w:rsid w:val="00B25449"/>
    <w:rsid w:val="00B2678B"/>
    <w:rsid w:val="00B27756"/>
    <w:rsid w:val="00B31B56"/>
    <w:rsid w:val="00B3259F"/>
    <w:rsid w:val="00B329DD"/>
    <w:rsid w:val="00B33245"/>
    <w:rsid w:val="00B33418"/>
    <w:rsid w:val="00B33BBA"/>
    <w:rsid w:val="00B33C1F"/>
    <w:rsid w:val="00B34906"/>
    <w:rsid w:val="00B34CCC"/>
    <w:rsid w:val="00B35271"/>
    <w:rsid w:val="00B369E7"/>
    <w:rsid w:val="00B36A0D"/>
    <w:rsid w:val="00B36FBE"/>
    <w:rsid w:val="00B400D7"/>
    <w:rsid w:val="00B4167E"/>
    <w:rsid w:val="00B417D2"/>
    <w:rsid w:val="00B4250A"/>
    <w:rsid w:val="00B42E99"/>
    <w:rsid w:val="00B43E21"/>
    <w:rsid w:val="00B44B8D"/>
    <w:rsid w:val="00B45D54"/>
    <w:rsid w:val="00B4697B"/>
    <w:rsid w:val="00B472FA"/>
    <w:rsid w:val="00B47385"/>
    <w:rsid w:val="00B47B5D"/>
    <w:rsid w:val="00B47C17"/>
    <w:rsid w:val="00B50874"/>
    <w:rsid w:val="00B51D2D"/>
    <w:rsid w:val="00B5240A"/>
    <w:rsid w:val="00B5253D"/>
    <w:rsid w:val="00B52C9D"/>
    <w:rsid w:val="00B57E2A"/>
    <w:rsid w:val="00B608AC"/>
    <w:rsid w:val="00B621DC"/>
    <w:rsid w:val="00B63277"/>
    <w:rsid w:val="00B63D48"/>
    <w:rsid w:val="00B640BC"/>
    <w:rsid w:val="00B64FAF"/>
    <w:rsid w:val="00B65565"/>
    <w:rsid w:val="00B66335"/>
    <w:rsid w:val="00B66600"/>
    <w:rsid w:val="00B708D7"/>
    <w:rsid w:val="00B7142D"/>
    <w:rsid w:val="00B72631"/>
    <w:rsid w:val="00B735E4"/>
    <w:rsid w:val="00B75C8F"/>
    <w:rsid w:val="00B76825"/>
    <w:rsid w:val="00B816A6"/>
    <w:rsid w:val="00B82205"/>
    <w:rsid w:val="00B8227D"/>
    <w:rsid w:val="00B83CE8"/>
    <w:rsid w:val="00B84518"/>
    <w:rsid w:val="00B84D01"/>
    <w:rsid w:val="00B84DF7"/>
    <w:rsid w:val="00B84E02"/>
    <w:rsid w:val="00B85997"/>
    <w:rsid w:val="00B8671B"/>
    <w:rsid w:val="00B9061E"/>
    <w:rsid w:val="00B90B76"/>
    <w:rsid w:val="00B90EDD"/>
    <w:rsid w:val="00B91232"/>
    <w:rsid w:val="00B91A11"/>
    <w:rsid w:val="00B939B0"/>
    <w:rsid w:val="00B95CEA"/>
    <w:rsid w:val="00B96508"/>
    <w:rsid w:val="00B9666D"/>
    <w:rsid w:val="00B969E7"/>
    <w:rsid w:val="00B972DC"/>
    <w:rsid w:val="00B97AA3"/>
    <w:rsid w:val="00BA076D"/>
    <w:rsid w:val="00BA0EAF"/>
    <w:rsid w:val="00BA1A0A"/>
    <w:rsid w:val="00BA48AF"/>
    <w:rsid w:val="00BA55B6"/>
    <w:rsid w:val="00BA5629"/>
    <w:rsid w:val="00BA610D"/>
    <w:rsid w:val="00BA67BB"/>
    <w:rsid w:val="00BA68D6"/>
    <w:rsid w:val="00BA6CC0"/>
    <w:rsid w:val="00BA77B1"/>
    <w:rsid w:val="00BB0E2B"/>
    <w:rsid w:val="00BB1336"/>
    <w:rsid w:val="00BB246B"/>
    <w:rsid w:val="00BB5B92"/>
    <w:rsid w:val="00BB7963"/>
    <w:rsid w:val="00BC0037"/>
    <w:rsid w:val="00BC0FCA"/>
    <w:rsid w:val="00BC246A"/>
    <w:rsid w:val="00BC34DD"/>
    <w:rsid w:val="00BC3BD0"/>
    <w:rsid w:val="00BC3D6B"/>
    <w:rsid w:val="00BC4D92"/>
    <w:rsid w:val="00BC6865"/>
    <w:rsid w:val="00BC6E25"/>
    <w:rsid w:val="00BC6F8F"/>
    <w:rsid w:val="00BC762F"/>
    <w:rsid w:val="00BC7C9C"/>
    <w:rsid w:val="00BD00CA"/>
    <w:rsid w:val="00BD11F1"/>
    <w:rsid w:val="00BD18A8"/>
    <w:rsid w:val="00BD295C"/>
    <w:rsid w:val="00BD364A"/>
    <w:rsid w:val="00BD374C"/>
    <w:rsid w:val="00BD4089"/>
    <w:rsid w:val="00BD4E6A"/>
    <w:rsid w:val="00BD527E"/>
    <w:rsid w:val="00BD589D"/>
    <w:rsid w:val="00BD5F31"/>
    <w:rsid w:val="00BD62DC"/>
    <w:rsid w:val="00BD7915"/>
    <w:rsid w:val="00BE0A2C"/>
    <w:rsid w:val="00BE0F0E"/>
    <w:rsid w:val="00BE17C2"/>
    <w:rsid w:val="00BE2216"/>
    <w:rsid w:val="00BE22AE"/>
    <w:rsid w:val="00BE23CA"/>
    <w:rsid w:val="00BE346C"/>
    <w:rsid w:val="00BE40D3"/>
    <w:rsid w:val="00BE40E1"/>
    <w:rsid w:val="00BE42AE"/>
    <w:rsid w:val="00BE4D0F"/>
    <w:rsid w:val="00BE61A3"/>
    <w:rsid w:val="00BE6DEC"/>
    <w:rsid w:val="00BF021E"/>
    <w:rsid w:val="00BF1A74"/>
    <w:rsid w:val="00BF1E35"/>
    <w:rsid w:val="00BF1F6D"/>
    <w:rsid w:val="00BF2B2C"/>
    <w:rsid w:val="00BF2BD4"/>
    <w:rsid w:val="00BF3BDF"/>
    <w:rsid w:val="00BF511F"/>
    <w:rsid w:val="00BF5B99"/>
    <w:rsid w:val="00BF6BD7"/>
    <w:rsid w:val="00C010A6"/>
    <w:rsid w:val="00C025E7"/>
    <w:rsid w:val="00C03AC0"/>
    <w:rsid w:val="00C04892"/>
    <w:rsid w:val="00C0526B"/>
    <w:rsid w:val="00C05B5D"/>
    <w:rsid w:val="00C06712"/>
    <w:rsid w:val="00C07304"/>
    <w:rsid w:val="00C07418"/>
    <w:rsid w:val="00C109B3"/>
    <w:rsid w:val="00C10B27"/>
    <w:rsid w:val="00C11028"/>
    <w:rsid w:val="00C112C5"/>
    <w:rsid w:val="00C12B79"/>
    <w:rsid w:val="00C12D9A"/>
    <w:rsid w:val="00C13690"/>
    <w:rsid w:val="00C15C93"/>
    <w:rsid w:val="00C15F04"/>
    <w:rsid w:val="00C16321"/>
    <w:rsid w:val="00C167D2"/>
    <w:rsid w:val="00C17CCD"/>
    <w:rsid w:val="00C17DCD"/>
    <w:rsid w:val="00C20C6B"/>
    <w:rsid w:val="00C2192F"/>
    <w:rsid w:val="00C22CA5"/>
    <w:rsid w:val="00C23390"/>
    <w:rsid w:val="00C23517"/>
    <w:rsid w:val="00C238FA"/>
    <w:rsid w:val="00C239BD"/>
    <w:rsid w:val="00C23C1C"/>
    <w:rsid w:val="00C2400E"/>
    <w:rsid w:val="00C25441"/>
    <w:rsid w:val="00C27F50"/>
    <w:rsid w:val="00C3250F"/>
    <w:rsid w:val="00C33659"/>
    <w:rsid w:val="00C338D0"/>
    <w:rsid w:val="00C33FC2"/>
    <w:rsid w:val="00C345EA"/>
    <w:rsid w:val="00C34F41"/>
    <w:rsid w:val="00C3524A"/>
    <w:rsid w:val="00C35664"/>
    <w:rsid w:val="00C36279"/>
    <w:rsid w:val="00C36CBE"/>
    <w:rsid w:val="00C4117F"/>
    <w:rsid w:val="00C419BA"/>
    <w:rsid w:val="00C42993"/>
    <w:rsid w:val="00C4310C"/>
    <w:rsid w:val="00C513E5"/>
    <w:rsid w:val="00C52809"/>
    <w:rsid w:val="00C53A54"/>
    <w:rsid w:val="00C53FBF"/>
    <w:rsid w:val="00C54B61"/>
    <w:rsid w:val="00C56721"/>
    <w:rsid w:val="00C649B0"/>
    <w:rsid w:val="00C665AF"/>
    <w:rsid w:val="00C66ED2"/>
    <w:rsid w:val="00C70290"/>
    <w:rsid w:val="00C71413"/>
    <w:rsid w:val="00C71E84"/>
    <w:rsid w:val="00C72B6D"/>
    <w:rsid w:val="00C734D3"/>
    <w:rsid w:val="00C74D58"/>
    <w:rsid w:val="00C75518"/>
    <w:rsid w:val="00C75653"/>
    <w:rsid w:val="00C76588"/>
    <w:rsid w:val="00C77CD1"/>
    <w:rsid w:val="00C80790"/>
    <w:rsid w:val="00C81815"/>
    <w:rsid w:val="00C81F76"/>
    <w:rsid w:val="00C8309C"/>
    <w:rsid w:val="00C856F7"/>
    <w:rsid w:val="00C8637D"/>
    <w:rsid w:val="00C86851"/>
    <w:rsid w:val="00C87AEB"/>
    <w:rsid w:val="00C87DCD"/>
    <w:rsid w:val="00C87EDB"/>
    <w:rsid w:val="00C907EA"/>
    <w:rsid w:val="00C91175"/>
    <w:rsid w:val="00C91EBE"/>
    <w:rsid w:val="00C91F45"/>
    <w:rsid w:val="00C92366"/>
    <w:rsid w:val="00C92E07"/>
    <w:rsid w:val="00C941D4"/>
    <w:rsid w:val="00C95437"/>
    <w:rsid w:val="00C95A47"/>
    <w:rsid w:val="00C96792"/>
    <w:rsid w:val="00C96EFF"/>
    <w:rsid w:val="00CA1423"/>
    <w:rsid w:val="00CA24F5"/>
    <w:rsid w:val="00CA2FE8"/>
    <w:rsid w:val="00CA306E"/>
    <w:rsid w:val="00CA4A2E"/>
    <w:rsid w:val="00CA6376"/>
    <w:rsid w:val="00CA6F16"/>
    <w:rsid w:val="00CB09E1"/>
    <w:rsid w:val="00CB13E4"/>
    <w:rsid w:val="00CB1B69"/>
    <w:rsid w:val="00CB32B0"/>
    <w:rsid w:val="00CB3312"/>
    <w:rsid w:val="00CB35B7"/>
    <w:rsid w:val="00CB54BF"/>
    <w:rsid w:val="00CB6129"/>
    <w:rsid w:val="00CB6CAD"/>
    <w:rsid w:val="00CB6ECE"/>
    <w:rsid w:val="00CC147C"/>
    <w:rsid w:val="00CC1659"/>
    <w:rsid w:val="00CC3F2D"/>
    <w:rsid w:val="00CC4425"/>
    <w:rsid w:val="00CC450A"/>
    <w:rsid w:val="00CC4B19"/>
    <w:rsid w:val="00CC59DD"/>
    <w:rsid w:val="00CC63DA"/>
    <w:rsid w:val="00CC64ED"/>
    <w:rsid w:val="00CC650A"/>
    <w:rsid w:val="00CC77C2"/>
    <w:rsid w:val="00CC7B12"/>
    <w:rsid w:val="00CD0F40"/>
    <w:rsid w:val="00CD22C9"/>
    <w:rsid w:val="00CD25B6"/>
    <w:rsid w:val="00CD2A61"/>
    <w:rsid w:val="00CD7029"/>
    <w:rsid w:val="00CD7671"/>
    <w:rsid w:val="00CD7DC9"/>
    <w:rsid w:val="00CE216E"/>
    <w:rsid w:val="00CE33F9"/>
    <w:rsid w:val="00CE62ED"/>
    <w:rsid w:val="00CE7ACF"/>
    <w:rsid w:val="00CE7E0C"/>
    <w:rsid w:val="00CF03EC"/>
    <w:rsid w:val="00CF0AE6"/>
    <w:rsid w:val="00CF19AF"/>
    <w:rsid w:val="00CF23EC"/>
    <w:rsid w:val="00CF277D"/>
    <w:rsid w:val="00CF3FA2"/>
    <w:rsid w:val="00CF41A0"/>
    <w:rsid w:val="00CF5B02"/>
    <w:rsid w:val="00CF5D95"/>
    <w:rsid w:val="00CF67EE"/>
    <w:rsid w:val="00CF6B51"/>
    <w:rsid w:val="00CF77DF"/>
    <w:rsid w:val="00CF7BB7"/>
    <w:rsid w:val="00D00844"/>
    <w:rsid w:val="00D00ED1"/>
    <w:rsid w:val="00D021D4"/>
    <w:rsid w:val="00D03E83"/>
    <w:rsid w:val="00D056EF"/>
    <w:rsid w:val="00D0737D"/>
    <w:rsid w:val="00D0757D"/>
    <w:rsid w:val="00D1033D"/>
    <w:rsid w:val="00D105D0"/>
    <w:rsid w:val="00D12F80"/>
    <w:rsid w:val="00D12FBA"/>
    <w:rsid w:val="00D13D8A"/>
    <w:rsid w:val="00D13E45"/>
    <w:rsid w:val="00D14A7E"/>
    <w:rsid w:val="00D14AA8"/>
    <w:rsid w:val="00D17438"/>
    <w:rsid w:val="00D2041F"/>
    <w:rsid w:val="00D22806"/>
    <w:rsid w:val="00D22F6B"/>
    <w:rsid w:val="00D241F5"/>
    <w:rsid w:val="00D25FFB"/>
    <w:rsid w:val="00D2737B"/>
    <w:rsid w:val="00D30261"/>
    <w:rsid w:val="00D30FDE"/>
    <w:rsid w:val="00D31720"/>
    <w:rsid w:val="00D32D55"/>
    <w:rsid w:val="00D33883"/>
    <w:rsid w:val="00D33FDA"/>
    <w:rsid w:val="00D3416F"/>
    <w:rsid w:val="00D34789"/>
    <w:rsid w:val="00D34F28"/>
    <w:rsid w:val="00D3598E"/>
    <w:rsid w:val="00D37B1B"/>
    <w:rsid w:val="00D37C0C"/>
    <w:rsid w:val="00D4012E"/>
    <w:rsid w:val="00D4026B"/>
    <w:rsid w:val="00D4211B"/>
    <w:rsid w:val="00D422C6"/>
    <w:rsid w:val="00D42C48"/>
    <w:rsid w:val="00D42CCD"/>
    <w:rsid w:val="00D45021"/>
    <w:rsid w:val="00D452A1"/>
    <w:rsid w:val="00D46032"/>
    <w:rsid w:val="00D46CF9"/>
    <w:rsid w:val="00D476F7"/>
    <w:rsid w:val="00D47BC7"/>
    <w:rsid w:val="00D5137B"/>
    <w:rsid w:val="00D5151B"/>
    <w:rsid w:val="00D51C7C"/>
    <w:rsid w:val="00D528B3"/>
    <w:rsid w:val="00D52F82"/>
    <w:rsid w:val="00D54FE5"/>
    <w:rsid w:val="00D559A8"/>
    <w:rsid w:val="00D622EF"/>
    <w:rsid w:val="00D62AD5"/>
    <w:rsid w:val="00D65364"/>
    <w:rsid w:val="00D6555D"/>
    <w:rsid w:val="00D65AA3"/>
    <w:rsid w:val="00D65FE2"/>
    <w:rsid w:val="00D660C9"/>
    <w:rsid w:val="00D6668E"/>
    <w:rsid w:val="00D667C0"/>
    <w:rsid w:val="00D66A89"/>
    <w:rsid w:val="00D67F98"/>
    <w:rsid w:val="00D7024C"/>
    <w:rsid w:val="00D707A5"/>
    <w:rsid w:val="00D70E5B"/>
    <w:rsid w:val="00D72AB4"/>
    <w:rsid w:val="00D73229"/>
    <w:rsid w:val="00D74194"/>
    <w:rsid w:val="00D74319"/>
    <w:rsid w:val="00D745F5"/>
    <w:rsid w:val="00D7490D"/>
    <w:rsid w:val="00D74B9C"/>
    <w:rsid w:val="00D75780"/>
    <w:rsid w:val="00D766B4"/>
    <w:rsid w:val="00D766C6"/>
    <w:rsid w:val="00D769B8"/>
    <w:rsid w:val="00D76B34"/>
    <w:rsid w:val="00D7762F"/>
    <w:rsid w:val="00D77A90"/>
    <w:rsid w:val="00D8355E"/>
    <w:rsid w:val="00D8506A"/>
    <w:rsid w:val="00D85824"/>
    <w:rsid w:val="00D85827"/>
    <w:rsid w:val="00D85AF5"/>
    <w:rsid w:val="00D86AFA"/>
    <w:rsid w:val="00D87538"/>
    <w:rsid w:val="00D87CBD"/>
    <w:rsid w:val="00D90427"/>
    <w:rsid w:val="00D9057C"/>
    <w:rsid w:val="00D917F4"/>
    <w:rsid w:val="00D91BED"/>
    <w:rsid w:val="00D92235"/>
    <w:rsid w:val="00D9429C"/>
    <w:rsid w:val="00D946E9"/>
    <w:rsid w:val="00D9541C"/>
    <w:rsid w:val="00D95998"/>
    <w:rsid w:val="00D95C0E"/>
    <w:rsid w:val="00D9630D"/>
    <w:rsid w:val="00D974E3"/>
    <w:rsid w:val="00D97939"/>
    <w:rsid w:val="00DA0231"/>
    <w:rsid w:val="00DA0438"/>
    <w:rsid w:val="00DA1099"/>
    <w:rsid w:val="00DA19E1"/>
    <w:rsid w:val="00DA22A8"/>
    <w:rsid w:val="00DA2A26"/>
    <w:rsid w:val="00DA3460"/>
    <w:rsid w:val="00DA3573"/>
    <w:rsid w:val="00DA3879"/>
    <w:rsid w:val="00DA4439"/>
    <w:rsid w:val="00DA45AA"/>
    <w:rsid w:val="00DA697C"/>
    <w:rsid w:val="00DA7272"/>
    <w:rsid w:val="00DB01A1"/>
    <w:rsid w:val="00DB112E"/>
    <w:rsid w:val="00DB1C90"/>
    <w:rsid w:val="00DB1CEA"/>
    <w:rsid w:val="00DB20A6"/>
    <w:rsid w:val="00DB2A1A"/>
    <w:rsid w:val="00DB2E97"/>
    <w:rsid w:val="00DB4027"/>
    <w:rsid w:val="00DB5047"/>
    <w:rsid w:val="00DB63F2"/>
    <w:rsid w:val="00DB7859"/>
    <w:rsid w:val="00DC05AD"/>
    <w:rsid w:val="00DC1C27"/>
    <w:rsid w:val="00DC23D1"/>
    <w:rsid w:val="00DC2660"/>
    <w:rsid w:val="00DC3DBE"/>
    <w:rsid w:val="00DC4372"/>
    <w:rsid w:val="00DC51F2"/>
    <w:rsid w:val="00DC574C"/>
    <w:rsid w:val="00DC598D"/>
    <w:rsid w:val="00DC6217"/>
    <w:rsid w:val="00DC6563"/>
    <w:rsid w:val="00DC7757"/>
    <w:rsid w:val="00DD0E5C"/>
    <w:rsid w:val="00DD174F"/>
    <w:rsid w:val="00DD3D62"/>
    <w:rsid w:val="00DD3F47"/>
    <w:rsid w:val="00DD441A"/>
    <w:rsid w:val="00DD4638"/>
    <w:rsid w:val="00DD7500"/>
    <w:rsid w:val="00DD7954"/>
    <w:rsid w:val="00DE06AF"/>
    <w:rsid w:val="00DE0C81"/>
    <w:rsid w:val="00DE0D17"/>
    <w:rsid w:val="00DE1F47"/>
    <w:rsid w:val="00DE2BCC"/>
    <w:rsid w:val="00DE31CF"/>
    <w:rsid w:val="00DE465D"/>
    <w:rsid w:val="00DE4CDA"/>
    <w:rsid w:val="00DE54E1"/>
    <w:rsid w:val="00DE5531"/>
    <w:rsid w:val="00DE5ABB"/>
    <w:rsid w:val="00DF02DB"/>
    <w:rsid w:val="00DF1F32"/>
    <w:rsid w:val="00DF2F01"/>
    <w:rsid w:val="00DF310C"/>
    <w:rsid w:val="00DF3CFF"/>
    <w:rsid w:val="00DF4128"/>
    <w:rsid w:val="00DF427D"/>
    <w:rsid w:val="00DF4427"/>
    <w:rsid w:val="00DF5FF4"/>
    <w:rsid w:val="00DF6C43"/>
    <w:rsid w:val="00DF6D7A"/>
    <w:rsid w:val="00DF6FAB"/>
    <w:rsid w:val="00DF70E9"/>
    <w:rsid w:val="00E013B8"/>
    <w:rsid w:val="00E01700"/>
    <w:rsid w:val="00E03BF0"/>
    <w:rsid w:val="00E04419"/>
    <w:rsid w:val="00E046E6"/>
    <w:rsid w:val="00E04B92"/>
    <w:rsid w:val="00E04D45"/>
    <w:rsid w:val="00E0551E"/>
    <w:rsid w:val="00E07446"/>
    <w:rsid w:val="00E13DF9"/>
    <w:rsid w:val="00E14797"/>
    <w:rsid w:val="00E14F1D"/>
    <w:rsid w:val="00E14F66"/>
    <w:rsid w:val="00E174BE"/>
    <w:rsid w:val="00E20E7D"/>
    <w:rsid w:val="00E21CBA"/>
    <w:rsid w:val="00E23635"/>
    <w:rsid w:val="00E248F2"/>
    <w:rsid w:val="00E25E56"/>
    <w:rsid w:val="00E26279"/>
    <w:rsid w:val="00E26837"/>
    <w:rsid w:val="00E300AE"/>
    <w:rsid w:val="00E30DE2"/>
    <w:rsid w:val="00E314D8"/>
    <w:rsid w:val="00E32BD5"/>
    <w:rsid w:val="00E32E4E"/>
    <w:rsid w:val="00E3334C"/>
    <w:rsid w:val="00E334B5"/>
    <w:rsid w:val="00E35A48"/>
    <w:rsid w:val="00E36D1A"/>
    <w:rsid w:val="00E416CB"/>
    <w:rsid w:val="00E41B05"/>
    <w:rsid w:val="00E42040"/>
    <w:rsid w:val="00E423AB"/>
    <w:rsid w:val="00E42D1F"/>
    <w:rsid w:val="00E42FDB"/>
    <w:rsid w:val="00E43585"/>
    <w:rsid w:val="00E451A7"/>
    <w:rsid w:val="00E452E3"/>
    <w:rsid w:val="00E45886"/>
    <w:rsid w:val="00E4616D"/>
    <w:rsid w:val="00E4680D"/>
    <w:rsid w:val="00E468E8"/>
    <w:rsid w:val="00E469E4"/>
    <w:rsid w:val="00E46E27"/>
    <w:rsid w:val="00E5028F"/>
    <w:rsid w:val="00E50B7A"/>
    <w:rsid w:val="00E5100D"/>
    <w:rsid w:val="00E51B86"/>
    <w:rsid w:val="00E536EF"/>
    <w:rsid w:val="00E56598"/>
    <w:rsid w:val="00E578B8"/>
    <w:rsid w:val="00E579C0"/>
    <w:rsid w:val="00E57EC0"/>
    <w:rsid w:val="00E61435"/>
    <w:rsid w:val="00E623EC"/>
    <w:rsid w:val="00E6329D"/>
    <w:rsid w:val="00E63393"/>
    <w:rsid w:val="00E6354D"/>
    <w:rsid w:val="00E63652"/>
    <w:rsid w:val="00E637BB"/>
    <w:rsid w:val="00E63845"/>
    <w:rsid w:val="00E63D6F"/>
    <w:rsid w:val="00E6441F"/>
    <w:rsid w:val="00E64552"/>
    <w:rsid w:val="00E6628D"/>
    <w:rsid w:val="00E66AC2"/>
    <w:rsid w:val="00E66C82"/>
    <w:rsid w:val="00E67354"/>
    <w:rsid w:val="00E70185"/>
    <w:rsid w:val="00E71B78"/>
    <w:rsid w:val="00E72BA7"/>
    <w:rsid w:val="00E74223"/>
    <w:rsid w:val="00E74E0B"/>
    <w:rsid w:val="00E7507B"/>
    <w:rsid w:val="00E7579F"/>
    <w:rsid w:val="00E76008"/>
    <w:rsid w:val="00E76017"/>
    <w:rsid w:val="00E76943"/>
    <w:rsid w:val="00E76CC4"/>
    <w:rsid w:val="00E76FAC"/>
    <w:rsid w:val="00E77AE5"/>
    <w:rsid w:val="00E802B0"/>
    <w:rsid w:val="00E815F4"/>
    <w:rsid w:val="00E81977"/>
    <w:rsid w:val="00E8341A"/>
    <w:rsid w:val="00E839DC"/>
    <w:rsid w:val="00E856C1"/>
    <w:rsid w:val="00E868D0"/>
    <w:rsid w:val="00E878CE"/>
    <w:rsid w:val="00E90199"/>
    <w:rsid w:val="00E90338"/>
    <w:rsid w:val="00E919C8"/>
    <w:rsid w:val="00E9257E"/>
    <w:rsid w:val="00E92C35"/>
    <w:rsid w:val="00E93C67"/>
    <w:rsid w:val="00E94093"/>
    <w:rsid w:val="00E945C3"/>
    <w:rsid w:val="00E94640"/>
    <w:rsid w:val="00E95437"/>
    <w:rsid w:val="00E95B0E"/>
    <w:rsid w:val="00E967C3"/>
    <w:rsid w:val="00E971EC"/>
    <w:rsid w:val="00E977FC"/>
    <w:rsid w:val="00EA114D"/>
    <w:rsid w:val="00EA2802"/>
    <w:rsid w:val="00EA3B64"/>
    <w:rsid w:val="00EA3C75"/>
    <w:rsid w:val="00EA41A9"/>
    <w:rsid w:val="00EA60DD"/>
    <w:rsid w:val="00EA7503"/>
    <w:rsid w:val="00EA787E"/>
    <w:rsid w:val="00EA7C06"/>
    <w:rsid w:val="00EB0295"/>
    <w:rsid w:val="00EB11B7"/>
    <w:rsid w:val="00EB1B0A"/>
    <w:rsid w:val="00EB1D20"/>
    <w:rsid w:val="00EB22A2"/>
    <w:rsid w:val="00EB24FF"/>
    <w:rsid w:val="00EB3CF0"/>
    <w:rsid w:val="00EB6B72"/>
    <w:rsid w:val="00EB70A3"/>
    <w:rsid w:val="00EB7193"/>
    <w:rsid w:val="00EC0152"/>
    <w:rsid w:val="00EC11D5"/>
    <w:rsid w:val="00EC11E0"/>
    <w:rsid w:val="00EC1CE2"/>
    <w:rsid w:val="00EC2B35"/>
    <w:rsid w:val="00EC38E7"/>
    <w:rsid w:val="00EC50AC"/>
    <w:rsid w:val="00EC6314"/>
    <w:rsid w:val="00EC6F59"/>
    <w:rsid w:val="00EC741B"/>
    <w:rsid w:val="00EC7913"/>
    <w:rsid w:val="00ED0A5E"/>
    <w:rsid w:val="00ED0ED2"/>
    <w:rsid w:val="00ED1231"/>
    <w:rsid w:val="00ED16F4"/>
    <w:rsid w:val="00ED275B"/>
    <w:rsid w:val="00ED2AB6"/>
    <w:rsid w:val="00ED379B"/>
    <w:rsid w:val="00ED4A7F"/>
    <w:rsid w:val="00ED5FA9"/>
    <w:rsid w:val="00ED7921"/>
    <w:rsid w:val="00ED7DE1"/>
    <w:rsid w:val="00ED7EB7"/>
    <w:rsid w:val="00EE1FA7"/>
    <w:rsid w:val="00EE2298"/>
    <w:rsid w:val="00EE2E12"/>
    <w:rsid w:val="00EE36DE"/>
    <w:rsid w:val="00EE3922"/>
    <w:rsid w:val="00EE54C2"/>
    <w:rsid w:val="00EE5FA6"/>
    <w:rsid w:val="00EE7389"/>
    <w:rsid w:val="00EE7F52"/>
    <w:rsid w:val="00EF04A9"/>
    <w:rsid w:val="00EF08C2"/>
    <w:rsid w:val="00EF1EB4"/>
    <w:rsid w:val="00EF2378"/>
    <w:rsid w:val="00EF468C"/>
    <w:rsid w:val="00EF502F"/>
    <w:rsid w:val="00EF6184"/>
    <w:rsid w:val="00EF6A8B"/>
    <w:rsid w:val="00EF6B7A"/>
    <w:rsid w:val="00F00BF0"/>
    <w:rsid w:val="00F01F8D"/>
    <w:rsid w:val="00F0240A"/>
    <w:rsid w:val="00F02CE7"/>
    <w:rsid w:val="00F03323"/>
    <w:rsid w:val="00F03FE3"/>
    <w:rsid w:val="00F048D6"/>
    <w:rsid w:val="00F04AB4"/>
    <w:rsid w:val="00F0688A"/>
    <w:rsid w:val="00F06D86"/>
    <w:rsid w:val="00F06EEA"/>
    <w:rsid w:val="00F10B92"/>
    <w:rsid w:val="00F13593"/>
    <w:rsid w:val="00F13F88"/>
    <w:rsid w:val="00F141E0"/>
    <w:rsid w:val="00F16219"/>
    <w:rsid w:val="00F16FED"/>
    <w:rsid w:val="00F17378"/>
    <w:rsid w:val="00F17519"/>
    <w:rsid w:val="00F20818"/>
    <w:rsid w:val="00F20B85"/>
    <w:rsid w:val="00F2178F"/>
    <w:rsid w:val="00F21A0E"/>
    <w:rsid w:val="00F229EF"/>
    <w:rsid w:val="00F24337"/>
    <w:rsid w:val="00F24F00"/>
    <w:rsid w:val="00F258B9"/>
    <w:rsid w:val="00F2694E"/>
    <w:rsid w:val="00F30223"/>
    <w:rsid w:val="00F3242F"/>
    <w:rsid w:val="00F344E9"/>
    <w:rsid w:val="00F35487"/>
    <w:rsid w:val="00F35D7F"/>
    <w:rsid w:val="00F3641A"/>
    <w:rsid w:val="00F40DD6"/>
    <w:rsid w:val="00F415BD"/>
    <w:rsid w:val="00F4196C"/>
    <w:rsid w:val="00F42182"/>
    <w:rsid w:val="00F42641"/>
    <w:rsid w:val="00F4415A"/>
    <w:rsid w:val="00F44603"/>
    <w:rsid w:val="00F44ACF"/>
    <w:rsid w:val="00F455CE"/>
    <w:rsid w:val="00F46F19"/>
    <w:rsid w:val="00F50104"/>
    <w:rsid w:val="00F51C7A"/>
    <w:rsid w:val="00F5373F"/>
    <w:rsid w:val="00F53B18"/>
    <w:rsid w:val="00F54A67"/>
    <w:rsid w:val="00F5699E"/>
    <w:rsid w:val="00F61A28"/>
    <w:rsid w:val="00F62915"/>
    <w:rsid w:val="00F62F1B"/>
    <w:rsid w:val="00F63241"/>
    <w:rsid w:val="00F655FA"/>
    <w:rsid w:val="00F65EB7"/>
    <w:rsid w:val="00F65EE8"/>
    <w:rsid w:val="00F666BC"/>
    <w:rsid w:val="00F67652"/>
    <w:rsid w:val="00F70623"/>
    <w:rsid w:val="00F7093C"/>
    <w:rsid w:val="00F70A53"/>
    <w:rsid w:val="00F718CA"/>
    <w:rsid w:val="00F71D44"/>
    <w:rsid w:val="00F72A26"/>
    <w:rsid w:val="00F73DFA"/>
    <w:rsid w:val="00F7438C"/>
    <w:rsid w:val="00F8190F"/>
    <w:rsid w:val="00F81ACB"/>
    <w:rsid w:val="00F822AC"/>
    <w:rsid w:val="00F83B25"/>
    <w:rsid w:val="00F83CB3"/>
    <w:rsid w:val="00F8616D"/>
    <w:rsid w:val="00F86A21"/>
    <w:rsid w:val="00F86B94"/>
    <w:rsid w:val="00F86E8D"/>
    <w:rsid w:val="00F873C9"/>
    <w:rsid w:val="00F8765C"/>
    <w:rsid w:val="00F910BE"/>
    <w:rsid w:val="00F9405C"/>
    <w:rsid w:val="00F940B1"/>
    <w:rsid w:val="00F9601E"/>
    <w:rsid w:val="00F961E4"/>
    <w:rsid w:val="00F96B3B"/>
    <w:rsid w:val="00F96BB3"/>
    <w:rsid w:val="00FA035B"/>
    <w:rsid w:val="00FA0F3D"/>
    <w:rsid w:val="00FA14DB"/>
    <w:rsid w:val="00FA1759"/>
    <w:rsid w:val="00FA179F"/>
    <w:rsid w:val="00FA3822"/>
    <w:rsid w:val="00FA4880"/>
    <w:rsid w:val="00FA48AE"/>
    <w:rsid w:val="00FA4950"/>
    <w:rsid w:val="00FA5714"/>
    <w:rsid w:val="00FB2089"/>
    <w:rsid w:val="00FB2418"/>
    <w:rsid w:val="00FB279F"/>
    <w:rsid w:val="00FB4EF5"/>
    <w:rsid w:val="00FB58D4"/>
    <w:rsid w:val="00FB5D9E"/>
    <w:rsid w:val="00FB69C9"/>
    <w:rsid w:val="00FB6C6B"/>
    <w:rsid w:val="00FC05FC"/>
    <w:rsid w:val="00FC3048"/>
    <w:rsid w:val="00FC4822"/>
    <w:rsid w:val="00FC5007"/>
    <w:rsid w:val="00FC653A"/>
    <w:rsid w:val="00FC7097"/>
    <w:rsid w:val="00FC768D"/>
    <w:rsid w:val="00FC7B14"/>
    <w:rsid w:val="00FD0882"/>
    <w:rsid w:val="00FD08F6"/>
    <w:rsid w:val="00FD0E93"/>
    <w:rsid w:val="00FD2419"/>
    <w:rsid w:val="00FD36D9"/>
    <w:rsid w:val="00FD3BB6"/>
    <w:rsid w:val="00FD3C33"/>
    <w:rsid w:val="00FD4663"/>
    <w:rsid w:val="00FD4BEA"/>
    <w:rsid w:val="00FD5EED"/>
    <w:rsid w:val="00FD63BE"/>
    <w:rsid w:val="00FD793D"/>
    <w:rsid w:val="00FE00E8"/>
    <w:rsid w:val="00FE0ED7"/>
    <w:rsid w:val="00FE15C7"/>
    <w:rsid w:val="00FE1782"/>
    <w:rsid w:val="00FE17A9"/>
    <w:rsid w:val="00FE1C7C"/>
    <w:rsid w:val="00FE1FF7"/>
    <w:rsid w:val="00FE329A"/>
    <w:rsid w:val="00FE4944"/>
    <w:rsid w:val="00FE52AF"/>
    <w:rsid w:val="00FE5F63"/>
    <w:rsid w:val="00FE68E6"/>
    <w:rsid w:val="00FF0E7D"/>
    <w:rsid w:val="00FF1633"/>
    <w:rsid w:val="00FF1A4C"/>
    <w:rsid w:val="00FF1BCD"/>
    <w:rsid w:val="00FF1C16"/>
    <w:rsid w:val="00FF2830"/>
    <w:rsid w:val="00FF2B58"/>
    <w:rsid w:val="00FF2C9E"/>
    <w:rsid w:val="00FF3AD7"/>
    <w:rsid w:val="00FF3DBB"/>
    <w:rsid w:val="00FF4BEB"/>
    <w:rsid w:val="00FF4D21"/>
    <w:rsid w:val="00FF60AC"/>
    <w:rsid w:val="00FF7403"/>
    <w:rsid w:val="00FF762F"/>
    <w:rsid w:val="02620AD4"/>
    <w:rsid w:val="054E627A"/>
    <w:rsid w:val="0862208E"/>
    <w:rsid w:val="0D6F343B"/>
    <w:rsid w:val="0E4301C9"/>
    <w:rsid w:val="0E651FF1"/>
    <w:rsid w:val="0E813137"/>
    <w:rsid w:val="162A759F"/>
    <w:rsid w:val="1775132E"/>
    <w:rsid w:val="177CAF1B"/>
    <w:rsid w:val="178B3634"/>
    <w:rsid w:val="1B575BA0"/>
    <w:rsid w:val="1D4D69F8"/>
    <w:rsid w:val="1D9A6DB0"/>
    <w:rsid w:val="212E4E68"/>
    <w:rsid w:val="217E519A"/>
    <w:rsid w:val="21872140"/>
    <w:rsid w:val="22C7437A"/>
    <w:rsid w:val="22D31C13"/>
    <w:rsid w:val="27EF0CC6"/>
    <w:rsid w:val="28FA6BE5"/>
    <w:rsid w:val="292365CB"/>
    <w:rsid w:val="299D7AE2"/>
    <w:rsid w:val="2BF12E91"/>
    <w:rsid w:val="2DB8658A"/>
    <w:rsid w:val="2DC9158B"/>
    <w:rsid w:val="2E0427A7"/>
    <w:rsid w:val="2F215FDF"/>
    <w:rsid w:val="2F3A6536"/>
    <w:rsid w:val="30900E19"/>
    <w:rsid w:val="34ED5671"/>
    <w:rsid w:val="36B96E43"/>
    <w:rsid w:val="386B63C1"/>
    <w:rsid w:val="3CC40AE1"/>
    <w:rsid w:val="3E4F1B66"/>
    <w:rsid w:val="3E5D7A27"/>
    <w:rsid w:val="3EF1210C"/>
    <w:rsid w:val="421F0500"/>
    <w:rsid w:val="4DE540BD"/>
    <w:rsid w:val="4E84112E"/>
    <w:rsid w:val="4F4F0D4D"/>
    <w:rsid w:val="50257E2C"/>
    <w:rsid w:val="515C2DAE"/>
    <w:rsid w:val="52AB4C29"/>
    <w:rsid w:val="56FD1A3B"/>
    <w:rsid w:val="58F06D87"/>
    <w:rsid w:val="5FDB4442"/>
    <w:rsid w:val="5FFFB014"/>
    <w:rsid w:val="61115D05"/>
    <w:rsid w:val="666008F6"/>
    <w:rsid w:val="68AD0E85"/>
    <w:rsid w:val="6ABC3BE4"/>
    <w:rsid w:val="6EF7C9BF"/>
    <w:rsid w:val="6FDB4935"/>
    <w:rsid w:val="75AD19AE"/>
    <w:rsid w:val="795E0765"/>
    <w:rsid w:val="7AE852D6"/>
    <w:rsid w:val="7D73C056"/>
    <w:rsid w:val="7E77F91E"/>
    <w:rsid w:val="7ED224D2"/>
    <w:rsid w:val="7EEA46A3"/>
    <w:rsid w:val="B7BF7708"/>
    <w:rsid w:val="B7DCD411"/>
    <w:rsid w:val="BBE36DDC"/>
    <w:rsid w:val="BF66E54E"/>
    <w:rsid w:val="CFF5CB86"/>
    <w:rsid w:val="DDF7FAEF"/>
    <w:rsid w:val="EFEDEDFD"/>
    <w:rsid w:val="F75BF31D"/>
    <w:rsid w:val="F7DFAAD4"/>
    <w:rsid w:val="FEBFC785"/>
    <w:rsid w:val="FF9805BC"/>
    <w:rsid w:val="FFFF5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34"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1"/>
    <w:qFormat/>
    <w:uiPriority w:val="0"/>
    <w:pPr>
      <w:keepNext/>
      <w:keepLines/>
      <w:spacing w:before="340" w:after="330" w:line="578" w:lineRule="atLeast"/>
      <w:jc w:val="left"/>
      <w:outlineLvl w:val="0"/>
    </w:pPr>
    <w:rPr>
      <w:b/>
      <w:kern w:val="44"/>
      <w:sz w:val="36"/>
      <w:szCs w:val="20"/>
    </w:rPr>
  </w:style>
  <w:style w:type="paragraph" w:styleId="3">
    <w:name w:val="heading 2"/>
    <w:basedOn w:val="1"/>
    <w:next w:val="4"/>
    <w:link w:val="42"/>
    <w:qFormat/>
    <w:uiPriority w:val="9"/>
    <w:pPr>
      <w:keepNext/>
      <w:keepLines/>
      <w:spacing w:before="260" w:after="260" w:line="416" w:lineRule="auto"/>
      <w:outlineLvl w:val="1"/>
    </w:pPr>
    <w:rPr>
      <w:b/>
      <w:sz w:val="32"/>
      <w:szCs w:val="20"/>
    </w:rPr>
  </w:style>
  <w:style w:type="paragraph" w:styleId="5">
    <w:name w:val="heading 3"/>
    <w:basedOn w:val="1"/>
    <w:next w:val="1"/>
    <w:link w:val="47"/>
    <w:qFormat/>
    <w:uiPriority w:val="0"/>
    <w:pPr>
      <w:keepNext/>
      <w:keepLines/>
      <w:spacing w:before="260" w:after="260" w:line="416" w:lineRule="atLeast"/>
      <w:outlineLvl w:val="2"/>
    </w:pPr>
    <w:rPr>
      <w:b/>
      <w:sz w:val="28"/>
      <w:szCs w:val="20"/>
    </w:rPr>
  </w:style>
  <w:style w:type="paragraph" w:styleId="6">
    <w:name w:val="heading 4"/>
    <w:basedOn w:val="1"/>
    <w:next w:val="1"/>
    <w:link w:val="44"/>
    <w:qFormat/>
    <w:uiPriority w:val="0"/>
    <w:pPr>
      <w:keepNext/>
      <w:widowControl/>
      <w:tabs>
        <w:tab w:val="left" w:pos="2356"/>
      </w:tabs>
      <w:spacing w:before="240" w:after="60" w:line="360" w:lineRule="auto"/>
      <w:outlineLvl w:val="3"/>
    </w:pPr>
    <w:rPr>
      <w:rFonts w:ascii="宋体" w:hAnsi="Arial"/>
      <w:b/>
      <w:kern w:val="0"/>
      <w:sz w:val="24"/>
      <w:szCs w:val="20"/>
    </w:rPr>
  </w:style>
  <w:style w:type="paragraph" w:styleId="7">
    <w:name w:val="heading 5"/>
    <w:basedOn w:val="1"/>
    <w:next w:val="1"/>
    <w:link w:val="56"/>
    <w:qFormat/>
    <w:uiPriority w:val="0"/>
    <w:pPr>
      <w:keepNext/>
      <w:keepLines/>
      <w:adjustRightInd w:val="0"/>
      <w:spacing w:before="280" w:after="290" w:line="376" w:lineRule="atLeast"/>
      <w:textAlignment w:val="baseline"/>
      <w:outlineLvl w:val="4"/>
    </w:pPr>
    <w:rPr>
      <w:rFonts w:ascii="宋体" w:eastAsia="仿宋_GB2312"/>
      <w:b/>
      <w:kern w:val="0"/>
      <w:sz w:val="28"/>
      <w:szCs w:val="20"/>
    </w:rPr>
  </w:style>
  <w:style w:type="paragraph" w:styleId="8">
    <w:name w:val="heading 6"/>
    <w:basedOn w:val="1"/>
    <w:next w:val="1"/>
    <w:qFormat/>
    <w:uiPriority w:val="0"/>
    <w:pPr>
      <w:keepNext/>
      <w:keepLines/>
      <w:tabs>
        <w:tab w:val="left" w:pos="3926"/>
      </w:tabs>
      <w:adjustRightInd w:val="0"/>
      <w:spacing w:before="240" w:after="64" w:line="320" w:lineRule="atLeast"/>
      <w:ind w:left="3260" w:hanging="1134"/>
      <w:textAlignment w:val="baseline"/>
      <w:outlineLvl w:val="5"/>
    </w:pPr>
    <w:rPr>
      <w:rFonts w:ascii="Arial" w:hAnsi="Arial" w:eastAsia="黑体"/>
      <w:b/>
      <w:kern w:val="0"/>
      <w:sz w:val="24"/>
      <w:szCs w:val="20"/>
    </w:rPr>
  </w:style>
  <w:style w:type="paragraph" w:styleId="9">
    <w:name w:val="heading 7"/>
    <w:basedOn w:val="1"/>
    <w:next w:val="1"/>
    <w:qFormat/>
    <w:uiPriority w:val="0"/>
    <w:pPr>
      <w:keepNext/>
      <w:keepLines/>
      <w:tabs>
        <w:tab w:val="left" w:pos="4711"/>
      </w:tabs>
      <w:adjustRightInd w:val="0"/>
      <w:spacing w:before="240" w:after="64" w:line="320" w:lineRule="atLeast"/>
      <w:ind w:left="3827" w:hanging="1276"/>
      <w:textAlignment w:val="baseline"/>
      <w:outlineLvl w:val="6"/>
    </w:pPr>
    <w:rPr>
      <w:rFonts w:ascii="宋体" w:eastAsia="仿宋_GB2312"/>
      <w:b/>
      <w:kern w:val="0"/>
      <w:sz w:val="24"/>
      <w:szCs w:val="20"/>
    </w:rPr>
  </w:style>
  <w:style w:type="paragraph" w:styleId="10">
    <w:name w:val="heading 8"/>
    <w:basedOn w:val="1"/>
    <w:next w:val="1"/>
    <w:qFormat/>
    <w:uiPriority w:val="0"/>
    <w:pPr>
      <w:keepNext/>
      <w:keepLines/>
      <w:tabs>
        <w:tab w:val="left" w:pos="5136"/>
      </w:tabs>
      <w:adjustRightInd w:val="0"/>
      <w:spacing w:before="240" w:after="64" w:line="320" w:lineRule="atLeast"/>
      <w:ind w:left="4394" w:hanging="1418"/>
      <w:textAlignment w:val="baseline"/>
      <w:outlineLvl w:val="7"/>
    </w:pPr>
    <w:rPr>
      <w:rFonts w:ascii="Arial" w:hAnsi="Arial" w:eastAsia="黑体"/>
      <w:kern w:val="0"/>
      <w:sz w:val="24"/>
      <w:szCs w:val="20"/>
    </w:rPr>
  </w:style>
  <w:style w:type="paragraph" w:styleId="11">
    <w:name w:val="heading 9"/>
    <w:basedOn w:val="1"/>
    <w:next w:val="1"/>
    <w:qFormat/>
    <w:uiPriority w:val="0"/>
    <w:pPr>
      <w:keepNext/>
      <w:keepLines/>
      <w:adjustRightInd w:val="0"/>
      <w:spacing w:before="240" w:after="64" w:line="320" w:lineRule="atLeast"/>
      <w:textAlignment w:val="baseline"/>
      <w:outlineLvl w:val="8"/>
    </w:pPr>
    <w:rPr>
      <w:rFonts w:ascii="Arial" w:hAnsi="Arial" w:eastAsia="黑体"/>
      <w:kern w:val="0"/>
      <w:sz w:val="28"/>
      <w:szCs w:val="20"/>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5"/>
    </w:pPr>
    <w:rPr>
      <w:szCs w:val="20"/>
    </w:rPr>
  </w:style>
  <w:style w:type="paragraph" w:styleId="12">
    <w:name w:val="caption"/>
    <w:basedOn w:val="1"/>
    <w:next w:val="1"/>
    <w:qFormat/>
    <w:uiPriority w:val="0"/>
    <w:pPr>
      <w:widowControl/>
      <w:jc w:val="left"/>
    </w:pPr>
    <w:rPr>
      <w:rFonts w:ascii="Cambria" w:hAnsi="Cambria" w:eastAsia="黑体"/>
      <w:kern w:val="0"/>
      <w:sz w:val="20"/>
      <w:szCs w:val="20"/>
    </w:rPr>
  </w:style>
  <w:style w:type="paragraph" w:styleId="13">
    <w:name w:val="Document Map"/>
    <w:basedOn w:val="1"/>
    <w:link w:val="68"/>
    <w:qFormat/>
    <w:uiPriority w:val="0"/>
    <w:pPr>
      <w:shd w:val="clear" w:color="auto" w:fill="000080"/>
    </w:pPr>
  </w:style>
  <w:style w:type="paragraph" w:styleId="14">
    <w:name w:val="annotation text"/>
    <w:basedOn w:val="1"/>
    <w:link w:val="53"/>
    <w:unhideWhenUsed/>
    <w:qFormat/>
    <w:uiPriority w:val="0"/>
    <w:pPr>
      <w:jc w:val="left"/>
    </w:pPr>
  </w:style>
  <w:style w:type="paragraph" w:styleId="15">
    <w:name w:val="Body Text 3"/>
    <w:basedOn w:val="1"/>
    <w:link w:val="67"/>
    <w:qFormat/>
    <w:uiPriority w:val="0"/>
    <w:pPr>
      <w:spacing w:after="120"/>
    </w:pPr>
    <w:rPr>
      <w:sz w:val="16"/>
      <w:szCs w:val="16"/>
    </w:rPr>
  </w:style>
  <w:style w:type="paragraph" w:styleId="16">
    <w:name w:val="Body Text"/>
    <w:basedOn w:val="1"/>
    <w:link w:val="43"/>
    <w:qFormat/>
    <w:uiPriority w:val="0"/>
    <w:pPr>
      <w:widowControl/>
      <w:spacing w:line="320" w:lineRule="atLeast"/>
    </w:pPr>
    <w:rPr>
      <w:rFonts w:eastAsia="隶书"/>
      <w:b/>
      <w:kern w:val="0"/>
      <w:sz w:val="44"/>
      <w:szCs w:val="20"/>
    </w:rPr>
  </w:style>
  <w:style w:type="paragraph" w:styleId="17">
    <w:name w:val="Body Text Indent"/>
    <w:basedOn w:val="1"/>
    <w:link w:val="64"/>
    <w:qFormat/>
    <w:uiPriority w:val="0"/>
    <w:pPr>
      <w:ind w:firstLine="570"/>
    </w:pPr>
    <w:rPr>
      <w:rFonts w:ascii="宋体"/>
      <w:sz w:val="28"/>
      <w:szCs w:val="20"/>
    </w:rPr>
  </w:style>
  <w:style w:type="paragraph" w:styleId="18">
    <w:name w:val="List 2"/>
    <w:basedOn w:val="1"/>
    <w:qFormat/>
    <w:uiPriority w:val="0"/>
    <w:pPr>
      <w:ind w:left="100" w:leftChars="200" w:hanging="200" w:hangingChars="200"/>
    </w:pPr>
    <w:rPr>
      <w:sz w:val="28"/>
    </w:rPr>
  </w:style>
  <w:style w:type="paragraph" w:styleId="19">
    <w:name w:val="Plain Text"/>
    <w:basedOn w:val="1"/>
    <w:link w:val="65"/>
    <w:qFormat/>
    <w:uiPriority w:val="0"/>
    <w:rPr>
      <w:rFonts w:ascii="宋体" w:hAnsi="Courier New"/>
      <w:szCs w:val="20"/>
    </w:rPr>
  </w:style>
  <w:style w:type="paragraph" w:styleId="20">
    <w:name w:val="Date"/>
    <w:basedOn w:val="1"/>
    <w:next w:val="1"/>
    <w:link w:val="72"/>
    <w:qFormat/>
    <w:uiPriority w:val="0"/>
    <w:rPr>
      <w:szCs w:val="20"/>
    </w:rPr>
  </w:style>
  <w:style w:type="paragraph" w:styleId="21">
    <w:name w:val="Body Text Indent 2"/>
    <w:basedOn w:val="1"/>
    <w:link w:val="60"/>
    <w:qFormat/>
    <w:uiPriority w:val="0"/>
    <w:pPr>
      <w:spacing w:after="120" w:line="480" w:lineRule="auto"/>
      <w:ind w:left="420" w:leftChars="200"/>
    </w:pPr>
  </w:style>
  <w:style w:type="paragraph" w:styleId="22">
    <w:name w:val="Balloon Text"/>
    <w:basedOn w:val="1"/>
    <w:link w:val="55"/>
    <w:semiHidden/>
    <w:qFormat/>
    <w:uiPriority w:val="0"/>
    <w:rPr>
      <w:sz w:val="18"/>
      <w:szCs w:val="18"/>
    </w:rPr>
  </w:style>
  <w:style w:type="paragraph" w:styleId="23">
    <w:name w:val="footer"/>
    <w:basedOn w:val="1"/>
    <w:link w:val="73"/>
    <w:qFormat/>
    <w:uiPriority w:val="99"/>
    <w:pPr>
      <w:tabs>
        <w:tab w:val="center" w:pos="4153"/>
        <w:tab w:val="right" w:pos="8306"/>
      </w:tabs>
      <w:snapToGrid w:val="0"/>
      <w:jc w:val="left"/>
    </w:pPr>
    <w:rPr>
      <w:sz w:val="18"/>
      <w:szCs w:val="18"/>
    </w:rPr>
  </w:style>
  <w:style w:type="paragraph" w:styleId="24">
    <w:name w:val="header"/>
    <w:basedOn w:val="1"/>
    <w:link w:val="48"/>
    <w:qFormat/>
    <w:uiPriority w:val="0"/>
    <w:pPr>
      <w:pBdr>
        <w:bottom w:val="single" w:color="auto" w:sz="6" w:space="1"/>
      </w:pBdr>
      <w:tabs>
        <w:tab w:val="center" w:pos="4153"/>
        <w:tab w:val="right" w:pos="8306"/>
      </w:tabs>
      <w:snapToGrid w:val="0"/>
      <w:jc w:val="center"/>
    </w:pPr>
    <w:rPr>
      <w:sz w:val="18"/>
      <w:szCs w:val="18"/>
    </w:rPr>
  </w:style>
  <w:style w:type="paragraph" w:styleId="25">
    <w:name w:val="Subtitle"/>
    <w:basedOn w:val="1"/>
    <w:next w:val="1"/>
    <w:link w:val="61"/>
    <w:qFormat/>
    <w:uiPriority w:val="0"/>
    <w:pPr>
      <w:spacing w:before="240" w:after="60" w:line="312" w:lineRule="auto"/>
      <w:jc w:val="center"/>
      <w:outlineLvl w:val="1"/>
    </w:pPr>
    <w:rPr>
      <w:rFonts w:ascii="黑体" w:hAnsi="黑体" w:eastAsia="黑体"/>
      <w:bCs/>
      <w:kern w:val="28"/>
      <w:sz w:val="24"/>
      <w:szCs w:val="32"/>
    </w:rPr>
  </w:style>
  <w:style w:type="paragraph" w:styleId="26">
    <w:name w:val="List"/>
    <w:basedOn w:val="1"/>
    <w:qFormat/>
    <w:uiPriority w:val="0"/>
    <w:pPr>
      <w:ind w:left="200" w:hanging="200" w:hangingChars="200"/>
    </w:pPr>
  </w:style>
  <w:style w:type="paragraph" w:styleId="27">
    <w:name w:val="Body Text Indent 3"/>
    <w:basedOn w:val="1"/>
    <w:link w:val="69"/>
    <w:unhideWhenUsed/>
    <w:qFormat/>
    <w:uiPriority w:val="0"/>
    <w:pPr>
      <w:spacing w:after="120"/>
      <w:ind w:left="420" w:leftChars="200"/>
    </w:pPr>
    <w:rPr>
      <w:rFonts w:ascii="宋体" w:hAnsi="宋体"/>
      <w:kern w:val="0"/>
      <w:sz w:val="24"/>
      <w:szCs w:val="20"/>
    </w:rPr>
  </w:style>
  <w:style w:type="paragraph" w:styleId="28">
    <w:name w:val="Body Text 2"/>
    <w:basedOn w:val="1"/>
    <w:link w:val="49"/>
    <w:qFormat/>
    <w:uiPriority w:val="0"/>
    <w:pPr>
      <w:spacing w:line="360" w:lineRule="auto"/>
    </w:pPr>
    <w:rPr>
      <w:rFonts w:eastAsia="仿宋_GB2312"/>
      <w:sz w:val="24"/>
      <w:szCs w:val="20"/>
    </w:rPr>
  </w:style>
  <w:style w:type="paragraph" w:styleId="2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30">
    <w:name w:val="Normal (Web)"/>
    <w:basedOn w:val="1"/>
    <w:qFormat/>
    <w:uiPriority w:val="34"/>
    <w:pPr>
      <w:widowControl/>
      <w:spacing w:before="100" w:beforeAutospacing="1" w:after="100" w:afterAutospacing="1"/>
      <w:jc w:val="left"/>
    </w:pPr>
    <w:rPr>
      <w:rFonts w:ascii="宋体" w:hAnsi="宋体"/>
      <w:kern w:val="0"/>
      <w:sz w:val="24"/>
    </w:rPr>
  </w:style>
  <w:style w:type="paragraph" w:styleId="31">
    <w:name w:val="Title"/>
    <w:basedOn w:val="1"/>
    <w:next w:val="1"/>
    <w:link w:val="59"/>
    <w:qFormat/>
    <w:uiPriority w:val="0"/>
    <w:pPr>
      <w:spacing w:before="240" w:after="60"/>
      <w:jc w:val="center"/>
      <w:outlineLvl w:val="0"/>
    </w:pPr>
    <w:rPr>
      <w:rFonts w:ascii="Cambria" w:hAnsi="Cambria"/>
      <w:b/>
      <w:bCs/>
      <w:sz w:val="32"/>
      <w:szCs w:val="32"/>
    </w:rPr>
  </w:style>
  <w:style w:type="paragraph" w:styleId="32">
    <w:name w:val="annotation subject"/>
    <w:basedOn w:val="14"/>
    <w:next w:val="14"/>
    <w:link w:val="74"/>
    <w:unhideWhenUsed/>
    <w:qFormat/>
    <w:uiPriority w:val="0"/>
    <w:rPr>
      <w:b/>
      <w:bCs/>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bCs/>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Emphasis"/>
    <w:qFormat/>
    <w:uiPriority w:val="0"/>
    <w:rPr>
      <w:color w:val="CC0033"/>
    </w:rPr>
  </w:style>
  <w:style w:type="character" w:styleId="40">
    <w:name w:val="Hyperlink"/>
    <w:qFormat/>
    <w:uiPriority w:val="0"/>
    <w:rPr>
      <w:color w:val="0000FF"/>
      <w:u w:val="single"/>
    </w:rPr>
  </w:style>
  <w:style w:type="character" w:styleId="41">
    <w:name w:val="annotation reference"/>
    <w:unhideWhenUsed/>
    <w:qFormat/>
    <w:uiPriority w:val="0"/>
    <w:rPr>
      <w:sz w:val="21"/>
      <w:szCs w:val="21"/>
    </w:rPr>
  </w:style>
  <w:style w:type="character" w:customStyle="1" w:styleId="42">
    <w:name w:val="标题 2 字符"/>
    <w:link w:val="3"/>
    <w:qFormat/>
    <w:uiPriority w:val="9"/>
    <w:rPr>
      <w:b/>
      <w:kern w:val="2"/>
      <w:sz w:val="32"/>
    </w:rPr>
  </w:style>
  <w:style w:type="character" w:customStyle="1" w:styleId="43">
    <w:name w:val="正文文本 字符"/>
    <w:link w:val="16"/>
    <w:qFormat/>
    <w:locked/>
    <w:uiPriority w:val="0"/>
    <w:rPr>
      <w:rFonts w:eastAsia="隶书"/>
      <w:b/>
      <w:sz w:val="44"/>
    </w:rPr>
  </w:style>
  <w:style w:type="character" w:customStyle="1" w:styleId="44">
    <w:name w:val="标题 4 字符"/>
    <w:link w:val="6"/>
    <w:qFormat/>
    <w:uiPriority w:val="0"/>
    <w:rPr>
      <w:rFonts w:ascii="宋体" w:hAnsi="Arial"/>
      <w:b/>
      <w:sz w:val="24"/>
    </w:rPr>
  </w:style>
  <w:style w:type="character" w:customStyle="1" w:styleId="45">
    <w:name w:val="标题 Char1"/>
    <w:qFormat/>
    <w:uiPriority w:val="0"/>
    <w:rPr>
      <w:rFonts w:ascii="Cambria" w:hAnsi="Cambria" w:cs="Times New Roman"/>
      <w:b/>
      <w:bCs/>
      <w:kern w:val="2"/>
      <w:sz w:val="32"/>
      <w:szCs w:val="32"/>
    </w:rPr>
  </w:style>
  <w:style w:type="character" w:customStyle="1" w:styleId="46">
    <w:name w:val="标题 1 Char"/>
    <w:qFormat/>
    <w:uiPriority w:val="0"/>
    <w:rPr>
      <w:rFonts w:ascii="Arial" w:eastAsia="黑体"/>
      <w:kern w:val="44"/>
      <w:sz w:val="24"/>
    </w:rPr>
  </w:style>
  <w:style w:type="character" w:customStyle="1" w:styleId="47">
    <w:name w:val="标题 3 字符"/>
    <w:link w:val="5"/>
    <w:qFormat/>
    <w:uiPriority w:val="0"/>
    <w:rPr>
      <w:b/>
      <w:kern w:val="2"/>
      <w:sz w:val="28"/>
    </w:rPr>
  </w:style>
  <w:style w:type="character" w:customStyle="1" w:styleId="48">
    <w:name w:val="页眉 字符"/>
    <w:link w:val="24"/>
    <w:locked/>
    <w:uiPriority w:val="0"/>
    <w:rPr>
      <w:kern w:val="2"/>
      <w:sz w:val="18"/>
      <w:szCs w:val="18"/>
    </w:rPr>
  </w:style>
  <w:style w:type="character" w:customStyle="1" w:styleId="49">
    <w:name w:val="正文文本 2 字符"/>
    <w:link w:val="28"/>
    <w:qFormat/>
    <w:uiPriority w:val="0"/>
    <w:rPr>
      <w:rFonts w:eastAsia="仿宋_GB2312"/>
      <w:kern w:val="2"/>
      <w:sz w:val="24"/>
    </w:rPr>
  </w:style>
  <w:style w:type="character" w:customStyle="1" w:styleId="50">
    <w:name w:val="副标题 Char1"/>
    <w:qFormat/>
    <w:uiPriority w:val="0"/>
    <w:rPr>
      <w:rFonts w:ascii="Cambria" w:hAnsi="Cambria" w:cs="Times New Roman"/>
      <w:b/>
      <w:bCs/>
      <w:kern w:val="28"/>
      <w:sz w:val="32"/>
      <w:szCs w:val="32"/>
    </w:rPr>
  </w:style>
  <w:style w:type="character" w:customStyle="1" w:styleId="51">
    <w:name w:val="普通文字 Char Char2"/>
    <w:qFormat/>
    <w:locked/>
    <w:uiPriority w:val="0"/>
    <w:rPr>
      <w:rFonts w:ascii="宋体" w:hAnsi="Courier New" w:eastAsia="宋体"/>
    </w:rPr>
  </w:style>
  <w:style w:type="character" w:customStyle="1" w:styleId="52">
    <w:name w:val="规范正文 Char Char Char Char"/>
    <w:qFormat/>
    <w:uiPriority w:val="0"/>
    <w:rPr>
      <w:rFonts w:eastAsia="宋体"/>
      <w:kern w:val="2"/>
      <w:sz w:val="24"/>
      <w:szCs w:val="24"/>
      <w:lang w:val="en-US" w:eastAsia="zh-CN" w:bidi="ar-SA"/>
    </w:rPr>
  </w:style>
  <w:style w:type="character" w:customStyle="1" w:styleId="53">
    <w:name w:val="批注文字 字符"/>
    <w:link w:val="14"/>
    <w:qFormat/>
    <w:locked/>
    <w:uiPriority w:val="0"/>
    <w:rPr>
      <w:kern w:val="2"/>
      <w:sz w:val="21"/>
      <w:szCs w:val="24"/>
    </w:rPr>
  </w:style>
  <w:style w:type="character" w:customStyle="1" w:styleId="54">
    <w:name w:val="font01"/>
    <w:qFormat/>
    <w:uiPriority w:val="0"/>
    <w:rPr>
      <w:rFonts w:hint="default" w:ascii="Calibri" w:hAnsi="Calibri" w:cs="Calibri"/>
      <w:color w:val="000000"/>
      <w:sz w:val="18"/>
      <w:szCs w:val="18"/>
      <w:u w:val="none"/>
    </w:rPr>
  </w:style>
  <w:style w:type="character" w:customStyle="1" w:styleId="55">
    <w:name w:val="批注框文本 字符"/>
    <w:link w:val="22"/>
    <w:semiHidden/>
    <w:qFormat/>
    <w:locked/>
    <w:uiPriority w:val="0"/>
    <w:rPr>
      <w:kern w:val="2"/>
      <w:sz w:val="18"/>
      <w:szCs w:val="18"/>
    </w:rPr>
  </w:style>
  <w:style w:type="character" w:customStyle="1" w:styleId="56">
    <w:name w:val="标题 5 字符"/>
    <w:link w:val="7"/>
    <w:qFormat/>
    <w:uiPriority w:val="0"/>
    <w:rPr>
      <w:rFonts w:ascii="宋体" w:eastAsia="仿宋_GB2312"/>
      <w:b/>
      <w:sz w:val="28"/>
    </w:rPr>
  </w:style>
  <w:style w:type="character" w:customStyle="1" w:styleId="57">
    <w:name w:val="font21"/>
    <w:qFormat/>
    <w:uiPriority w:val="0"/>
    <w:rPr>
      <w:rFonts w:hint="default" w:ascii="仿宋_GB2312" w:eastAsia="仿宋_GB2312" w:cs="仿宋_GB2312"/>
      <w:color w:val="000000"/>
      <w:sz w:val="24"/>
      <w:szCs w:val="24"/>
      <w:u w:val="none"/>
    </w:rPr>
  </w:style>
  <w:style w:type="character" w:customStyle="1" w:styleId="58">
    <w:name w:val="已访问的超链接1"/>
    <w:qFormat/>
    <w:uiPriority w:val="0"/>
    <w:rPr>
      <w:color w:val="800080"/>
      <w:u w:val="single"/>
    </w:rPr>
  </w:style>
  <w:style w:type="character" w:customStyle="1" w:styleId="59">
    <w:name w:val="标题 字符"/>
    <w:link w:val="31"/>
    <w:qFormat/>
    <w:locked/>
    <w:uiPriority w:val="0"/>
    <w:rPr>
      <w:rFonts w:ascii="Cambria" w:hAnsi="Cambria"/>
      <w:b/>
      <w:bCs/>
      <w:kern w:val="2"/>
      <w:sz w:val="32"/>
      <w:szCs w:val="32"/>
    </w:rPr>
  </w:style>
  <w:style w:type="character" w:customStyle="1" w:styleId="60">
    <w:name w:val="正文文本缩进 2 字符"/>
    <w:link w:val="21"/>
    <w:qFormat/>
    <w:locked/>
    <w:uiPriority w:val="0"/>
    <w:rPr>
      <w:kern w:val="2"/>
      <w:sz w:val="21"/>
      <w:szCs w:val="24"/>
    </w:rPr>
  </w:style>
  <w:style w:type="character" w:customStyle="1" w:styleId="61">
    <w:name w:val="副标题 字符"/>
    <w:link w:val="25"/>
    <w:qFormat/>
    <w:locked/>
    <w:uiPriority w:val="0"/>
    <w:rPr>
      <w:rFonts w:ascii="黑体" w:hAnsi="黑体" w:eastAsia="黑体"/>
      <w:bCs/>
      <w:kern w:val="28"/>
      <w:sz w:val="24"/>
      <w:szCs w:val="32"/>
    </w:rPr>
  </w:style>
  <w:style w:type="character" w:customStyle="1" w:styleId="62">
    <w:name w:val="msoins"/>
    <w:basedOn w:val="35"/>
    <w:qFormat/>
    <w:uiPriority w:val="0"/>
  </w:style>
  <w:style w:type="character" w:customStyle="1" w:styleId="63">
    <w:name w:val="批注文字 Char1"/>
    <w:qFormat/>
    <w:uiPriority w:val="0"/>
    <w:rPr>
      <w:kern w:val="2"/>
      <w:sz w:val="21"/>
      <w:szCs w:val="24"/>
    </w:rPr>
  </w:style>
  <w:style w:type="character" w:customStyle="1" w:styleId="64">
    <w:name w:val="正文文本缩进 字符"/>
    <w:link w:val="17"/>
    <w:qFormat/>
    <w:locked/>
    <w:uiPriority w:val="0"/>
    <w:rPr>
      <w:rFonts w:ascii="宋体"/>
      <w:kern w:val="2"/>
      <w:sz w:val="28"/>
    </w:rPr>
  </w:style>
  <w:style w:type="character" w:customStyle="1" w:styleId="65">
    <w:name w:val="纯文本 字符"/>
    <w:link w:val="19"/>
    <w:qFormat/>
    <w:locked/>
    <w:uiPriority w:val="0"/>
    <w:rPr>
      <w:rFonts w:ascii="宋体" w:hAnsi="Courier New"/>
      <w:kern w:val="2"/>
      <w:sz w:val="21"/>
    </w:rPr>
  </w:style>
  <w:style w:type="character" w:customStyle="1" w:styleId="66">
    <w:name w:val="style18"/>
    <w:basedOn w:val="35"/>
    <w:qFormat/>
    <w:uiPriority w:val="0"/>
  </w:style>
  <w:style w:type="character" w:customStyle="1" w:styleId="67">
    <w:name w:val="正文文本 3 字符"/>
    <w:link w:val="15"/>
    <w:qFormat/>
    <w:locked/>
    <w:uiPriority w:val="0"/>
    <w:rPr>
      <w:kern w:val="2"/>
      <w:sz w:val="16"/>
      <w:szCs w:val="16"/>
    </w:rPr>
  </w:style>
  <w:style w:type="character" w:customStyle="1" w:styleId="68">
    <w:name w:val="文档结构图 字符"/>
    <w:link w:val="13"/>
    <w:qFormat/>
    <w:locked/>
    <w:uiPriority w:val="0"/>
    <w:rPr>
      <w:kern w:val="2"/>
      <w:sz w:val="21"/>
      <w:szCs w:val="24"/>
      <w:shd w:val="clear" w:color="auto" w:fill="000080"/>
    </w:rPr>
  </w:style>
  <w:style w:type="character" w:customStyle="1" w:styleId="69">
    <w:name w:val="正文文本缩进 3 字符"/>
    <w:link w:val="27"/>
    <w:qFormat/>
    <w:locked/>
    <w:uiPriority w:val="0"/>
    <w:rPr>
      <w:rFonts w:ascii="宋体" w:hAnsi="宋体"/>
      <w:sz w:val="24"/>
    </w:rPr>
  </w:style>
  <w:style w:type="character" w:customStyle="1" w:styleId="70">
    <w:name w:val="正文文本缩进 3 Char1"/>
    <w:qFormat/>
    <w:uiPriority w:val="0"/>
    <w:rPr>
      <w:kern w:val="2"/>
      <w:sz w:val="16"/>
      <w:szCs w:val="16"/>
    </w:rPr>
  </w:style>
  <w:style w:type="character" w:customStyle="1" w:styleId="71">
    <w:name w:val="标题 1 字符"/>
    <w:link w:val="2"/>
    <w:qFormat/>
    <w:uiPriority w:val="0"/>
    <w:rPr>
      <w:b/>
      <w:kern w:val="44"/>
      <w:sz w:val="36"/>
    </w:rPr>
  </w:style>
  <w:style w:type="character" w:customStyle="1" w:styleId="72">
    <w:name w:val="日期 字符"/>
    <w:link w:val="20"/>
    <w:qFormat/>
    <w:locked/>
    <w:uiPriority w:val="0"/>
    <w:rPr>
      <w:kern w:val="2"/>
      <w:sz w:val="21"/>
    </w:rPr>
  </w:style>
  <w:style w:type="character" w:customStyle="1" w:styleId="73">
    <w:name w:val="页脚 字符"/>
    <w:link w:val="23"/>
    <w:qFormat/>
    <w:locked/>
    <w:uiPriority w:val="99"/>
    <w:rPr>
      <w:kern w:val="2"/>
      <w:sz w:val="18"/>
      <w:szCs w:val="18"/>
    </w:rPr>
  </w:style>
  <w:style w:type="character" w:customStyle="1" w:styleId="74">
    <w:name w:val="批注主题 字符"/>
    <w:link w:val="32"/>
    <w:qFormat/>
    <w:locked/>
    <w:uiPriority w:val="0"/>
    <w:rPr>
      <w:b/>
      <w:bCs/>
      <w:kern w:val="2"/>
      <w:sz w:val="21"/>
      <w:szCs w:val="24"/>
    </w:rPr>
  </w:style>
  <w:style w:type="character" w:customStyle="1" w:styleId="75">
    <w:name w:val="批注主题 Char1"/>
    <w:qFormat/>
    <w:uiPriority w:val="0"/>
    <w:rPr>
      <w:b/>
      <w:bCs/>
      <w:kern w:val="2"/>
      <w:sz w:val="21"/>
      <w:szCs w:val="24"/>
    </w:rPr>
  </w:style>
  <w:style w:type="paragraph" w:customStyle="1" w:styleId="76">
    <w:name w:val="bb"/>
    <w:basedOn w:val="1"/>
    <w:qFormat/>
    <w:uiPriority w:val="0"/>
    <w:pPr>
      <w:widowControl/>
      <w:spacing w:before="100" w:beforeAutospacing="1" w:after="100" w:afterAutospacing="1"/>
      <w:jc w:val="left"/>
    </w:pPr>
    <w:rPr>
      <w:rFonts w:ascii="宋体" w:hAnsi="宋体" w:cs="宋体"/>
      <w:b/>
      <w:bCs/>
      <w:color w:val="990000"/>
      <w:kern w:val="0"/>
      <w:szCs w:val="21"/>
    </w:rPr>
  </w:style>
  <w:style w:type="paragraph" w:customStyle="1" w:styleId="77">
    <w:name w:val="样式 标题 4 + 左侧:  0 厘米 悬挂缩进: 8.64 字符 行距: 最小值 18.8 磅"/>
    <w:basedOn w:val="6"/>
    <w:qFormat/>
    <w:uiPriority w:val="0"/>
    <w:pPr>
      <w:keepLines/>
      <w:widowControl w:val="0"/>
      <w:spacing w:before="120" w:after="120"/>
      <w:ind w:left="862" w:hanging="862"/>
    </w:pPr>
    <w:rPr>
      <w:rFonts w:ascii="Arial"/>
      <w:bCs/>
      <w:kern w:val="2"/>
      <w:szCs w:val="24"/>
    </w:rPr>
  </w:style>
  <w:style w:type="paragraph" w:customStyle="1" w:styleId="78">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7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80">
    <w:name w:val="xl61"/>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kern w:val="0"/>
      <w:sz w:val="20"/>
      <w:szCs w:val="20"/>
    </w:rPr>
  </w:style>
  <w:style w:type="paragraph" w:customStyle="1" w:styleId="81">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82">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83">
    <w:name w:val="规范正文 Char Char Char"/>
    <w:basedOn w:val="1"/>
    <w:qFormat/>
    <w:uiPriority w:val="0"/>
    <w:pPr>
      <w:adjustRightInd w:val="0"/>
      <w:spacing w:line="360" w:lineRule="auto"/>
      <w:ind w:left="227" w:firstLine="454"/>
      <w:textAlignment w:val="baseline"/>
    </w:pPr>
    <w:rPr>
      <w:sz w:val="24"/>
    </w:rPr>
  </w:style>
  <w:style w:type="paragraph" w:customStyle="1" w:styleId="84">
    <w:name w:val="Char1 Char Char Char Char Char Char"/>
    <w:basedOn w:val="1"/>
    <w:qFormat/>
    <w:uiPriority w:val="0"/>
    <w:pPr>
      <w:ind w:firstLine="360" w:firstLineChars="150"/>
    </w:pPr>
    <w:rPr>
      <w:rFonts w:ascii="Tahoma" w:hAnsi="Tahoma"/>
      <w:sz w:val="24"/>
      <w:szCs w:val="20"/>
    </w:rPr>
  </w:style>
  <w:style w:type="paragraph" w:customStyle="1" w:styleId="85">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86">
    <w:name w:val="二级条标题"/>
    <w:basedOn w:val="87"/>
    <w:next w:val="1"/>
    <w:qFormat/>
    <w:uiPriority w:val="0"/>
    <w:pPr>
      <w:tabs>
        <w:tab w:val="left" w:pos="1260"/>
        <w:tab w:val="left" w:pos="1290"/>
      </w:tabs>
      <w:ind w:left="1290" w:hanging="720"/>
      <w:outlineLvl w:val="3"/>
    </w:pPr>
  </w:style>
  <w:style w:type="paragraph" w:customStyle="1" w:styleId="87">
    <w:name w:val="一级条标题"/>
    <w:basedOn w:val="1"/>
    <w:next w:val="1"/>
    <w:qFormat/>
    <w:uiPriority w:val="0"/>
    <w:pPr>
      <w:widowControl/>
      <w:tabs>
        <w:tab w:val="left" w:pos="1260"/>
      </w:tabs>
      <w:ind w:left="1260" w:hanging="420"/>
      <w:outlineLvl w:val="2"/>
    </w:pPr>
    <w:rPr>
      <w:rFonts w:ascii="黑体" w:eastAsia="黑体"/>
      <w:kern w:val="0"/>
      <w:sz w:val="24"/>
      <w:szCs w:val="20"/>
    </w:rPr>
  </w:style>
  <w:style w:type="paragraph" w:customStyle="1" w:styleId="88">
    <w:name w:val="xl57"/>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89">
    <w:name w:val="xl4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90">
    <w:name w:val="xl60"/>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91">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92">
    <w:name w:val="Char Char Char Char"/>
    <w:basedOn w:val="1"/>
    <w:next w:val="1"/>
    <w:qFormat/>
    <w:uiPriority w:val="0"/>
    <w:pPr>
      <w:widowControl/>
      <w:spacing w:after="160" w:line="240" w:lineRule="exact"/>
      <w:jc w:val="left"/>
    </w:pPr>
    <w:rPr>
      <w:rFonts w:ascii="Verdana" w:hAnsi="Verdana"/>
      <w:kern w:val="0"/>
      <w:sz w:val="20"/>
      <w:szCs w:val="20"/>
      <w:lang w:eastAsia="en-US"/>
    </w:rPr>
  </w:style>
  <w:style w:type="paragraph" w:customStyle="1" w:styleId="93">
    <w:name w:val="xl4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kern w:val="0"/>
      <w:sz w:val="20"/>
      <w:szCs w:val="20"/>
    </w:rPr>
  </w:style>
  <w:style w:type="paragraph" w:customStyle="1" w:styleId="94">
    <w:name w:val="xl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kern w:val="0"/>
      <w:sz w:val="20"/>
      <w:szCs w:val="20"/>
    </w:rPr>
  </w:style>
  <w:style w:type="paragraph" w:customStyle="1" w:styleId="95">
    <w:name w:val="font9"/>
    <w:basedOn w:val="1"/>
    <w:qFormat/>
    <w:uiPriority w:val="0"/>
    <w:pPr>
      <w:widowControl/>
      <w:spacing w:before="100" w:beforeAutospacing="1" w:after="100" w:afterAutospacing="1"/>
      <w:jc w:val="left"/>
    </w:pPr>
    <w:rPr>
      <w:b/>
      <w:bCs/>
      <w:kern w:val="0"/>
      <w:sz w:val="20"/>
      <w:szCs w:val="20"/>
    </w:rPr>
  </w:style>
  <w:style w:type="paragraph" w:customStyle="1" w:styleId="96">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kern w:val="0"/>
      <w:sz w:val="20"/>
      <w:szCs w:val="20"/>
    </w:rPr>
  </w:style>
  <w:style w:type="paragraph" w:customStyle="1" w:styleId="9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8">
    <w:name w:val="xl4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99">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0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01">
    <w:name w:val="xl5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02">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kern w:val="0"/>
      <w:sz w:val="20"/>
      <w:szCs w:val="20"/>
    </w:rPr>
  </w:style>
  <w:style w:type="paragraph" w:customStyle="1" w:styleId="10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0"/>
      <w:szCs w:val="20"/>
    </w:rPr>
  </w:style>
  <w:style w:type="paragraph" w:customStyle="1" w:styleId="104">
    <w:name w:val="font12"/>
    <w:basedOn w:val="1"/>
    <w:qFormat/>
    <w:uiPriority w:val="0"/>
    <w:pPr>
      <w:widowControl/>
      <w:spacing w:before="100" w:beforeAutospacing="1" w:after="100" w:afterAutospacing="1"/>
      <w:jc w:val="left"/>
    </w:pPr>
    <w:rPr>
      <w:kern w:val="0"/>
      <w:sz w:val="20"/>
      <w:szCs w:val="20"/>
    </w:rPr>
  </w:style>
  <w:style w:type="paragraph" w:customStyle="1" w:styleId="105">
    <w:name w:val="样式 标题 2 + Times New Roman 四号 非加粗 段前: 5 磅 段后: 0 磅 行距: 固定值 20..."/>
    <w:basedOn w:val="3"/>
    <w:qFormat/>
    <w:uiPriority w:val="0"/>
    <w:pPr>
      <w:spacing w:before="100" w:after="0" w:line="400" w:lineRule="exact"/>
    </w:pPr>
    <w:rPr>
      <w:rFonts w:eastAsia="黑体" w:cs="宋体"/>
      <w:b w:val="0"/>
      <w:sz w:val="28"/>
    </w:rPr>
  </w:style>
  <w:style w:type="paragraph" w:customStyle="1" w:styleId="106">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10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108">
    <w:name w:val="缺省文本"/>
    <w:basedOn w:val="1"/>
    <w:qFormat/>
    <w:uiPriority w:val="0"/>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109">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10">
    <w:name w:val="xl5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kern w:val="0"/>
      <w:sz w:val="20"/>
      <w:szCs w:val="20"/>
    </w:rPr>
  </w:style>
  <w:style w:type="paragraph" w:customStyle="1" w:styleId="111">
    <w:name w:val="样式 宋体 小四 首行缩进:  1.11 厘米 行距: 1.5 倍行距"/>
    <w:basedOn w:val="1"/>
    <w:qFormat/>
    <w:uiPriority w:val="0"/>
    <w:pPr>
      <w:spacing w:line="360" w:lineRule="auto"/>
      <w:ind w:left="708" w:leftChars="337" w:firstLine="1"/>
    </w:pPr>
    <w:rPr>
      <w:rFonts w:ascii="宋体"/>
      <w:sz w:val="24"/>
      <w:szCs w:val="20"/>
    </w:rPr>
  </w:style>
  <w:style w:type="paragraph" w:customStyle="1" w:styleId="112">
    <w:name w:val="列出段落1"/>
    <w:basedOn w:val="1"/>
    <w:qFormat/>
    <w:uiPriority w:val="34"/>
    <w:pPr>
      <w:ind w:firstLine="420" w:firstLineChars="200"/>
    </w:pPr>
    <w:rPr>
      <w:rFonts w:ascii="Calibri" w:hAnsi="Calibri"/>
      <w:szCs w:val="22"/>
    </w:rPr>
  </w:style>
  <w:style w:type="paragraph" w:customStyle="1" w:styleId="113">
    <w:name w:val="xl4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14">
    <w:name w:val="xl4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15">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16">
    <w:name w:val="xl7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17">
    <w:name w:val="xl5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kern w:val="0"/>
      <w:sz w:val="20"/>
      <w:szCs w:val="20"/>
    </w:rPr>
  </w:style>
  <w:style w:type="paragraph" w:customStyle="1" w:styleId="11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kern w:val="0"/>
      <w:sz w:val="20"/>
      <w:szCs w:val="20"/>
    </w:rPr>
  </w:style>
  <w:style w:type="paragraph" w:customStyle="1" w:styleId="119">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20">
    <w:name w:val="xl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kern w:val="0"/>
      <w:sz w:val="20"/>
      <w:szCs w:val="20"/>
    </w:rPr>
  </w:style>
  <w:style w:type="paragraph" w:customStyle="1" w:styleId="121">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kern w:val="0"/>
      <w:sz w:val="20"/>
      <w:szCs w:val="20"/>
    </w:rPr>
  </w:style>
  <w:style w:type="paragraph" w:customStyle="1" w:styleId="122">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23">
    <w:name w:val="xl4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2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125">
    <w:name w:val="Char2"/>
    <w:basedOn w:val="1"/>
    <w:qFormat/>
    <w:uiPriority w:val="0"/>
    <w:pPr>
      <w:spacing w:line="400" w:lineRule="exact"/>
    </w:pPr>
    <w:rPr>
      <w:rFonts w:ascii="Tahoma" w:hAnsi="Tahoma"/>
      <w:sz w:val="24"/>
      <w:szCs w:val="20"/>
    </w:rPr>
  </w:style>
  <w:style w:type="paragraph" w:customStyle="1" w:styleId="126">
    <w:name w:val="xl5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27">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28">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0"/>
      <w:szCs w:val="20"/>
    </w:rPr>
  </w:style>
  <w:style w:type="paragraph" w:customStyle="1" w:styleId="129">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30">
    <w:name w:val="xl6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kern w:val="0"/>
      <w:sz w:val="20"/>
      <w:szCs w:val="20"/>
    </w:rPr>
  </w:style>
  <w:style w:type="paragraph" w:customStyle="1" w:styleId="131">
    <w:name w:val="IBM 正文"/>
    <w:basedOn w:val="1"/>
    <w:qFormat/>
    <w:uiPriority w:val="0"/>
    <w:pPr>
      <w:spacing w:line="400" w:lineRule="exact"/>
    </w:pPr>
    <w:rPr>
      <w:spacing w:val="20"/>
      <w:sz w:val="24"/>
    </w:rPr>
  </w:style>
  <w:style w:type="paragraph" w:customStyle="1" w:styleId="132">
    <w:name w:val="样式 标题 3 + (中文) 黑体 小四 非加粗 段前: 7.8 磅 段后: 0 磅 行距: 固定值 20 磅"/>
    <w:basedOn w:val="5"/>
    <w:qFormat/>
    <w:uiPriority w:val="0"/>
    <w:pPr>
      <w:spacing w:before="0" w:after="0" w:line="400" w:lineRule="exact"/>
    </w:pPr>
    <w:rPr>
      <w:rFonts w:eastAsia="黑体" w:cs="宋体"/>
      <w:b w:val="0"/>
      <w:sz w:val="24"/>
    </w:rPr>
  </w:style>
  <w:style w:type="paragraph" w:customStyle="1" w:styleId="13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kern w:val="0"/>
      <w:sz w:val="20"/>
      <w:szCs w:val="20"/>
    </w:rPr>
  </w:style>
  <w:style w:type="paragraph" w:customStyle="1" w:styleId="134">
    <w:name w:val="样式 首行缩进:  2 字符"/>
    <w:basedOn w:val="1"/>
    <w:qFormat/>
    <w:uiPriority w:val="0"/>
    <w:pPr>
      <w:spacing w:line="360" w:lineRule="auto"/>
      <w:ind w:firstLine="200" w:firstLineChars="200"/>
    </w:pPr>
    <w:rPr>
      <w:sz w:val="24"/>
    </w:rPr>
  </w:style>
  <w:style w:type="paragraph" w:customStyle="1" w:styleId="13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136">
    <w:name w:val="xl5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37">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38">
    <w:name w:val="xl54"/>
    <w:basedOn w:val="1"/>
    <w:qFormat/>
    <w:uiPriority w:val="0"/>
    <w:pPr>
      <w:widowControl/>
      <w:spacing w:before="100" w:beforeAutospacing="1" w:after="100" w:afterAutospacing="1"/>
      <w:jc w:val="left"/>
      <w:textAlignment w:val="center"/>
    </w:pPr>
    <w:rPr>
      <w:rFonts w:ascii="宋体" w:hAnsi="宋体"/>
      <w:kern w:val="0"/>
      <w:sz w:val="20"/>
      <w:szCs w:val="20"/>
    </w:rPr>
  </w:style>
  <w:style w:type="paragraph" w:customStyle="1" w:styleId="139">
    <w:name w:val="样式7"/>
    <w:basedOn w:val="1"/>
    <w:qFormat/>
    <w:uiPriority w:val="0"/>
    <w:pPr>
      <w:spacing w:line="500" w:lineRule="exact"/>
      <w:jc w:val="center"/>
    </w:pPr>
    <w:rPr>
      <w:rFonts w:ascii="宋体"/>
      <w:b/>
      <w:sz w:val="32"/>
      <w:szCs w:val="20"/>
    </w:rPr>
  </w:style>
  <w:style w:type="paragraph" w:customStyle="1" w:styleId="14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41">
    <w:name w:val="font7"/>
    <w:basedOn w:val="1"/>
    <w:qFormat/>
    <w:uiPriority w:val="0"/>
    <w:pPr>
      <w:widowControl/>
      <w:spacing w:before="100" w:beforeAutospacing="1" w:after="100" w:afterAutospacing="1"/>
      <w:jc w:val="left"/>
    </w:pPr>
    <w:rPr>
      <w:kern w:val="0"/>
      <w:sz w:val="20"/>
      <w:szCs w:val="20"/>
    </w:rPr>
  </w:style>
  <w:style w:type="paragraph" w:customStyle="1" w:styleId="14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kern w:val="0"/>
      <w:sz w:val="20"/>
      <w:szCs w:val="20"/>
    </w:rPr>
  </w:style>
  <w:style w:type="paragraph" w:customStyle="1" w:styleId="143">
    <w:name w:val="样式 标题 2 + 小二 段前: 0.5 行 段后: 0.5 行"/>
    <w:basedOn w:val="3"/>
    <w:qFormat/>
    <w:uiPriority w:val="0"/>
    <w:pPr>
      <w:keepLines w:val="0"/>
      <w:spacing w:before="156" w:beforeLines="50" w:after="156" w:afterLines="50" w:line="360" w:lineRule="auto"/>
    </w:pPr>
    <w:rPr>
      <w:rFonts w:ascii="宋体"/>
      <w:bCs/>
      <w:sz w:val="30"/>
      <w:szCs w:val="30"/>
    </w:rPr>
  </w:style>
  <w:style w:type="paragraph" w:customStyle="1" w:styleId="144">
    <w:name w:val="xl5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4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46">
    <w:name w:val="font11"/>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147">
    <w:name w:val="xl5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48">
    <w:name w:val="Char"/>
    <w:basedOn w:val="1"/>
    <w:next w:val="1"/>
    <w:qFormat/>
    <w:uiPriority w:val="0"/>
    <w:pPr>
      <w:widowControl/>
      <w:spacing w:after="160" w:line="240" w:lineRule="exact"/>
      <w:jc w:val="left"/>
    </w:pPr>
    <w:rPr>
      <w:rFonts w:ascii="Verdana" w:hAnsi="Verdana"/>
      <w:kern w:val="0"/>
      <w:sz w:val="20"/>
      <w:szCs w:val="20"/>
      <w:lang w:eastAsia="en-US"/>
    </w:rPr>
  </w:style>
  <w:style w:type="paragraph" w:customStyle="1" w:styleId="149">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50">
    <w:name w:val="规范正文 Char Char"/>
    <w:basedOn w:val="1"/>
    <w:qFormat/>
    <w:uiPriority w:val="0"/>
    <w:pPr>
      <w:adjustRightInd w:val="0"/>
      <w:spacing w:line="360" w:lineRule="auto"/>
      <w:ind w:left="227" w:firstLine="454"/>
      <w:textAlignment w:val="baseline"/>
    </w:pPr>
    <w:rPr>
      <w:kern w:val="0"/>
      <w:sz w:val="24"/>
      <w:szCs w:val="20"/>
    </w:rPr>
  </w:style>
  <w:style w:type="paragraph" w:customStyle="1" w:styleId="151">
    <w:name w:val="Table Paragraph"/>
    <w:basedOn w:val="1"/>
    <w:qFormat/>
    <w:uiPriority w:val="1"/>
    <w:pPr>
      <w:jc w:val="left"/>
    </w:pPr>
    <w:rPr>
      <w:rFonts w:ascii="Calibri" w:hAnsi="Calibri"/>
      <w:kern w:val="0"/>
      <w:sz w:val="22"/>
      <w:szCs w:val="22"/>
      <w:lang w:eastAsia="en-US"/>
    </w:rPr>
  </w:style>
  <w:style w:type="paragraph" w:customStyle="1" w:styleId="152">
    <w:name w:val="默认段落字体 Para Char Char Char Char Char Char Char Char Char1 Char Char Char Char"/>
    <w:basedOn w:val="1"/>
    <w:qFormat/>
    <w:uiPriority w:val="0"/>
    <w:rPr>
      <w:rFonts w:ascii="Tahoma" w:hAnsi="Tahoma"/>
      <w:sz w:val="24"/>
      <w:szCs w:val="20"/>
    </w:rPr>
  </w:style>
  <w:style w:type="paragraph" w:customStyle="1" w:styleId="153">
    <w:name w:val="font8"/>
    <w:basedOn w:val="1"/>
    <w:qFormat/>
    <w:uiPriority w:val="0"/>
    <w:pPr>
      <w:widowControl/>
      <w:spacing w:before="100" w:beforeAutospacing="1" w:after="100" w:afterAutospacing="1"/>
      <w:jc w:val="left"/>
    </w:pPr>
    <w:rPr>
      <w:rFonts w:hint="eastAsia" w:ascii="宋体" w:hAnsi="宋体"/>
      <w:b/>
      <w:bCs/>
      <w:kern w:val="0"/>
      <w:sz w:val="20"/>
      <w:szCs w:val="20"/>
    </w:rPr>
  </w:style>
  <w:style w:type="paragraph" w:customStyle="1" w:styleId="154">
    <w:name w:val="表格文字"/>
    <w:basedOn w:val="1"/>
    <w:qFormat/>
    <w:uiPriority w:val="0"/>
    <w:pPr>
      <w:adjustRightInd w:val="0"/>
      <w:spacing w:line="420" w:lineRule="atLeast"/>
      <w:jc w:val="left"/>
    </w:pPr>
    <w:rPr>
      <w:kern w:val="0"/>
      <w:szCs w:val="20"/>
    </w:rPr>
  </w:style>
  <w:style w:type="paragraph" w:customStyle="1" w:styleId="155">
    <w:name w:val="Char Char1 Char Char Char Char Char1 Char Char Char Char"/>
    <w:basedOn w:val="13"/>
    <w:qFormat/>
    <w:uiPriority w:val="0"/>
    <w:rPr>
      <w:rFonts w:ascii="Tahoma" w:hAnsi="Tahoma" w:eastAsia="仿宋_GB2312"/>
      <w:sz w:val="30"/>
      <w:szCs w:val="30"/>
    </w:rPr>
  </w:style>
  <w:style w:type="paragraph" w:customStyle="1" w:styleId="156">
    <w:name w:val="样式 标题 2 + 左侧:  0 厘米 首行缩进:  0 厘米 右侧:  2 字符"/>
    <w:basedOn w:val="3"/>
    <w:qFormat/>
    <w:uiPriority w:val="0"/>
    <w:pPr>
      <w:spacing w:before="120" w:after="120" w:line="360" w:lineRule="auto"/>
      <w:ind w:right="420" w:rightChars="200"/>
    </w:pPr>
    <w:rPr>
      <w:rFonts w:ascii="Arial" w:hAnsi="Arial" w:eastAsia="黑体"/>
      <w:bCs/>
      <w:sz w:val="24"/>
    </w:rPr>
  </w:style>
  <w:style w:type="paragraph" w:customStyle="1" w:styleId="157">
    <w:name w:val="xl4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kern w:val="0"/>
      <w:sz w:val="20"/>
      <w:szCs w:val="20"/>
    </w:rPr>
  </w:style>
  <w:style w:type="paragraph" w:customStyle="1" w:styleId="158">
    <w:name w:val="Default Text"/>
    <w:basedOn w:val="1"/>
    <w:qFormat/>
    <w:uiPriority w:val="0"/>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159">
    <w:name w:val="xl52"/>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0"/>
      <w:szCs w:val="20"/>
    </w:rPr>
  </w:style>
  <w:style w:type="paragraph" w:customStyle="1" w:styleId="16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kern w:val="0"/>
      <w:sz w:val="20"/>
      <w:szCs w:val="20"/>
    </w:rPr>
  </w:style>
  <w:style w:type="table" w:customStyle="1" w:styleId="161">
    <w:name w:val="网格型1"/>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2">
    <w:name w:val="网格型2"/>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3">
    <w:name w:val="网格型3"/>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4">
    <w:name w:val="网格型9"/>
    <w:basedOn w:val="33"/>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5">
    <w:name w:val="网格型4"/>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6">
    <w:name w:val="网格型7"/>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7">
    <w:name w:val="网格型8"/>
    <w:basedOn w:val="33"/>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
    <w:name w:val="网格型5"/>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9">
    <w:name w:val="网格型6"/>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0">
    <w:name w:val="Default"/>
    <w:next w:val="171"/>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71">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172">
    <w:name w:val="修订11"/>
    <w:unhideWhenUsed/>
    <w:qFormat/>
    <w:uiPriority w:val="99"/>
    <w:rPr>
      <w:rFonts w:ascii="Times New Roman" w:hAnsi="Times New Roman" w:eastAsia="宋体" w:cs="Times New Roman"/>
      <w:kern w:val="2"/>
      <w:sz w:val="21"/>
      <w:szCs w:val="24"/>
      <w:lang w:val="en-US" w:eastAsia="zh-CN" w:bidi="ar-SA"/>
    </w:rPr>
  </w:style>
  <w:style w:type="paragraph" w:customStyle="1" w:styleId="173">
    <w:name w:val="列出段落1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上海市政府采购中心</Company>
  <Pages>57</Pages>
  <Words>27312</Words>
  <Characters>4516</Characters>
  <Lines>37</Lines>
  <Paragraphs>63</Paragraphs>
  <TotalTime>18</TotalTime>
  <ScaleCrop>false</ScaleCrop>
  <LinksUpToDate>false</LinksUpToDate>
  <CharactersWithSpaces>31765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2020-10-27T05:49:00Z</dcterms:created>
  <dc:creator>徐舟</dc:creator>
  <cp:lastModifiedBy>A.wu</cp:lastModifiedBy>
  <cp:lastPrinted>2019-03-19T06:57:00Z</cp:lastPrinted>
  <dcterms:modified xsi:type="dcterms:W3CDTF">2020-10-27T06:14:11Z</dcterms:modified>
  <dc:title>货物招标文件通用模板</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