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insoku w:val="0"/>
        <w:overflowPunct w:val="0"/>
        <w:spacing w:before="1" w:line="338" w:lineRule="auto"/>
        <w:ind w:left="5220"/>
        <w:rPr>
          <w:rFonts w:ascii="Times New Roman" w:cs="Times New Roman"/>
          <w:color w:val="000000" w:themeColor="text1"/>
          <w:spacing w:val="-4"/>
          <w:highlight w:val="none"/>
          <w14:textFill>
            <w14:solidFill>
              <w14:schemeClr w14:val="tx1"/>
            </w14:solidFill>
          </w14:textFill>
        </w:rPr>
      </w:pPr>
      <w:r>
        <w:rPr>
          <w:rFonts w:hint="eastAsia"/>
          <w:color w:val="000000" w:themeColor="text1"/>
          <w:spacing w:val="-4"/>
          <w:highlight w:val="none"/>
          <w14:textFill>
            <w14:solidFill>
              <w14:schemeClr w14:val="tx1"/>
            </w14:solidFill>
          </w14:textFill>
        </w:rPr>
        <w:t>招标编号：YX-FDCG-2020-016</w:t>
      </w:r>
    </w:p>
    <w:p>
      <w:pPr>
        <w:pStyle w:val="7"/>
        <w:kinsoku w:val="0"/>
        <w:overflowPunct w:val="0"/>
        <w:spacing w:before="1" w:line="338" w:lineRule="auto"/>
        <w:ind w:left="5220"/>
        <w:rPr>
          <w:rFonts w:ascii="Times New Roman" w:cs="Times New Roman"/>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项目编号：</w:t>
      </w:r>
      <w:r>
        <w:rPr>
          <w:color w:val="000000" w:themeColor="text1"/>
          <w:highlight w:val="none"/>
          <w14:textFill>
            <w14:solidFill>
              <w14:schemeClr w14:val="tx1"/>
            </w14:solidFill>
          </w14:textFill>
        </w:rPr>
        <w:t>HW2020102701</w:t>
      </w:r>
    </w:p>
    <w:p>
      <w:pPr>
        <w:pStyle w:val="11"/>
        <w:kinsoku w:val="0"/>
        <w:overflowPunct w:val="0"/>
        <w:spacing w:before="0"/>
        <w:ind w:left="0"/>
        <w:rPr>
          <w:rFonts w:ascii="Times New Roman" w:cs="Times New Roman" w:eastAsiaTheme="minorEastAsia"/>
          <w:color w:val="000000" w:themeColor="text1"/>
          <w:sz w:val="24"/>
          <w:szCs w:val="24"/>
          <w:highlight w:val="none"/>
          <w14:textFill>
            <w14:solidFill>
              <w14:schemeClr w14:val="tx1"/>
            </w14:solidFill>
          </w14:textFill>
        </w:rPr>
      </w:pPr>
    </w:p>
    <w:p>
      <w:pPr>
        <w:pStyle w:val="11"/>
        <w:kinsoku w:val="0"/>
        <w:overflowPunct w:val="0"/>
        <w:spacing w:before="0"/>
        <w:ind w:left="0"/>
        <w:rPr>
          <w:rFonts w:ascii="Times New Roman" w:cs="Times New Roman" w:eastAsiaTheme="minorEastAsia"/>
          <w:color w:val="000000" w:themeColor="text1"/>
          <w:sz w:val="24"/>
          <w:szCs w:val="24"/>
          <w:highlight w:val="none"/>
          <w14:textFill>
            <w14:solidFill>
              <w14:schemeClr w14:val="tx1"/>
            </w14:solidFill>
          </w14:textFill>
        </w:rPr>
      </w:pPr>
    </w:p>
    <w:p>
      <w:pPr>
        <w:pStyle w:val="11"/>
        <w:kinsoku w:val="0"/>
        <w:overflowPunct w:val="0"/>
        <w:spacing w:before="195" w:line="357" w:lineRule="auto"/>
        <w:ind w:left="4"/>
        <w:jc w:val="center"/>
        <w:rPr>
          <w:rFonts w:ascii="黑体" w:eastAsia="黑体" w:cs="黑体"/>
          <w:color w:val="000000" w:themeColor="text1"/>
          <w:sz w:val="48"/>
          <w:szCs w:val="48"/>
          <w:highlight w:val="none"/>
          <w14:textFill>
            <w14:solidFill>
              <w14:schemeClr w14:val="tx1"/>
            </w14:solidFill>
          </w14:textFill>
        </w:rPr>
      </w:pPr>
      <w:r>
        <w:rPr>
          <w:rFonts w:hint="eastAsia" w:ascii="黑体" w:eastAsia="黑体" w:cs="黑体"/>
          <w:color w:val="000000" w:themeColor="text1"/>
          <w:sz w:val="48"/>
          <w:szCs w:val="48"/>
          <w:highlight w:val="none"/>
          <w14:textFill>
            <w14:solidFill>
              <w14:schemeClr w14:val="tx1"/>
            </w14:solidFill>
          </w14:textFill>
        </w:rPr>
        <w:t>复旦大学</w:t>
      </w:r>
    </w:p>
    <w:p>
      <w:pPr>
        <w:pStyle w:val="11"/>
        <w:kinsoku w:val="0"/>
        <w:overflowPunct w:val="0"/>
        <w:spacing w:before="195" w:line="357" w:lineRule="auto"/>
        <w:ind w:left="4"/>
        <w:jc w:val="center"/>
        <w:rPr>
          <w:rFonts w:ascii="黑体" w:eastAsia="黑体" w:cs="黑体"/>
          <w:color w:val="000000" w:themeColor="text1"/>
          <w:sz w:val="52"/>
          <w:szCs w:val="52"/>
          <w:highlight w:val="none"/>
          <w14:textFill>
            <w14:solidFill>
              <w14:schemeClr w14:val="tx1"/>
            </w14:solidFill>
          </w14:textFill>
        </w:rPr>
      </w:pPr>
      <w:r>
        <w:rPr>
          <w:rFonts w:hint="eastAsia" w:ascii="黑体" w:eastAsia="黑体" w:cs="黑体"/>
          <w:color w:val="000000" w:themeColor="text1"/>
          <w:sz w:val="48"/>
          <w:szCs w:val="48"/>
          <w:highlight w:val="none"/>
          <w14:textFill>
            <w14:solidFill>
              <w14:schemeClr w14:val="tx1"/>
            </w14:solidFill>
          </w14:textFill>
        </w:rPr>
        <w:t>GPU异构服务器采购项目</w:t>
      </w:r>
    </w:p>
    <w:p>
      <w:pPr>
        <w:pStyle w:val="11"/>
        <w:kinsoku w:val="0"/>
        <w:overflowPunct w:val="0"/>
        <w:spacing w:before="0"/>
        <w:ind w:left="0"/>
        <w:rPr>
          <w:rFonts w:ascii="黑体" w:eastAsia="黑体" w:cs="黑体"/>
          <w:color w:val="000000" w:themeColor="text1"/>
          <w:sz w:val="52"/>
          <w:szCs w:val="52"/>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52"/>
          <w:szCs w:val="52"/>
          <w:highlight w:val="none"/>
          <w14:textFill>
            <w14:solidFill>
              <w14:schemeClr w14:val="tx1"/>
            </w14:solidFill>
          </w14:textFill>
        </w:rPr>
      </w:pPr>
    </w:p>
    <w:p>
      <w:pPr>
        <w:pStyle w:val="11"/>
        <w:kinsoku w:val="0"/>
        <w:overflowPunct w:val="0"/>
        <w:spacing w:before="2"/>
        <w:ind w:left="0"/>
        <w:rPr>
          <w:rFonts w:ascii="黑体" w:eastAsia="黑体" w:cs="黑体"/>
          <w:color w:val="000000" w:themeColor="text1"/>
          <w:sz w:val="54"/>
          <w:szCs w:val="54"/>
          <w:highlight w:val="none"/>
          <w14:textFill>
            <w14:solidFill>
              <w14:schemeClr w14:val="tx1"/>
            </w14:solidFill>
          </w14:textFill>
        </w:rPr>
      </w:pPr>
    </w:p>
    <w:p>
      <w:pPr>
        <w:pStyle w:val="2"/>
        <w:tabs>
          <w:tab w:val="left" w:pos="3223"/>
          <w:tab w:val="left" w:pos="4483"/>
          <w:tab w:val="left" w:pos="5743"/>
        </w:tabs>
        <w:kinsoku w:val="0"/>
        <w:overflowPunct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招</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标</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文</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件</w:t>
      </w: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11"/>
        <w:kinsoku w:val="0"/>
        <w:overflowPunct w:val="0"/>
        <w:spacing w:before="0"/>
        <w:ind w:left="0"/>
        <w:rPr>
          <w:rFonts w:ascii="黑体" w:eastAsia="黑体" w:cs="黑体"/>
          <w:color w:val="000000" w:themeColor="text1"/>
          <w:sz w:val="84"/>
          <w:szCs w:val="84"/>
          <w:highlight w:val="none"/>
          <w14:textFill>
            <w14:solidFill>
              <w14:schemeClr w14:val="tx1"/>
            </w14:solidFill>
          </w14:textFill>
        </w:rPr>
      </w:pPr>
    </w:p>
    <w:p>
      <w:pPr>
        <w:pStyle w:val="4"/>
        <w:kinsoku w:val="0"/>
        <w:overflowPunct w:val="0"/>
        <w:spacing w:line="475" w:lineRule="auto"/>
        <w:ind w:left="1959"/>
        <w:rPr>
          <w:rFonts w:ascii="黑体" w:eastAsia="黑体" w:cs="黑体"/>
          <w:color w:val="000000" w:themeColor="text1"/>
          <w:w w:val="99"/>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采购人：复旦大学</w:t>
      </w:r>
    </w:p>
    <w:p>
      <w:pPr>
        <w:pStyle w:val="4"/>
        <w:kinsoku w:val="0"/>
        <w:overflowPunct w:val="0"/>
        <w:spacing w:line="475" w:lineRule="auto"/>
        <w:ind w:left="1959"/>
        <w:rPr>
          <w:rFonts w:ascii="黑体" w:eastAsia="黑体" w:cs="黑体"/>
          <w:color w:val="000000" w:themeColor="text1"/>
          <w:w w:val="99"/>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采购代理机构：上海银鑫建设咨询有限公司</w:t>
      </w:r>
      <w:r>
        <w:rPr>
          <w:rFonts w:ascii="黑体" w:eastAsia="黑体" w:cs="黑体"/>
          <w:color w:val="000000" w:themeColor="text1"/>
          <w:w w:val="99"/>
          <w:highlight w:val="none"/>
          <w14:textFill>
            <w14:solidFill>
              <w14:schemeClr w14:val="tx1"/>
            </w14:solidFill>
          </w14:textFill>
        </w:rPr>
        <w:t xml:space="preserve"> </w:t>
      </w:r>
    </w:p>
    <w:p>
      <w:pPr>
        <w:pStyle w:val="4"/>
        <w:kinsoku w:val="0"/>
        <w:overflowPunct w:val="0"/>
        <w:spacing w:line="475" w:lineRule="auto"/>
        <w:ind w:left="1959"/>
        <w:rPr>
          <w:rFonts w:ascii="黑体" w:eastAsia="黑体" w:cs="黑体"/>
          <w:color w:val="000000" w:themeColor="text1"/>
          <w:highlight w:val="none"/>
          <w14:textFill>
            <w14:solidFill>
              <w14:schemeClr w14:val="tx1"/>
            </w14:solidFill>
          </w14:textFill>
        </w:rPr>
      </w:pPr>
      <w:r>
        <w:rPr>
          <w:rFonts w:hint="eastAsia" w:ascii="黑体" w:eastAsia="黑体" w:cs="黑体"/>
          <w:color w:val="000000" w:themeColor="text1"/>
          <w:highlight w:val="none"/>
          <w14:textFill>
            <w14:solidFill>
              <w14:schemeClr w14:val="tx1"/>
            </w14:solidFill>
          </w14:textFill>
        </w:rPr>
        <w:t>日期：二〇二〇年十月</w:t>
      </w:r>
    </w:p>
    <w:p>
      <w:pPr>
        <w:pStyle w:val="4"/>
        <w:kinsoku w:val="0"/>
        <w:overflowPunct w:val="0"/>
        <w:spacing w:before="673" w:line="475" w:lineRule="auto"/>
        <w:ind w:left="1959"/>
        <w:rPr>
          <w:rFonts w:ascii="黑体" w:eastAsia="黑体" w:cs="黑体"/>
          <w:color w:val="000000" w:themeColor="text1"/>
          <w:highlight w:val="none"/>
          <w14:textFill>
            <w14:solidFill>
              <w14:schemeClr w14:val="tx1"/>
            </w14:solidFill>
          </w14:textFill>
        </w:rPr>
        <w:sectPr>
          <w:type w:val="continuous"/>
          <w:pgSz w:w="11910" w:h="16840"/>
          <w:pgMar w:top="1400" w:right="1680" w:bottom="280" w:left="1680" w:header="720" w:footer="720" w:gutter="0"/>
          <w:cols w:space="720" w:num="1"/>
        </w:sectPr>
      </w:pPr>
    </w:p>
    <w:p>
      <w:pPr>
        <w:pStyle w:val="11"/>
        <w:kinsoku w:val="0"/>
        <w:overflowPunct w:val="0"/>
        <w:spacing w:before="0"/>
        <w:ind w:left="0"/>
        <w:rPr>
          <w:rFonts w:ascii="黑体" w:eastAsia="黑体" w:cs="黑体"/>
          <w:color w:val="000000" w:themeColor="text1"/>
          <w:sz w:val="20"/>
          <w:szCs w:val="20"/>
          <w:highlight w:val="none"/>
          <w14:textFill>
            <w14:solidFill>
              <w14:schemeClr w14:val="tx1"/>
            </w14:solidFill>
          </w14:textFill>
        </w:rPr>
      </w:pPr>
    </w:p>
    <w:p>
      <w:pPr>
        <w:pStyle w:val="11"/>
        <w:kinsoku w:val="0"/>
        <w:overflowPunct w:val="0"/>
        <w:spacing w:before="11"/>
        <w:ind w:left="0"/>
        <w:rPr>
          <w:rFonts w:ascii="黑体" w:eastAsia="黑体" w:cs="黑体"/>
          <w:color w:val="000000" w:themeColor="text1"/>
          <w:sz w:val="22"/>
          <w:szCs w:val="22"/>
          <w:highlight w:val="none"/>
          <w14:textFill>
            <w14:solidFill>
              <w14:schemeClr w14:val="tx1"/>
            </w14:solidFill>
          </w14:textFill>
        </w:rPr>
      </w:pPr>
    </w:p>
    <w:p>
      <w:pPr>
        <w:pStyle w:val="8"/>
        <w:tabs>
          <w:tab w:val="left" w:pos="848"/>
        </w:tabs>
        <w:kinsoku w:val="0"/>
        <w:overflowPunct w:val="0"/>
        <w:spacing w:before="35"/>
        <w:ind w:left="3"/>
        <w:jc w:val="center"/>
        <w:rPr>
          <w:b w:val="0"/>
          <w:bCs w:val="0"/>
          <w:color w:val="000000" w:themeColor="text1"/>
          <w:highlight w:val="none"/>
          <w14:textFill>
            <w14:solidFill>
              <w14:schemeClr w14:val="tx1"/>
            </w14:solidFill>
          </w14:textFill>
        </w:rPr>
      </w:pPr>
      <w:r>
        <w:rPr>
          <w:rFonts w:hint="eastAsia"/>
          <w:color w:val="000000" w:themeColor="text1"/>
          <w:w w:val="95"/>
          <w:highlight w:val="none"/>
          <w14:textFill>
            <w14:solidFill>
              <w14:schemeClr w14:val="tx1"/>
            </w14:solidFill>
          </w14:textFill>
        </w:rPr>
        <w:t>目</w:t>
      </w:r>
      <w:r>
        <w:rPr>
          <w:color w:val="000000" w:themeColor="text1"/>
          <w:w w:val="95"/>
          <w:highlight w:val="none"/>
          <w14:textFill>
            <w14:solidFill>
              <w14:schemeClr w14:val="tx1"/>
            </w14:solidFill>
          </w14:textFill>
        </w:rPr>
        <w:tab/>
      </w:r>
      <w:r>
        <w:rPr>
          <w:rFonts w:hint="eastAsia"/>
          <w:color w:val="000000" w:themeColor="text1"/>
          <w:highlight w:val="none"/>
          <w14:textFill>
            <w14:solidFill>
              <w14:schemeClr w14:val="tx1"/>
            </w14:solidFill>
          </w14:textFill>
        </w:rPr>
        <w:t>录</w:t>
      </w:r>
    </w:p>
    <w:p>
      <w:pPr>
        <w:pStyle w:val="11"/>
        <w:kinsoku w:val="0"/>
        <w:overflowPunct w:val="0"/>
        <w:spacing w:before="0"/>
        <w:ind w:left="0"/>
        <w:rPr>
          <w:b/>
          <w:bCs/>
          <w:color w:val="000000" w:themeColor="text1"/>
          <w:sz w:val="20"/>
          <w:szCs w:val="20"/>
          <w:highlight w:val="none"/>
          <w14:textFill>
            <w14:solidFill>
              <w14:schemeClr w14:val="tx1"/>
            </w14:solidFill>
          </w14:textFill>
        </w:rPr>
      </w:pPr>
    </w:p>
    <w:p>
      <w:pPr>
        <w:pStyle w:val="11"/>
        <w:kinsoku w:val="0"/>
        <w:overflowPunct w:val="0"/>
        <w:spacing w:before="0"/>
        <w:ind w:left="0"/>
        <w:rPr>
          <w:b/>
          <w:bCs/>
          <w:color w:val="000000" w:themeColor="text1"/>
          <w:sz w:val="20"/>
          <w:szCs w:val="20"/>
          <w:highlight w:val="none"/>
          <w14:textFill>
            <w14:solidFill>
              <w14:schemeClr w14:val="tx1"/>
            </w14:solidFill>
          </w14:textFill>
        </w:rPr>
      </w:pPr>
    </w:p>
    <w:p>
      <w:pPr>
        <w:pStyle w:val="11"/>
        <w:kinsoku w:val="0"/>
        <w:overflowPunct w:val="0"/>
        <w:spacing w:before="9"/>
        <w:ind w:left="0"/>
        <w:rPr>
          <w:b/>
          <w:bCs/>
          <w:color w:val="000000" w:themeColor="text1"/>
          <w:sz w:val="29"/>
          <w:szCs w:val="29"/>
          <w:highlight w:val="none"/>
          <w14:textFill>
            <w14:solidFill>
              <w14:schemeClr w14:val="tx1"/>
            </w14:solidFill>
          </w14:textFill>
        </w:rPr>
      </w:pP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第一章：</w:t>
      </w:r>
      <w:r>
        <w:rPr>
          <w:color w:val="000000" w:themeColor="text1"/>
          <w:spacing w:val="8"/>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采购公告</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第二章：</w:t>
      </w:r>
      <w:r>
        <w:rPr>
          <w:color w:val="000000" w:themeColor="text1"/>
          <w:spacing w:val="-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投标人须知</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第三章：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政府采购主要政策</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第四章</w:t>
      </w:r>
      <w:r>
        <w:rPr>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项目招标需求</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第五章：</w:t>
      </w:r>
      <w:r>
        <w:rPr>
          <w:color w:val="000000" w:themeColor="text1"/>
          <w:spacing w:val="8"/>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评标办法</w:t>
      </w:r>
      <w:r>
        <w:rPr>
          <w:color w:val="000000" w:themeColor="text1"/>
          <w:highlight w:val="none"/>
          <w14:textFill>
            <w14:solidFill>
              <w14:schemeClr w14:val="tx1"/>
            </w14:solidFill>
          </w14:textFill>
        </w:rPr>
        <w:t xml:space="preserve"> </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第六章：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投标文件有关格式</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第七章：</w:t>
      </w:r>
      <w:r>
        <w:rPr>
          <w:color w:val="000000" w:themeColor="text1"/>
          <w:spacing w:val="-2"/>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合同格式</w:t>
      </w:r>
    </w:p>
    <w:p>
      <w:pPr>
        <w:pStyle w:val="11"/>
        <w:tabs>
          <w:tab w:val="left" w:pos="1289"/>
        </w:tabs>
        <w:kinsoku w:val="0"/>
        <w:overflowPunct w:val="0"/>
        <w:spacing w:before="35" w:line="475" w:lineRule="auto"/>
        <w:ind w:left="344" w:right="5573"/>
        <w:rPr>
          <w:color w:val="000000" w:themeColor="text1"/>
          <w:highlight w:val="none"/>
          <w14:textFill>
            <w14:solidFill>
              <w14:schemeClr w14:val="tx1"/>
            </w14:solidFill>
          </w14:textFill>
        </w:rPr>
        <w:sectPr>
          <w:footerReference r:id="rId3" w:type="default"/>
          <w:pgSz w:w="11910" w:h="16840"/>
          <w:pgMar w:top="1600" w:right="1680" w:bottom="1180" w:left="1680" w:header="0" w:footer="982" w:gutter="0"/>
          <w:pgNumType w:start="1"/>
          <w:cols w:space="720" w:num="1"/>
        </w:sectPr>
      </w:pPr>
    </w:p>
    <w:p>
      <w:pPr>
        <w:widowControl/>
        <w:autoSpaceDE/>
        <w:autoSpaceDN/>
        <w:adjustRightInd/>
        <w:spacing w:before="100" w:beforeAutospacing="1" w:after="100" w:afterAutospacing="1" w:line="360" w:lineRule="auto"/>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第一章       采购公告</w:t>
      </w:r>
      <w:bookmarkStart w:id="59" w:name="_GoBack"/>
      <w:bookmarkEnd w:id="59"/>
    </w:p>
    <w:p>
      <w:pPr>
        <w:pBdr>
          <w:top w:val="single" w:color="auto" w:sz="4" w:space="1"/>
          <w:left w:val="single" w:color="auto" w:sz="4" w:space="4"/>
          <w:bottom w:val="single" w:color="auto" w:sz="4" w:space="1"/>
          <w:right w:val="single" w:color="auto" w:sz="4" w:space="4"/>
        </w:pBd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复旦大学GPU异构服务器采购项目</w:t>
      </w:r>
      <w:r>
        <w:rPr>
          <w:rFonts w:hint="eastAsia" w:ascii="宋体" w:hAnsi="宋体" w:eastAsia="宋体" w:cs="宋体"/>
          <w:color w:val="000000" w:themeColor="text1"/>
          <w:kern w:val="2"/>
          <w:sz w:val="21"/>
          <w:szCs w:val="21"/>
          <w:highlight w:val="none"/>
          <w14:textFill>
            <w14:solidFill>
              <w14:schemeClr w14:val="tx1"/>
            </w14:solidFill>
          </w14:textFill>
        </w:rPr>
        <w:t>招标项目的潜在投标人应在</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上海市徐汇区零陵路583号海洋石油大厦1216室</w:t>
      </w:r>
      <w:r>
        <w:rPr>
          <w:rFonts w:hint="eastAsia" w:ascii="宋体" w:hAnsi="宋体" w:eastAsia="宋体" w:cs="宋体"/>
          <w:color w:val="000000" w:themeColor="text1"/>
          <w:kern w:val="2"/>
          <w:sz w:val="21"/>
          <w:szCs w:val="21"/>
          <w:highlight w:val="none"/>
          <w14:textFill>
            <w14:solidFill>
              <w14:schemeClr w14:val="tx1"/>
            </w14:solidFill>
          </w14:textFill>
        </w:rPr>
        <w:t>获取招标文件，并于</w:t>
      </w:r>
      <w:r>
        <w:rPr>
          <w:rFonts w:hint="eastAsia" w:ascii="宋体" w:hAnsi="宋体" w:eastAsia="宋体" w:cs="宋体"/>
          <w:color w:val="000000" w:themeColor="text1"/>
          <w:kern w:val="2"/>
          <w:sz w:val="21"/>
          <w:szCs w:val="21"/>
          <w:highlight w:val="none"/>
          <w:u w:val="single"/>
          <w14:textFill>
            <w14:solidFill>
              <w14:schemeClr w14:val="tx1"/>
            </w14:solidFill>
          </w14:textFill>
        </w:rPr>
        <w:t>2020</w:t>
      </w:r>
      <w:r>
        <w:rPr>
          <w:rFonts w:hint="eastAsia" w:ascii="宋体" w:hAnsi="宋体" w:eastAsia="宋体" w:cs="宋体"/>
          <w:bCs/>
          <w:color w:val="000000" w:themeColor="text1"/>
          <w:kern w:val="2"/>
          <w:sz w:val="21"/>
          <w:szCs w:val="21"/>
          <w:highlight w:val="none"/>
          <w:u w:val="single"/>
          <w14:textFill>
            <w14:solidFill>
              <w14:schemeClr w14:val="tx1"/>
            </w14:solidFill>
          </w14:textFill>
        </w:rPr>
        <w:t>年</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11</w:t>
      </w:r>
      <w:r>
        <w:rPr>
          <w:rFonts w:hint="eastAsia" w:ascii="宋体" w:hAnsi="宋体" w:eastAsia="宋体" w:cs="宋体"/>
          <w:bCs/>
          <w:color w:val="000000" w:themeColor="text1"/>
          <w:kern w:val="2"/>
          <w:sz w:val="21"/>
          <w:szCs w:val="21"/>
          <w:highlight w:val="none"/>
          <w:u w:val="single"/>
          <w14:textFill>
            <w14:solidFill>
              <w14:schemeClr w14:val="tx1"/>
            </w14:solidFill>
          </w14:textFill>
        </w:rPr>
        <w:t>月</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19</w:t>
      </w:r>
      <w:r>
        <w:rPr>
          <w:rFonts w:hint="eastAsia" w:ascii="宋体" w:hAnsi="宋体" w:eastAsia="宋体" w:cs="宋体"/>
          <w:bCs/>
          <w:color w:val="000000" w:themeColor="text1"/>
          <w:kern w:val="2"/>
          <w:sz w:val="21"/>
          <w:szCs w:val="21"/>
          <w:highlight w:val="none"/>
          <w:u w:val="single"/>
          <w14:textFill>
            <w14:solidFill>
              <w14:schemeClr w14:val="tx1"/>
            </w14:solidFill>
          </w14:textFill>
        </w:rPr>
        <w:t>日9点30分（</w:t>
      </w:r>
      <w:r>
        <w:rPr>
          <w:rFonts w:hint="eastAsia" w:ascii="宋体" w:hAnsi="宋体" w:eastAsia="宋体" w:cs="宋体"/>
          <w:bCs/>
          <w:color w:val="000000" w:themeColor="text1"/>
          <w:kern w:val="2"/>
          <w:sz w:val="21"/>
          <w:szCs w:val="21"/>
          <w:highlight w:val="none"/>
          <w14:textFill>
            <w14:solidFill>
              <w14:schemeClr w14:val="tx1"/>
            </w14:solidFill>
          </w14:textFill>
        </w:rPr>
        <w:t>北京时间）前递交投标文件</w:t>
      </w:r>
      <w:r>
        <w:rPr>
          <w:rFonts w:hint="eastAsia" w:ascii="宋体" w:hAnsi="宋体" w:eastAsia="宋体" w:cs="宋体"/>
          <w:color w:val="000000" w:themeColor="text1"/>
          <w:kern w:val="2"/>
          <w:sz w:val="21"/>
          <w:szCs w:val="21"/>
          <w:highlight w:val="none"/>
          <w14:textFill>
            <w14:solidFill>
              <w14:schemeClr w14:val="tx1"/>
            </w14:solidFill>
          </w14:textFill>
        </w:rPr>
        <w:t>。</w:t>
      </w:r>
    </w:p>
    <w:p>
      <w:pPr>
        <w:autoSpaceDE/>
        <w:autoSpaceDN/>
        <w:adjustRightInd/>
        <w:jc w:val="both"/>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0" w:name="_Toc35393790"/>
      <w:bookmarkStart w:id="1" w:name="_Toc28359002"/>
      <w:bookmarkStart w:id="2" w:name="_Toc28359079"/>
      <w:bookmarkStart w:id="3" w:name="_Toc35393621"/>
      <w:bookmarkStart w:id="4" w:name="_Hlk24379207"/>
      <w:r>
        <w:rPr>
          <w:rFonts w:hint="eastAsia" w:ascii="宋体" w:hAnsi="宋体" w:eastAsia="宋体" w:cs="宋体"/>
          <w:bCs/>
          <w:color w:val="000000" w:themeColor="text1"/>
          <w:kern w:val="2"/>
          <w:sz w:val="21"/>
          <w:szCs w:val="21"/>
          <w:highlight w:val="none"/>
          <w14:textFill>
            <w14:solidFill>
              <w14:schemeClr w14:val="tx1"/>
            </w14:solidFill>
          </w14:textFill>
        </w:rPr>
        <w:t>一、项目基本情况</w:t>
      </w:r>
      <w:bookmarkEnd w:id="0"/>
      <w:bookmarkEnd w:id="1"/>
      <w:bookmarkEnd w:id="2"/>
      <w:bookmarkEnd w:id="3"/>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项目编号：</w:t>
      </w:r>
      <w:r>
        <w:rPr>
          <w:rFonts w:hint="eastAsia" w:ascii="宋体" w:hAnsi="宋体" w:eastAsia="宋体" w:cs="宋体"/>
          <w:color w:val="000000" w:themeColor="text1"/>
          <w:kern w:val="2"/>
          <w:sz w:val="21"/>
          <w:szCs w:val="21"/>
          <w:highlight w:val="none"/>
          <w:lang w:eastAsia="zh-CN"/>
          <w14:textFill>
            <w14:solidFill>
              <w14:schemeClr w14:val="tx1"/>
            </w14:solidFill>
          </w14:textFill>
        </w:rPr>
        <w:t>HW2020102701</w:t>
      </w:r>
      <w:r>
        <w:rPr>
          <w:rFonts w:hint="eastAsia" w:ascii="宋体" w:hAnsi="宋体" w:eastAsia="宋体" w:cs="宋体"/>
          <w:color w:val="000000" w:themeColor="text1"/>
          <w:kern w:val="2"/>
          <w:sz w:val="21"/>
          <w:szCs w:val="21"/>
          <w:highlight w:val="none"/>
          <w14:textFill>
            <w14:solidFill>
              <w14:schemeClr w14:val="tx1"/>
            </w14:solidFill>
          </w14:textFill>
        </w:rPr>
        <w:t>（招标编号：</w:t>
      </w:r>
      <w:r>
        <w:rPr>
          <w:rFonts w:hint="eastAsia" w:ascii="宋体" w:hAnsi="宋体" w:eastAsia="宋体" w:cs="宋体"/>
          <w:color w:val="000000" w:themeColor="text1"/>
          <w:kern w:val="2"/>
          <w:sz w:val="21"/>
          <w:szCs w:val="21"/>
          <w:highlight w:val="none"/>
          <w:lang w:eastAsia="zh-CN"/>
          <w14:textFill>
            <w14:solidFill>
              <w14:schemeClr w14:val="tx1"/>
            </w14:solidFill>
          </w14:textFill>
        </w:rPr>
        <w:t>YX-FDCG-2020-016</w:t>
      </w:r>
      <w:r>
        <w:rPr>
          <w:rFonts w:hint="eastAsia" w:ascii="宋体" w:hAnsi="宋体" w:eastAsia="宋体" w:cs="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项目名称：复旦大学GPU异构服务器采购项目</w:t>
      </w:r>
    </w:p>
    <w:bookmarkEnd w:id="4"/>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预算金额：49万元，超过采购预算的投标不予接受。</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采购需求：采购GPU服务器（1台）、1U AI/HPC高性能计算资源分配系统（1套），具体项目内容、采购范围及所应达到的具体要求，以采购文件“第四章 项目招标需求”为准。</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合同履行期限：75天（包括：签订合同后 60 天内设备全部到货，设备到货后 10 天内完成安装调试，安装调试完成后稳定运行 5 天方满足验收条件）。</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本项目不接受联合体投标。</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5" w:name="_Toc35393791"/>
      <w:bookmarkStart w:id="6" w:name="_Toc28359080"/>
      <w:bookmarkStart w:id="7" w:name="_Toc35393622"/>
      <w:bookmarkStart w:id="8" w:name="_Toc28359003"/>
      <w:r>
        <w:rPr>
          <w:rFonts w:hint="eastAsia" w:ascii="宋体" w:hAnsi="宋体" w:eastAsia="宋体" w:cs="宋体"/>
          <w:bCs/>
          <w:color w:val="000000" w:themeColor="text1"/>
          <w:kern w:val="2"/>
          <w:sz w:val="21"/>
          <w:szCs w:val="21"/>
          <w:highlight w:val="none"/>
          <w14:textFill>
            <w14:solidFill>
              <w14:schemeClr w14:val="tx1"/>
            </w14:solidFill>
          </w14:textFill>
        </w:rPr>
        <w:t>二、申请人的资格要求：</w:t>
      </w:r>
      <w:bookmarkEnd w:id="5"/>
      <w:bookmarkEnd w:id="6"/>
      <w:bookmarkEnd w:id="7"/>
      <w:bookmarkEnd w:id="8"/>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1.满足《中华人民共和国政府采购法》第二十二条规定；</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bookmarkStart w:id="9" w:name="_Toc28359004"/>
      <w:bookmarkStart w:id="10" w:name="_Toc28359081"/>
      <w:r>
        <w:rPr>
          <w:rFonts w:hint="eastAsia" w:ascii="宋体" w:hAnsi="宋体" w:eastAsia="宋体" w:cs="宋体"/>
          <w:color w:val="000000" w:themeColor="text1"/>
          <w:kern w:val="2"/>
          <w:sz w:val="21"/>
          <w:szCs w:val="21"/>
          <w:highlight w:val="none"/>
          <w14:textFill>
            <w14:solidFill>
              <w14:schemeClr w14:val="tx1"/>
            </w14:solidFill>
          </w14:textFill>
        </w:rPr>
        <w:t>2.落实政府采购政策需满足的资格要求：</w:t>
      </w:r>
      <w:r>
        <w:rPr>
          <w:rFonts w:hint="eastAsia" w:ascii="宋体" w:hAnsi="宋体" w:eastAsia="宋体" w:cs="宋体"/>
          <w:color w:val="000000" w:themeColor="text1"/>
          <w:kern w:val="2"/>
          <w:sz w:val="21"/>
          <w:szCs w:val="21"/>
          <w:highlight w:val="none"/>
          <w:u w:val="single"/>
          <w14:textFill>
            <w14:solidFill>
              <w14:schemeClr w14:val="tx1"/>
            </w14:solidFill>
          </w14:textFill>
        </w:rPr>
        <w:t>本项目不属于专门面向中小企业采购的项目；</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3.本项目的特定资格要求：</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3.1投标人具有独立的法人资格；</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3.2投标人须为招标产品的专业制造商（生产商）或经销商；</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3.3采购活动前3年（2017年10月至今）内在经营活动中无重大违法记录；</w:t>
      </w:r>
    </w:p>
    <w:p>
      <w:pPr>
        <w:autoSpaceDE/>
        <w:autoSpaceDN/>
        <w:adjustRightInd/>
        <w:spacing w:line="360" w:lineRule="auto"/>
        <w:ind w:firstLine="420" w:firstLineChars="2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autoSpaceDE/>
        <w:autoSpaceDN/>
        <w:adjustRightInd/>
        <w:spacing w:line="360" w:lineRule="auto"/>
        <w:ind w:firstLine="420" w:firstLineChars="200"/>
        <w:jc w:val="both"/>
        <w:rPr>
          <w:rFonts w:ascii="宋体" w:hAnsi="宋体" w:eastAsia="宋体" w:cs="宋体"/>
          <w:i/>
          <w:iCs/>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u w:val="single"/>
          <w14:textFill>
            <w14:solidFill>
              <w14:schemeClr w14:val="tx1"/>
            </w14:solidFill>
          </w14:textFill>
        </w:rPr>
        <w:t>3.5单位负责人为同一人或者存在直接控股、管理关系的不同供应商，不得参加同一合同项下的政府采购活动。</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1" w:name="_Toc35393623"/>
      <w:bookmarkStart w:id="12" w:name="_Toc35393792"/>
      <w:r>
        <w:rPr>
          <w:rFonts w:hint="eastAsia" w:ascii="宋体" w:hAnsi="宋体" w:eastAsia="宋体" w:cs="宋体"/>
          <w:bCs/>
          <w:color w:val="000000" w:themeColor="text1"/>
          <w:kern w:val="2"/>
          <w:sz w:val="21"/>
          <w:szCs w:val="21"/>
          <w:highlight w:val="none"/>
          <w14:textFill>
            <w14:solidFill>
              <w14:schemeClr w14:val="tx1"/>
            </w14:solidFill>
          </w14:textFill>
        </w:rPr>
        <w:t>三、获取招标文件</w:t>
      </w:r>
      <w:bookmarkEnd w:id="9"/>
      <w:bookmarkEnd w:id="10"/>
      <w:bookmarkEnd w:id="11"/>
      <w:bookmarkEnd w:id="12"/>
    </w:p>
    <w:p>
      <w:pPr>
        <w:autoSpaceDE/>
        <w:autoSpaceDN/>
        <w:adjustRightInd/>
        <w:spacing w:line="360" w:lineRule="auto"/>
        <w:ind w:firstLine="539"/>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时间：</w:t>
      </w:r>
      <w:r>
        <w:rPr>
          <w:rFonts w:hint="eastAsia" w:ascii="宋体" w:hAnsi="宋体" w:eastAsia="宋体" w:cs="宋体"/>
          <w:color w:val="000000" w:themeColor="text1"/>
          <w:kern w:val="2"/>
          <w:sz w:val="21"/>
          <w:szCs w:val="21"/>
          <w:highlight w:val="none"/>
          <w:u w:val="single"/>
          <w14:textFill>
            <w14:solidFill>
              <w14:schemeClr w14:val="tx1"/>
            </w14:solidFill>
          </w14:textFill>
        </w:rPr>
        <w:t>2020年</w:t>
      </w:r>
      <w:r>
        <w:rPr>
          <w:rFonts w:hint="eastAsia" w:ascii="宋体" w:hAnsi="宋体" w:eastAsia="宋体" w:cs="宋体"/>
          <w:color w:val="000000" w:themeColor="text1"/>
          <w:kern w:val="2"/>
          <w:sz w:val="2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kern w:val="2"/>
          <w:sz w:val="21"/>
          <w:szCs w:val="21"/>
          <w:highlight w:val="none"/>
          <w:u w:val="single"/>
          <w14:textFill>
            <w14:solidFill>
              <w14:schemeClr w14:val="tx1"/>
            </w14:solidFill>
          </w14:textFill>
        </w:rPr>
        <w:t>月</w:t>
      </w:r>
      <w:r>
        <w:rPr>
          <w:rFonts w:hint="eastAsia" w:ascii="宋体" w:hAnsi="宋体" w:eastAsia="宋体" w:cs="宋体"/>
          <w:color w:val="000000" w:themeColor="text1"/>
          <w:kern w:val="2"/>
          <w:sz w:val="21"/>
          <w:szCs w:val="21"/>
          <w:highlight w:val="none"/>
          <w:u w:val="single"/>
          <w:lang w:val="en-US" w:eastAsia="zh-CN"/>
          <w14:textFill>
            <w14:solidFill>
              <w14:schemeClr w14:val="tx1"/>
            </w14:solidFill>
          </w14:textFill>
        </w:rPr>
        <w:t>29</w:t>
      </w:r>
      <w:r>
        <w:rPr>
          <w:rFonts w:hint="eastAsia" w:ascii="宋体" w:hAnsi="宋体" w:eastAsia="宋体" w:cs="宋体"/>
          <w:color w:val="000000" w:themeColor="text1"/>
          <w:kern w:val="2"/>
          <w:sz w:val="21"/>
          <w:szCs w:val="21"/>
          <w:highlight w:val="none"/>
          <w:u w:val="single"/>
          <w14:textFill>
            <w14:solidFill>
              <w14:schemeClr w14:val="tx1"/>
            </w14:solidFill>
          </w14:textFill>
        </w:rPr>
        <w:t>日</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2020年</w:t>
      </w:r>
      <w:r>
        <w:rPr>
          <w:rFonts w:hint="eastAsia" w:ascii="宋体" w:hAnsi="宋体" w:eastAsia="宋体" w:cs="宋体"/>
          <w:color w:val="000000" w:themeColor="text1"/>
          <w:kern w:val="2"/>
          <w:sz w:val="21"/>
          <w:szCs w:val="21"/>
          <w:highlight w:val="none"/>
          <w:u w:val="single"/>
          <w:lang w:val="en-US" w:eastAsia="zh-CN"/>
          <w14:textFill>
            <w14:solidFill>
              <w14:schemeClr w14:val="tx1"/>
            </w14:solidFill>
          </w14:textFill>
        </w:rPr>
        <w:t>11</w:t>
      </w:r>
      <w:r>
        <w:rPr>
          <w:rFonts w:hint="eastAsia" w:ascii="宋体" w:hAnsi="宋体" w:eastAsia="宋体" w:cs="宋体"/>
          <w:color w:val="000000" w:themeColor="text1"/>
          <w:kern w:val="2"/>
          <w:sz w:val="21"/>
          <w:szCs w:val="21"/>
          <w:highlight w:val="none"/>
          <w:u w:val="single"/>
          <w14:textFill>
            <w14:solidFill>
              <w14:schemeClr w14:val="tx1"/>
            </w14:solidFill>
          </w14:textFill>
        </w:rPr>
        <w:t>月</w:t>
      </w:r>
      <w:r>
        <w:rPr>
          <w:rFonts w:hint="eastAsia" w:ascii="宋体" w:hAnsi="宋体" w:eastAsia="宋体" w:cs="宋体"/>
          <w:color w:val="000000" w:themeColor="text1"/>
          <w:kern w:val="2"/>
          <w:sz w:val="21"/>
          <w:szCs w:val="21"/>
          <w:highlight w:val="none"/>
          <w:u w:val="single"/>
          <w:lang w:val="en-US" w:eastAsia="zh-CN"/>
          <w14:textFill>
            <w14:solidFill>
              <w14:schemeClr w14:val="tx1"/>
            </w14:solidFill>
          </w14:textFill>
        </w:rPr>
        <w:t>5</w:t>
      </w:r>
      <w:r>
        <w:rPr>
          <w:rFonts w:hint="eastAsia" w:ascii="宋体" w:hAnsi="宋体" w:eastAsia="宋体" w:cs="宋体"/>
          <w:color w:val="000000" w:themeColor="text1"/>
          <w:kern w:val="2"/>
          <w:sz w:val="21"/>
          <w:szCs w:val="21"/>
          <w:highlight w:val="none"/>
          <w:u w:val="single"/>
          <w14:textFill>
            <w14:solidFill>
              <w14:schemeClr w14:val="tx1"/>
            </w14:solidFill>
          </w14:textFill>
        </w:rPr>
        <w:t>日</w:t>
      </w:r>
      <w:r>
        <w:rPr>
          <w:rFonts w:hint="eastAsia" w:ascii="宋体" w:hAnsi="宋体" w:eastAsia="宋体" w:cs="宋体"/>
          <w:color w:val="000000" w:themeColor="text1"/>
          <w:kern w:val="2"/>
          <w:sz w:val="21"/>
          <w:szCs w:val="21"/>
          <w:highlight w:val="none"/>
          <w14:textFill>
            <w14:solidFill>
              <w14:schemeClr w14:val="tx1"/>
            </w14:solidFill>
          </w14:textFill>
        </w:rPr>
        <w:t>，每天上午</w:t>
      </w:r>
      <w:r>
        <w:rPr>
          <w:rFonts w:hint="eastAsia" w:ascii="宋体" w:hAnsi="宋体" w:eastAsia="宋体" w:cs="宋体"/>
          <w:color w:val="000000" w:themeColor="text1"/>
          <w:kern w:val="2"/>
          <w:sz w:val="21"/>
          <w:szCs w:val="21"/>
          <w:highlight w:val="none"/>
          <w:u w:val="single"/>
          <w14:textFill>
            <w14:solidFill>
              <w14:schemeClr w14:val="tx1"/>
            </w14:solidFill>
          </w14:textFill>
        </w:rPr>
        <w:t>9:30</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11:30</w:t>
      </w:r>
      <w:r>
        <w:rPr>
          <w:rFonts w:hint="eastAsia" w:ascii="宋体" w:hAnsi="宋体" w:eastAsia="宋体" w:cs="宋体"/>
          <w:color w:val="000000" w:themeColor="text1"/>
          <w:kern w:val="2"/>
          <w:sz w:val="21"/>
          <w:szCs w:val="21"/>
          <w:highlight w:val="none"/>
          <w14:textFill>
            <w14:solidFill>
              <w14:schemeClr w14:val="tx1"/>
            </w14:solidFill>
          </w14:textFill>
        </w:rPr>
        <w:t>，下午</w:t>
      </w:r>
      <w:r>
        <w:rPr>
          <w:rFonts w:hint="eastAsia" w:ascii="宋体" w:hAnsi="宋体" w:eastAsia="宋体" w:cs="宋体"/>
          <w:color w:val="000000" w:themeColor="text1"/>
          <w:kern w:val="2"/>
          <w:sz w:val="21"/>
          <w:szCs w:val="21"/>
          <w:highlight w:val="none"/>
          <w:u w:val="single"/>
          <w14:textFill>
            <w14:solidFill>
              <w14:schemeClr w14:val="tx1"/>
            </w14:solidFill>
          </w14:textFill>
        </w:rPr>
        <w:t>13:30</w:t>
      </w:r>
      <w:r>
        <w:rPr>
          <w:rFonts w:hint="eastAsia" w:ascii="宋体" w:hAnsi="宋体" w:eastAsia="宋体" w:cs="宋体"/>
          <w:color w:val="000000" w:themeColor="text1"/>
          <w:kern w:val="2"/>
          <w:sz w:val="21"/>
          <w:szCs w:val="21"/>
          <w:highlight w:val="none"/>
          <w14:textFill>
            <w14:solidFill>
              <w14:schemeClr w14:val="tx1"/>
            </w14:solidFill>
          </w14:textFill>
        </w:rPr>
        <w:t>至</w:t>
      </w:r>
      <w:r>
        <w:rPr>
          <w:rFonts w:hint="eastAsia" w:ascii="宋体" w:hAnsi="宋体" w:eastAsia="宋体" w:cs="宋体"/>
          <w:color w:val="000000" w:themeColor="text1"/>
          <w:kern w:val="2"/>
          <w:sz w:val="21"/>
          <w:szCs w:val="21"/>
          <w:highlight w:val="none"/>
          <w:u w:val="single"/>
          <w14:textFill>
            <w14:solidFill>
              <w14:schemeClr w14:val="tx1"/>
            </w14:solidFill>
          </w14:textFill>
        </w:rPr>
        <w:t>16:30</w:t>
      </w:r>
      <w:r>
        <w:rPr>
          <w:rFonts w:hint="eastAsia" w:ascii="宋体" w:hAnsi="宋体" w:eastAsia="宋体" w:cs="宋体"/>
          <w:color w:val="000000" w:themeColor="text1"/>
          <w:kern w:val="2"/>
          <w:sz w:val="21"/>
          <w:szCs w:val="21"/>
          <w:highlight w:val="none"/>
          <w14:textFill>
            <w14:solidFill>
              <w14:schemeClr w14:val="tx1"/>
            </w14:solidFill>
          </w14:textFill>
        </w:rPr>
        <w:t>（北京时间，法定节假日除外）</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地点：上海市徐汇区零陵路583号海洋石油大厦1216室。</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方式：携带1）法定代表人授权书原件及被授权人身份证复印件；2）企业营业执照或事业单位法人证书复印件（复印件加盖公章）进行现场报名确认及获取招标文件，并按照招标文件要求参加采购活动。未在规定时间进行现场报名确认或所携带资料不全且不符合公告要求导致未能获取招标文件的报名将被拒绝。</w:t>
      </w:r>
    </w:p>
    <w:p>
      <w:pPr>
        <w:autoSpaceDE/>
        <w:autoSpaceDN/>
        <w:adjustRightInd/>
        <w:spacing w:line="360" w:lineRule="auto"/>
        <w:ind w:firstLine="539"/>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售价：人民币800元，售后不退。</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3" w:name="_Toc28359005"/>
      <w:bookmarkStart w:id="14" w:name="_Toc28359082"/>
      <w:bookmarkStart w:id="15" w:name="_Toc35393624"/>
      <w:bookmarkStart w:id="16" w:name="_Toc35393793"/>
      <w:r>
        <w:rPr>
          <w:rFonts w:hint="eastAsia" w:ascii="宋体" w:hAnsi="宋体" w:eastAsia="宋体" w:cs="宋体"/>
          <w:bCs/>
          <w:color w:val="000000" w:themeColor="text1"/>
          <w:kern w:val="2"/>
          <w:sz w:val="21"/>
          <w:szCs w:val="21"/>
          <w:highlight w:val="none"/>
          <w14:textFill>
            <w14:solidFill>
              <w14:schemeClr w14:val="tx1"/>
            </w14:solidFill>
          </w14:textFill>
        </w:rPr>
        <w:t>四、提交投标文件</w:t>
      </w:r>
      <w:bookmarkEnd w:id="13"/>
      <w:bookmarkEnd w:id="14"/>
      <w:r>
        <w:rPr>
          <w:rFonts w:hint="eastAsia" w:ascii="宋体" w:hAnsi="宋体" w:eastAsia="宋体" w:cs="宋体"/>
          <w:bCs/>
          <w:color w:val="000000" w:themeColor="text1"/>
          <w:kern w:val="2"/>
          <w:sz w:val="21"/>
          <w:szCs w:val="21"/>
          <w:highlight w:val="none"/>
          <w14:textFill>
            <w14:solidFill>
              <w14:schemeClr w14:val="tx1"/>
            </w14:solidFill>
          </w14:textFill>
        </w:rPr>
        <w:t>截止时间、开标时间和地点</w:t>
      </w:r>
      <w:bookmarkEnd w:id="15"/>
      <w:bookmarkEnd w:id="16"/>
    </w:p>
    <w:p>
      <w:pPr>
        <w:autoSpaceDE/>
        <w:autoSpaceDN/>
        <w:adjustRightInd/>
        <w:spacing w:line="360" w:lineRule="auto"/>
        <w:ind w:firstLine="420" w:firstLineChars="200"/>
        <w:jc w:val="both"/>
        <w:rPr>
          <w:rFonts w:ascii="宋体" w:hAnsi="宋体" w:eastAsia="宋体" w:cs="宋体"/>
          <w:bCs/>
          <w:color w:val="000000" w:themeColor="text1"/>
          <w:kern w:val="2"/>
          <w:sz w:val="21"/>
          <w:szCs w:val="21"/>
          <w:highlight w:val="none"/>
          <w:u w:val="single"/>
          <w14:textFill>
            <w14:solidFill>
              <w14:schemeClr w14:val="tx1"/>
            </w14:solidFill>
          </w14:textFill>
        </w:rPr>
      </w:pPr>
      <w:r>
        <w:rPr>
          <w:rFonts w:hint="eastAsia" w:ascii="宋体" w:hAnsi="宋体" w:eastAsia="宋体" w:cs="宋体"/>
          <w:bCs/>
          <w:color w:val="000000" w:themeColor="text1"/>
          <w:kern w:val="2"/>
          <w:sz w:val="21"/>
          <w:szCs w:val="21"/>
          <w:highlight w:val="none"/>
          <w:u w:val="single"/>
          <w14:textFill>
            <w14:solidFill>
              <w14:schemeClr w14:val="tx1"/>
            </w14:solidFill>
          </w14:textFill>
        </w:rPr>
        <w:t>2020年</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11</w:t>
      </w:r>
      <w:r>
        <w:rPr>
          <w:rFonts w:hint="eastAsia" w:ascii="宋体" w:hAnsi="宋体" w:eastAsia="宋体" w:cs="宋体"/>
          <w:bCs/>
          <w:color w:val="000000" w:themeColor="text1"/>
          <w:kern w:val="2"/>
          <w:sz w:val="21"/>
          <w:szCs w:val="21"/>
          <w:highlight w:val="none"/>
          <w:u w:val="single"/>
          <w14:textFill>
            <w14:solidFill>
              <w14:schemeClr w14:val="tx1"/>
            </w14:solidFill>
          </w14:textFill>
        </w:rPr>
        <w:t>月</w:t>
      </w:r>
      <w:r>
        <w:rPr>
          <w:rFonts w:hint="eastAsia" w:ascii="宋体" w:hAnsi="宋体" w:eastAsia="宋体" w:cs="宋体"/>
          <w:bCs/>
          <w:color w:val="000000" w:themeColor="text1"/>
          <w:kern w:val="2"/>
          <w:sz w:val="21"/>
          <w:szCs w:val="21"/>
          <w:highlight w:val="none"/>
          <w:u w:val="single"/>
          <w:lang w:val="en-US" w:eastAsia="zh-CN"/>
          <w14:textFill>
            <w14:solidFill>
              <w14:schemeClr w14:val="tx1"/>
            </w14:solidFill>
          </w14:textFill>
        </w:rPr>
        <w:t>19</w:t>
      </w:r>
      <w:r>
        <w:rPr>
          <w:rFonts w:hint="eastAsia" w:ascii="宋体" w:hAnsi="宋体" w:eastAsia="宋体" w:cs="宋体"/>
          <w:bCs/>
          <w:color w:val="000000" w:themeColor="text1"/>
          <w:kern w:val="2"/>
          <w:sz w:val="21"/>
          <w:szCs w:val="21"/>
          <w:highlight w:val="none"/>
          <w:u w:val="single"/>
          <w14:textFill>
            <w14:solidFill>
              <w14:schemeClr w14:val="tx1"/>
            </w14:solidFill>
          </w14:textFill>
        </w:rPr>
        <w:t>日9点30分</w:t>
      </w:r>
      <w:r>
        <w:rPr>
          <w:rFonts w:hint="eastAsia" w:ascii="宋体" w:hAnsi="宋体" w:eastAsia="宋体" w:cs="宋体"/>
          <w:bCs/>
          <w:color w:val="000000" w:themeColor="text1"/>
          <w:kern w:val="2"/>
          <w:sz w:val="21"/>
          <w:szCs w:val="21"/>
          <w:highlight w:val="none"/>
          <w14:textFill>
            <w14:solidFill>
              <w14:schemeClr w14:val="tx1"/>
            </w14:solidFill>
          </w14:textFill>
        </w:rPr>
        <w:t>（北京时间）</w:t>
      </w:r>
    </w:p>
    <w:p>
      <w:pPr>
        <w:autoSpaceDE/>
        <w:autoSpaceDN/>
        <w:adjustRightInd/>
        <w:spacing w:line="360" w:lineRule="auto"/>
        <w:ind w:firstLine="420" w:firstLineChars="200"/>
        <w:jc w:val="both"/>
        <w:rPr>
          <w:rFonts w:ascii="宋体" w:hAnsi="宋体" w:eastAsia="宋体" w:cs="宋体"/>
          <w:bCs/>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地点：上海市徐汇区零陵路583号海洋石油大厦1217室。</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17" w:name="_Toc28359084"/>
      <w:bookmarkStart w:id="18" w:name="_Toc28359007"/>
      <w:bookmarkStart w:id="19" w:name="_Toc35393625"/>
      <w:bookmarkStart w:id="20" w:name="_Toc35393794"/>
      <w:r>
        <w:rPr>
          <w:rFonts w:hint="eastAsia" w:ascii="宋体" w:hAnsi="宋体" w:eastAsia="宋体" w:cs="宋体"/>
          <w:bCs/>
          <w:color w:val="000000" w:themeColor="text1"/>
          <w:kern w:val="2"/>
          <w:sz w:val="21"/>
          <w:szCs w:val="21"/>
          <w:highlight w:val="none"/>
          <w14:textFill>
            <w14:solidFill>
              <w14:schemeClr w14:val="tx1"/>
            </w14:solidFill>
          </w14:textFill>
        </w:rPr>
        <w:t>五、公告期限</w:t>
      </w:r>
      <w:bookmarkEnd w:id="17"/>
      <w:bookmarkEnd w:id="18"/>
      <w:bookmarkEnd w:id="19"/>
      <w:bookmarkEnd w:id="20"/>
    </w:p>
    <w:p>
      <w:pPr>
        <w:autoSpaceDE/>
        <w:autoSpaceDN/>
        <w:adjustRightInd/>
        <w:spacing w:line="360" w:lineRule="auto"/>
        <w:ind w:firstLine="420" w:firstLineChars="200"/>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自本公告发布之日起5个工作日。</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21" w:name="_Toc35393626"/>
      <w:bookmarkStart w:id="22" w:name="_Toc35393795"/>
      <w:r>
        <w:rPr>
          <w:rFonts w:hint="eastAsia" w:ascii="宋体" w:hAnsi="宋体" w:eastAsia="宋体" w:cs="宋体"/>
          <w:bCs/>
          <w:color w:val="000000" w:themeColor="text1"/>
          <w:kern w:val="2"/>
          <w:sz w:val="21"/>
          <w:szCs w:val="21"/>
          <w:highlight w:val="none"/>
          <w14:textFill>
            <w14:solidFill>
              <w14:schemeClr w14:val="tx1"/>
            </w14:solidFill>
          </w14:textFill>
        </w:rPr>
        <w:t>六、其他补充事宜</w:t>
      </w:r>
      <w:bookmarkEnd w:id="21"/>
      <w:bookmarkEnd w:id="22"/>
    </w:p>
    <w:p>
      <w:pPr>
        <w:autoSpaceDE/>
        <w:autoSpaceDN/>
        <w:adjustRightInd/>
        <w:spacing w:line="360" w:lineRule="auto"/>
        <w:ind w:firstLine="420" w:firstLineChars="200"/>
        <w:jc w:val="both"/>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以上信息若有变更我们会通过“中国政府采购网（www.ccgp.gov.cn）”和“复旦大学信息公开网（xxgk.fudan.edu.cn）”通知，请供应商关注。</w:t>
      </w:r>
    </w:p>
    <w:p>
      <w:pPr>
        <w:autoSpaceDE/>
        <w:autoSpaceDN/>
        <w:adjustRightInd/>
        <w:spacing w:before="260" w:after="260" w:line="360" w:lineRule="auto"/>
        <w:jc w:val="both"/>
        <w:outlineLvl w:val="1"/>
        <w:rPr>
          <w:rFonts w:ascii="宋体" w:hAnsi="宋体" w:eastAsia="宋体" w:cs="宋体"/>
          <w:bCs/>
          <w:color w:val="000000" w:themeColor="text1"/>
          <w:kern w:val="2"/>
          <w:sz w:val="21"/>
          <w:szCs w:val="21"/>
          <w:highlight w:val="none"/>
          <w14:textFill>
            <w14:solidFill>
              <w14:schemeClr w14:val="tx1"/>
            </w14:solidFill>
          </w14:textFill>
        </w:rPr>
      </w:pPr>
      <w:bookmarkStart w:id="23" w:name="_Toc35393796"/>
      <w:bookmarkStart w:id="24" w:name="_Toc28359085"/>
      <w:bookmarkStart w:id="25" w:name="_Toc35393627"/>
      <w:bookmarkStart w:id="26" w:name="_Toc28359008"/>
      <w:r>
        <w:rPr>
          <w:rFonts w:hint="eastAsia" w:ascii="宋体" w:hAnsi="宋体" w:eastAsia="宋体" w:cs="宋体"/>
          <w:bCs/>
          <w:color w:val="000000" w:themeColor="text1"/>
          <w:kern w:val="2"/>
          <w:sz w:val="21"/>
          <w:szCs w:val="21"/>
          <w:highlight w:val="none"/>
          <w14:textFill>
            <w14:solidFill>
              <w14:schemeClr w14:val="tx1"/>
            </w14:solidFill>
          </w14:textFill>
        </w:rPr>
        <w:t>七、对本次招标提出询问，请按以下方式联系。</w:t>
      </w:r>
      <w:bookmarkEnd w:id="23"/>
      <w:bookmarkEnd w:id="24"/>
      <w:bookmarkEnd w:id="25"/>
      <w:bookmarkEnd w:id="26"/>
    </w:p>
    <w:p>
      <w:pPr>
        <w:widowControl/>
        <w:autoSpaceDE/>
        <w:autoSpaceDN/>
        <w:adjustRightInd/>
        <w:spacing w:line="360" w:lineRule="auto"/>
        <w:ind w:firstLine="638" w:firstLineChars="304"/>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1.采购人信息</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名 称：</w:t>
      </w:r>
      <w:r>
        <w:rPr>
          <w:rFonts w:hint="eastAsia" w:ascii="宋体" w:hAnsi="宋体" w:eastAsia="宋体" w:cs="宋体"/>
          <w:color w:val="000000" w:themeColor="text1"/>
          <w:kern w:val="2"/>
          <w:sz w:val="21"/>
          <w:szCs w:val="21"/>
          <w:highlight w:val="none"/>
          <w:u w:val="single"/>
          <w14:textFill>
            <w14:solidFill>
              <w14:schemeClr w14:val="tx1"/>
            </w14:solidFill>
          </w14:textFill>
        </w:rPr>
        <w:t>复旦大学</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地址：</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上海市杨浦区邯郸路220号</w:t>
      </w:r>
    </w:p>
    <w:p>
      <w:pPr>
        <w:autoSpaceDE/>
        <w:autoSpaceDN/>
        <w:adjustRightInd/>
        <w:spacing w:line="360" w:lineRule="auto"/>
        <w:ind w:left="1129" w:leftChars="304" w:hanging="399" w:hangingChars="190"/>
        <w:rPr>
          <w:rFonts w:hint="eastAsia" w:ascii="宋体" w:hAnsi="宋体" w:eastAsia="宋体" w:cs="宋体"/>
          <w:color w:val="000000" w:themeColor="text1"/>
          <w:kern w:val="2"/>
          <w:sz w:val="21"/>
          <w:szCs w:val="21"/>
          <w:highlight w:val="none"/>
          <w:u w:val="single"/>
          <w:lang w:eastAsia="zh-CN"/>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联系方式：</w:t>
      </w:r>
      <w:bookmarkStart w:id="27" w:name="_Toc28359009"/>
      <w:bookmarkStart w:id="28" w:name="_Toc28359086"/>
      <w:r>
        <w:rPr>
          <w:rFonts w:hint="eastAsia" w:ascii="宋体" w:hAnsi="宋体" w:eastAsia="宋体" w:cs="宋体"/>
          <w:color w:val="000000" w:themeColor="text1"/>
          <w:kern w:val="2"/>
          <w:sz w:val="21"/>
          <w:szCs w:val="21"/>
          <w:highlight w:val="none"/>
          <w:u w:val="single"/>
          <w14:textFill>
            <w14:solidFill>
              <w14:schemeClr w14:val="tx1"/>
            </w14:solidFill>
          </w14:textFill>
        </w:rPr>
        <w:t xml:space="preserve">021-65641327 </w:t>
      </w:r>
      <w:r>
        <w:rPr>
          <w:rFonts w:hint="eastAsia" w:ascii="宋体" w:hAnsi="宋体" w:eastAsia="宋体" w:cs="宋体"/>
          <w:color w:val="000000" w:themeColor="text1"/>
          <w:kern w:val="2"/>
          <w:sz w:val="21"/>
          <w:szCs w:val="21"/>
          <w:highlight w:val="none"/>
          <w:u w:val="single"/>
          <w:lang w:eastAsia="zh-CN"/>
          <w14:textFill>
            <w14:solidFill>
              <w14:schemeClr w14:val="tx1"/>
            </w14:solidFill>
          </w14:textFill>
        </w:rPr>
        <w:t>张老师</w:t>
      </w: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line="360" w:lineRule="auto"/>
        <w:ind w:left="1129" w:leftChars="304" w:hanging="399" w:hangingChars="190"/>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2.采购代理机构信息</w:t>
      </w:r>
      <w:bookmarkEnd w:id="27"/>
      <w:bookmarkEnd w:id="28"/>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名 称：</w:t>
      </w:r>
      <w:r>
        <w:rPr>
          <w:rFonts w:hint="eastAsia" w:ascii="宋体" w:hAnsi="宋体" w:eastAsia="宋体" w:cs="宋体"/>
          <w:color w:val="000000" w:themeColor="text1"/>
          <w:kern w:val="2"/>
          <w:sz w:val="21"/>
          <w:szCs w:val="21"/>
          <w:highlight w:val="none"/>
          <w:u w:val="single"/>
          <w14:textFill>
            <w14:solidFill>
              <w14:schemeClr w14:val="tx1"/>
            </w14:solidFill>
          </w14:textFill>
        </w:rPr>
        <w:t>上海银鑫建设咨询有限公司</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地　址：</w:t>
      </w:r>
      <w:r>
        <w:rPr>
          <w:rFonts w:hint="eastAsia" w:ascii="宋体" w:hAnsi="宋体" w:eastAsia="宋体" w:cs="宋体"/>
          <w:color w:val="000000" w:themeColor="text1"/>
          <w:kern w:val="2"/>
          <w:sz w:val="21"/>
          <w:szCs w:val="21"/>
          <w:highlight w:val="none"/>
          <w:u w:val="single"/>
          <w14:textFill>
            <w14:solidFill>
              <w14:schemeClr w14:val="tx1"/>
            </w14:solidFill>
          </w14:textFill>
        </w:rPr>
        <w:t>上海市徐汇区零陵路583号海洋石油大厦1216室</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联系方式：</w:t>
      </w:r>
      <w:bookmarkStart w:id="29" w:name="_Toc28359087"/>
      <w:bookmarkStart w:id="30" w:name="_Toc28359010"/>
      <w:r>
        <w:rPr>
          <w:rFonts w:hint="eastAsia" w:ascii="宋体" w:hAnsi="宋体" w:eastAsia="宋体" w:cs="宋体"/>
          <w:color w:val="000000" w:themeColor="text1"/>
          <w:kern w:val="2"/>
          <w:sz w:val="21"/>
          <w:szCs w:val="21"/>
          <w:highlight w:val="none"/>
          <w:u w:val="single"/>
          <w14:textFill>
            <w14:solidFill>
              <w14:schemeClr w14:val="tx1"/>
            </w14:solidFill>
          </w14:textFill>
        </w:rPr>
        <w:t>021-33312773*802 吴佳</w:t>
      </w: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u w:val="singl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3.项目联系方式</w:t>
      </w:r>
      <w:bookmarkEnd w:id="29"/>
      <w:bookmarkEnd w:id="30"/>
    </w:p>
    <w:p>
      <w:pPr>
        <w:autoSpaceDE/>
        <w:autoSpaceDN/>
        <w:adjustRightInd/>
        <w:spacing w:line="360" w:lineRule="auto"/>
        <w:ind w:firstLine="630" w:firstLineChars="300"/>
        <w:jc w:val="both"/>
        <w:rPr>
          <w:rFonts w:ascii="宋体" w:hAnsi="宋体" w:eastAsia="宋体" w:cs="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项目联系人：</w:t>
      </w:r>
      <w:r>
        <w:rPr>
          <w:rFonts w:hint="eastAsia" w:ascii="宋体" w:hAnsi="宋体" w:eastAsia="宋体" w:cs="宋体"/>
          <w:color w:val="000000" w:themeColor="text1"/>
          <w:kern w:val="2"/>
          <w:sz w:val="21"/>
          <w:szCs w:val="21"/>
          <w:highlight w:val="none"/>
          <w:u w:val="single"/>
          <w14:textFill>
            <w14:solidFill>
              <w14:schemeClr w14:val="tx1"/>
            </w14:solidFill>
          </w14:textFill>
        </w:rPr>
        <w:t>吴佳</w:t>
      </w:r>
    </w:p>
    <w:p>
      <w:pPr>
        <w:autoSpaceDE/>
        <w:autoSpaceDN/>
        <w:adjustRightInd/>
        <w:spacing w:line="360" w:lineRule="auto"/>
        <w:ind w:firstLine="630" w:firstLineChars="300"/>
        <w:jc w:val="both"/>
        <w:rPr>
          <w:rFonts w:ascii="仿宋" w:hAnsi="仿宋" w:eastAsia="仿宋"/>
          <w:color w:val="000000" w:themeColor="text1"/>
          <w:kern w:val="2"/>
          <w:sz w:val="28"/>
          <w:szCs w:val="28"/>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电　话：</w:t>
      </w:r>
      <w:r>
        <w:rPr>
          <w:rFonts w:hint="eastAsia" w:ascii="宋体" w:hAnsi="宋体" w:eastAsia="宋体" w:cs="宋体"/>
          <w:color w:val="000000" w:themeColor="text1"/>
          <w:kern w:val="2"/>
          <w:sz w:val="21"/>
          <w:szCs w:val="21"/>
          <w:highlight w:val="none"/>
          <w:u w:val="single"/>
          <w14:textFill>
            <w14:solidFill>
              <w14:schemeClr w14:val="tx1"/>
            </w14:solidFill>
          </w14:textFill>
        </w:rPr>
        <w:t>021-33312773*802</w:t>
      </w:r>
    </w:p>
    <w:p>
      <w:pPr>
        <w:pStyle w:val="11"/>
        <w:kinsoku w:val="0"/>
        <w:overflowPunct w:val="0"/>
        <w:spacing w:before="33" w:line="355" w:lineRule="auto"/>
        <w:ind w:left="537" w:right="4146"/>
        <w:rPr>
          <w:color w:val="000000" w:themeColor="text1"/>
          <w:highlight w:val="none"/>
          <w14:textFill>
            <w14:solidFill>
              <w14:schemeClr w14:val="tx1"/>
            </w14:solidFill>
          </w14:textFill>
        </w:rPr>
      </w:pPr>
    </w:p>
    <w:p>
      <w:pPr>
        <w:pStyle w:val="11"/>
        <w:kinsoku w:val="0"/>
        <w:overflowPunct w:val="0"/>
        <w:spacing w:before="33" w:line="355" w:lineRule="auto"/>
        <w:ind w:left="537" w:right="4146"/>
        <w:rPr>
          <w:color w:val="000000" w:themeColor="text1"/>
          <w:highlight w:val="none"/>
          <w14:textFill>
            <w14:solidFill>
              <w14:schemeClr w14:val="tx1"/>
            </w14:solidFill>
          </w14:textFill>
        </w:rPr>
        <w:sectPr>
          <w:pgSz w:w="11910" w:h="16840"/>
          <w:pgMar w:top="1400" w:right="1680" w:bottom="1180" w:left="1680" w:header="0" w:footer="982" w:gutter="0"/>
          <w:cols w:equalWidth="0" w:num="1">
            <w:col w:w="8550"/>
          </w:cols>
        </w:sectPr>
      </w:pPr>
    </w:p>
    <w:p>
      <w:pPr>
        <w:pStyle w:val="11"/>
        <w:tabs>
          <w:tab w:val="left" w:pos="1339"/>
        </w:tabs>
        <w:kinsoku w:val="0"/>
        <w:overflowPunct w:val="0"/>
        <w:spacing w:before="1"/>
        <w:ind w:left="139"/>
        <w:jc w:val="center"/>
        <w:rPr>
          <w:rFonts w:ascii="黑体" w:eastAsia="黑体" w:cs="黑体"/>
          <w:color w:val="000000" w:themeColor="text1"/>
          <w:sz w:val="24"/>
          <w:szCs w:val="24"/>
          <w:highlight w:val="none"/>
          <w14:textFill>
            <w14:solidFill>
              <w14:schemeClr w14:val="tx1"/>
            </w14:solidFill>
          </w14:textFill>
        </w:rPr>
      </w:pPr>
      <w:r>
        <w:rPr>
          <w:rFonts w:hint="eastAsia" w:ascii="黑体" w:eastAsia="黑体" w:cs="黑体"/>
          <w:color w:val="000000" w:themeColor="text1"/>
          <w:sz w:val="24"/>
          <w:szCs w:val="24"/>
          <w:highlight w:val="none"/>
          <w14:textFill>
            <w14:solidFill>
              <w14:schemeClr w14:val="tx1"/>
            </w14:solidFill>
          </w14:textFill>
        </w:rPr>
        <w:t>第二章</w:t>
      </w:r>
      <w:r>
        <w:rPr>
          <w:rFonts w:ascii="黑体" w:eastAsia="黑体" w:cs="黑体"/>
          <w:color w:val="000000" w:themeColor="text1"/>
          <w:sz w:val="24"/>
          <w:szCs w:val="24"/>
          <w:highlight w:val="none"/>
          <w14:textFill>
            <w14:solidFill>
              <w14:schemeClr w14:val="tx1"/>
            </w14:solidFill>
          </w14:textFill>
        </w:rPr>
        <w:tab/>
      </w:r>
      <w:r>
        <w:rPr>
          <w:rFonts w:hint="eastAsia" w:ascii="黑体" w:eastAsia="黑体" w:cs="黑体"/>
          <w:color w:val="000000" w:themeColor="text1"/>
          <w:sz w:val="24"/>
          <w:szCs w:val="24"/>
          <w:highlight w:val="none"/>
          <w14:textFill>
            <w14:solidFill>
              <w14:schemeClr w14:val="tx1"/>
            </w14:solidFill>
          </w14:textFill>
        </w:rPr>
        <w:t>投标人须知</w:t>
      </w:r>
    </w:p>
    <w:p>
      <w:pPr>
        <w:pStyle w:val="8"/>
        <w:kinsoku w:val="0"/>
        <w:overflowPunct w:val="0"/>
        <w:spacing w:before="150"/>
        <w:ind w:left="117" w:firstLine="3523"/>
        <w:rPr>
          <w:b w:val="0"/>
          <w:bCs w:val="0"/>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前附（置）表</w:t>
      </w:r>
    </w:p>
    <w:p>
      <w:pPr>
        <w:pStyle w:val="11"/>
        <w:kinsoku w:val="0"/>
        <w:overflowPunct w:val="0"/>
        <w:spacing w:before="9"/>
        <w:ind w:left="0"/>
        <w:rPr>
          <w:b/>
          <w:bCs/>
          <w:color w:val="000000" w:themeColor="text1"/>
          <w:sz w:val="22"/>
          <w:szCs w:val="22"/>
          <w:highlight w:val="none"/>
          <w14:textFill>
            <w14:solidFill>
              <w14:schemeClr w14:val="tx1"/>
            </w14:solidFill>
          </w14:textFill>
        </w:rPr>
      </w:pPr>
    </w:p>
    <w:p>
      <w:pPr>
        <w:pStyle w:val="11"/>
        <w:numPr>
          <w:ilvl w:val="0"/>
          <w:numId w:val="1"/>
        </w:numPr>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项目情况</w:t>
      </w:r>
      <w:r>
        <w:rPr>
          <w:color w:val="000000" w:themeColor="text1"/>
          <w:highlight w:val="none"/>
          <w14:textFill>
            <w14:solidFill>
              <w14:schemeClr w14:val="tx1"/>
            </w14:solidFill>
          </w14:textFill>
        </w:rPr>
        <w:t xml:space="preserve"> </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项目名称：复旦大学GPU异构服务器采购项目</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项目编号：</w:t>
      </w:r>
      <w:r>
        <w:rPr>
          <w:rFonts w:hint="eastAsia"/>
          <w:color w:val="000000" w:themeColor="text1"/>
          <w:highlight w:val="none"/>
          <w:lang w:eastAsia="zh-CN"/>
          <w14:textFill>
            <w14:solidFill>
              <w14:schemeClr w14:val="tx1"/>
            </w14:solidFill>
          </w14:textFill>
        </w:rPr>
        <w:t>HW2020102701</w:t>
      </w:r>
      <w:r>
        <w:rPr>
          <w:rFonts w:hint="eastAsia"/>
          <w:color w:val="000000" w:themeColor="text1"/>
          <w:highlight w:val="none"/>
          <w14:textFill>
            <w14:solidFill>
              <w14:schemeClr w14:val="tx1"/>
            </w14:solidFill>
          </w14:textFill>
        </w:rPr>
        <w:t>（招标编号：</w:t>
      </w:r>
      <w:r>
        <w:rPr>
          <w:rFonts w:hint="eastAsia"/>
          <w:color w:val="000000" w:themeColor="text1"/>
          <w:highlight w:val="none"/>
          <w:lang w:eastAsia="zh-CN"/>
          <w14:textFill>
            <w14:solidFill>
              <w14:schemeClr w14:val="tx1"/>
            </w14:solidFill>
          </w14:textFill>
        </w:rPr>
        <w:t>YX-FDCG-2020-016</w:t>
      </w:r>
      <w:r>
        <w:rPr>
          <w:rFonts w:hint="eastAsia"/>
          <w:color w:val="000000" w:themeColor="text1"/>
          <w:highlight w:val="none"/>
          <w14:textFill>
            <w14:solidFill>
              <w14:schemeClr w14:val="tx1"/>
            </w14:solidFill>
          </w14:textFill>
        </w:rPr>
        <w:t>）</w:t>
      </w:r>
    </w:p>
    <w:p>
      <w:pPr>
        <w:pStyle w:val="11"/>
        <w:kinsoku w:val="0"/>
        <w:overflowPunct w:val="0"/>
        <w:spacing w:before="0" w:line="357" w:lineRule="auto"/>
        <w:ind w:right="2224"/>
        <w:rPr>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项目交付地址：用户指定地点。</w:t>
      </w:r>
    </w:p>
    <w:p>
      <w:pPr>
        <w:pStyle w:val="8"/>
        <w:kinsoku w:val="0"/>
        <w:overflowPunct w:val="0"/>
        <w:spacing w:before="30"/>
        <w:ind w:left="117"/>
        <w:rPr>
          <w:color w:val="000000" w:themeColor="text1"/>
          <w:sz w:val="20"/>
          <w:szCs w:val="20"/>
          <w:highlight w:val="none"/>
          <w14:textFill>
            <w14:solidFill>
              <w14:schemeClr w14:val="tx1"/>
            </w14:solidFill>
          </w14:textFill>
        </w:rPr>
      </w:pPr>
      <w:r>
        <w:rPr>
          <w:rFonts w:hint="eastAsia"/>
          <w:color w:val="000000" w:themeColor="text1"/>
          <w:highlight w:val="none"/>
          <w14:textFill>
            <w14:solidFill>
              <w14:schemeClr w14:val="tx1"/>
            </w14:solidFill>
          </w14:textFill>
        </w:rPr>
        <w:t>项目内容：</w:t>
      </w:r>
    </w:p>
    <w:p>
      <w:pPr>
        <w:widowControl/>
        <w:autoSpaceDE/>
        <w:autoSpaceDN/>
        <w:adjustRightInd/>
        <w:spacing w:before="100" w:beforeAutospacing="1" w:after="100" w:afterAutospacing="1" w:line="360" w:lineRule="auto"/>
        <w:ind w:firstLine="420"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采购GPU服务器（1台）、1U AI/HPC高性能计算资源分配系统（1套）。</w:t>
      </w:r>
    </w:p>
    <w:p>
      <w:pPr>
        <w:widowControl/>
        <w:autoSpaceDE/>
        <w:autoSpaceDN/>
        <w:adjustRightInd/>
        <w:spacing w:before="100" w:beforeAutospacing="1" w:after="100" w:afterAutospacing="1" w:line="360" w:lineRule="auto"/>
        <w:ind w:firstLine="422"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b/>
          <w:bCs/>
          <w:color w:val="000000" w:themeColor="text1"/>
          <w:sz w:val="21"/>
          <w:szCs w:val="21"/>
          <w:highlight w:val="none"/>
          <w14:textFill>
            <w14:solidFill>
              <w14:schemeClr w14:val="tx1"/>
            </w14:solidFill>
          </w14:textFill>
        </w:rPr>
        <w:t>项目预算金额：</w:t>
      </w:r>
      <w:r>
        <w:rPr>
          <w:rFonts w:hint="eastAsia" w:ascii="宋体" w:hAnsi="宋体" w:eastAsia="宋体" w:cs="Arial"/>
          <w:color w:val="000000" w:themeColor="text1"/>
          <w:sz w:val="21"/>
          <w:szCs w:val="21"/>
          <w:highlight w:val="none"/>
          <w14:textFill>
            <w14:solidFill>
              <w14:schemeClr w14:val="tx1"/>
            </w14:solidFill>
          </w14:textFill>
        </w:rPr>
        <w:t xml:space="preserve">49万元。 </w:t>
      </w:r>
    </w:p>
    <w:p>
      <w:pPr>
        <w:widowControl/>
        <w:autoSpaceDE/>
        <w:autoSpaceDN/>
        <w:adjustRightInd/>
        <w:spacing w:before="100" w:beforeAutospacing="1" w:after="100" w:afterAutospacing="1" w:line="360" w:lineRule="auto"/>
        <w:ind w:firstLine="422"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b/>
          <w:bCs/>
          <w:color w:val="000000" w:themeColor="text1"/>
          <w:sz w:val="21"/>
          <w:szCs w:val="21"/>
          <w:highlight w:val="none"/>
          <w14:textFill>
            <w14:solidFill>
              <w14:schemeClr w14:val="tx1"/>
            </w14:solidFill>
          </w14:textFill>
        </w:rPr>
        <w:t>超过采购预算的投标不予接受。</w:t>
      </w:r>
    </w:p>
    <w:p>
      <w:pPr>
        <w:widowControl/>
        <w:autoSpaceDE/>
        <w:autoSpaceDN/>
        <w:adjustRightInd/>
        <w:spacing w:before="100" w:beforeAutospacing="1" w:after="100" w:afterAutospacing="1" w:line="360" w:lineRule="auto"/>
        <w:ind w:firstLine="420" w:firstLineChars="20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具体项目内容、采购范围及所应达到的具体要求，以采购文件“第四章 项目招标需求” 为准。</w:t>
      </w:r>
    </w:p>
    <w:p>
      <w:pPr>
        <w:autoSpaceDE/>
        <w:autoSpaceDN/>
        <w:adjustRightInd/>
        <w:spacing w:line="360" w:lineRule="auto"/>
        <w:jc w:val="both"/>
        <w:rPr>
          <w:rStyle w:val="35"/>
          <w:rFonts w:hAnsi="宋体" w:eastAsia="宋体"/>
          <w:bCs/>
          <w:color w:val="000000" w:themeColor="text1"/>
          <w:kern w:val="2"/>
          <w:sz w:val="21"/>
          <w:szCs w:val="21"/>
          <w:highlight w:val="none"/>
          <w14:textFill>
            <w14:solidFill>
              <w14:schemeClr w14:val="tx1"/>
            </w14:solidFill>
          </w14:textFill>
        </w:rPr>
      </w:pPr>
      <w:r>
        <w:rPr>
          <w:rStyle w:val="35"/>
          <w:rFonts w:hint="eastAsia" w:hAnsi="宋体" w:eastAsia="宋体"/>
          <w:b/>
          <w:color w:val="000000" w:themeColor="text1"/>
          <w:kern w:val="2"/>
          <w:sz w:val="21"/>
          <w:szCs w:val="21"/>
          <w:highlight w:val="none"/>
          <w14:textFill>
            <w14:solidFill>
              <w14:schemeClr w14:val="tx1"/>
            </w14:solidFill>
          </w14:textFill>
        </w:rPr>
        <w:t>交付日期：</w:t>
      </w:r>
      <w:r>
        <w:rPr>
          <w:rStyle w:val="35"/>
          <w:rFonts w:hint="eastAsia" w:hAnsi="宋体" w:eastAsia="宋体"/>
          <w:bCs/>
          <w:color w:val="000000" w:themeColor="text1"/>
          <w:kern w:val="2"/>
          <w:sz w:val="21"/>
          <w:szCs w:val="21"/>
          <w:highlight w:val="none"/>
          <w14:textFill>
            <w14:solidFill>
              <w14:schemeClr w14:val="tx1"/>
            </w14:solidFill>
          </w14:textFill>
        </w:rPr>
        <w:t xml:space="preserve"> 75天（包括：签订合同后 60 天内设备全部到货，设备到货后 10 天内完成安装调试，安装调试完成后稳定运行 5 天方满足验收条件）。</w:t>
      </w:r>
    </w:p>
    <w:p>
      <w:pPr>
        <w:autoSpaceDE/>
        <w:autoSpaceDN/>
        <w:adjustRightInd/>
        <w:spacing w:line="360" w:lineRule="auto"/>
        <w:jc w:val="both"/>
        <w:rPr>
          <w:rStyle w:val="35"/>
          <w:rFonts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二、招标人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采购人：复旦大学</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地址：上海市杨浦区邯郸路 220 号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邮编：200433</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电话号码：021-65641327</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联系人：</w:t>
      </w:r>
      <w:r>
        <w:rPr>
          <w:rFonts w:hint="eastAsia" w:ascii="宋体" w:hAnsi="宋体" w:eastAsia="宋体"/>
          <w:color w:val="000000" w:themeColor="text1"/>
          <w:kern w:val="2"/>
          <w:sz w:val="21"/>
          <w:szCs w:val="21"/>
          <w:highlight w:val="none"/>
          <w:lang w:eastAsia="zh-CN"/>
          <w14:textFill>
            <w14:solidFill>
              <w14:schemeClr w14:val="tx1"/>
            </w14:solidFill>
          </w14:textFill>
        </w:rPr>
        <w:t>张老师</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采购代理：上海银鑫建设咨询有限公司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地址：上海市徐汇区零陵路 583 号海洋石油大厦 1216 室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邮编：200030</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电话号码：021-33312773*802 </w:t>
      </w:r>
    </w:p>
    <w:p>
      <w:pPr>
        <w:autoSpaceDE/>
        <w:autoSpaceDN/>
        <w:adjustRightInd/>
        <w:spacing w:line="360" w:lineRule="auto"/>
        <w:jc w:val="both"/>
        <w:rPr>
          <w:color w:val="000000" w:themeColor="text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传真号码：021-33312773*809</w:t>
      </w:r>
    </w:p>
    <w:p>
      <w:pPr>
        <w:pStyle w:val="11"/>
        <w:kinsoku w:val="0"/>
        <w:overflowPunct w:val="0"/>
        <w:spacing w:before="6" w:line="355" w:lineRule="auto"/>
        <w:ind w:left="0" w:right="557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"mailto:344605699@qq.com" </w:instrText>
      </w:r>
      <w:r>
        <w:rPr>
          <w:color w:val="000000" w:themeColor="text1"/>
          <w:highlight w:val="none"/>
          <w14:textFill>
            <w14:solidFill>
              <w14:schemeClr w14:val="tx1"/>
            </w14:solidFill>
          </w14:textFill>
        </w:rPr>
        <w:fldChar w:fldCharType="separate"/>
      </w:r>
      <w:r>
        <w:rPr>
          <w:rFonts w:hint="eastAsia"/>
          <w:color w:val="000000" w:themeColor="text1"/>
          <w:spacing w:val="-1"/>
          <w:highlight w:val="none"/>
          <w14:textFill>
            <w14:solidFill>
              <w14:schemeClr w14:val="tx1"/>
            </w14:solidFill>
          </w14:textFill>
        </w:rPr>
        <w:t>电子信箱：</w:t>
      </w:r>
      <w:r>
        <w:rPr>
          <w:color w:val="000000" w:themeColor="text1"/>
          <w:spacing w:val="-1"/>
          <w:highlight w:val="none"/>
          <w14:textFill>
            <w14:solidFill>
              <w14:schemeClr w14:val="tx1"/>
            </w14:solidFill>
          </w14:textFill>
        </w:rPr>
        <w:t>344605699@qq.com</w:t>
      </w:r>
      <w:r>
        <w:rPr>
          <w:color w:val="000000" w:themeColor="text1"/>
          <w:spacing w:val="-1"/>
          <w:highlight w:val="none"/>
          <w14:textFill>
            <w14:solidFill>
              <w14:schemeClr w14:val="tx1"/>
            </w14:solidFill>
          </w14:textFill>
        </w:rPr>
        <w:fldChar w:fldCharType="end"/>
      </w:r>
      <w:r>
        <w:rPr>
          <w:color w:val="000000" w:themeColor="text1"/>
          <w:spacing w:val="-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联系人：吴佳</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pStyle w:val="11"/>
        <w:kinsoku w:val="0"/>
        <w:overflowPunct w:val="0"/>
        <w:spacing w:before="180" w:line="357" w:lineRule="auto"/>
        <w:ind w:left="0" w:right="1932"/>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三、合格供应商条件</w:t>
      </w:r>
      <w:r>
        <w:rPr>
          <w:color w:val="000000" w:themeColor="text1"/>
          <w:highlight w:val="none"/>
          <w14:textFill>
            <w14:solidFill>
              <w14:schemeClr w14:val="tx1"/>
            </w14:solidFill>
          </w14:textFill>
        </w:rPr>
        <w:t xml:space="preserve"> </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1.满足《中华人民共和国政府采购法》第二十二条规定；</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2.落实政府采购政策需满足的资格要求：本项目不属于专门面向中小企业采购的项目；</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3.本项目的特定资格要求：</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3.1投标人具有独立的法人资格；</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3.2投标人须为招标产品的专业制造商（生产商）或经销商；</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3.3采购活动前3年（2017年10月至今）内在经营活动中无重大违法记录；</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3.4投标人未列入“信用中国”网站（www.creditchina.gov.cn）失信被执行人名单、重大税收违法案件当事人名单和“中国政府采购网”网站（www.ccgp.gov.cn）政府采购严重违法失信行为名单；</w:t>
      </w:r>
    </w:p>
    <w:p>
      <w:pPr>
        <w:autoSpaceDE/>
        <w:autoSpaceDN/>
        <w:adjustRightInd/>
        <w:spacing w:line="360" w:lineRule="auto"/>
        <w:jc w:val="both"/>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3.5单位负责人为同一人或者存在直接控股、管理关系的不同供应商，不得参加同一合同项下的政府采购活动。</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四、招标有关事项</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1、招标答疑会：</w:t>
      </w:r>
      <w:bookmarkStart w:id="31" w:name="招标答疑会"/>
      <w:r>
        <w:rPr>
          <w:rFonts w:hint="eastAsia" w:ascii="宋体" w:hAnsi="宋体" w:eastAsia="宋体"/>
          <w:color w:val="000000" w:themeColor="text1"/>
          <w:kern w:val="2"/>
          <w:sz w:val="21"/>
          <w:szCs w:val="21"/>
          <w:highlight w:val="none"/>
          <w14:textFill>
            <w14:solidFill>
              <w14:schemeClr w14:val="tx1"/>
            </w14:solidFill>
          </w14:textFill>
        </w:rPr>
        <w:t>不召开</w:t>
      </w:r>
      <w:bookmarkEnd w:id="31"/>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2、踏勘现场：不组织，自行前往。</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3、投标有效期：</w:t>
      </w:r>
      <w:bookmarkStart w:id="32" w:name="投标有效期2"/>
      <w:r>
        <w:rPr>
          <w:rFonts w:ascii="宋体" w:hAnsi="宋体" w:eastAsia="宋体"/>
          <w:color w:val="000000" w:themeColor="text1"/>
          <w:kern w:val="2"/>
          <w:sz w:val="21"/>
          <w:szCs w:val="21"/>
          <w:highlight w:val="none"/>
          <w14:textFill>
            <w14:solidFill>
              <w14:schemeClr w14:val="tx1"/>
            </w14:solidFill>
          </w14:textFill>
        </w:rPr>
        <w:t>90天</w:t>
      </w:r>
      <w:bookmarkEnd w:id="32"/>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4、投标保证金：本项目投标保证金为0.4</w:t>
      </w:r>
      <w:r>
        <w:rPr>
          <w:rFonts w:hint="eastAsia" w:ascii="宋体" w:hAnsi="宋体" w:eastAsia="宋体"/>
          <w:color w:val="000000" w:themeColor="text1"/>
          <w:kern w:val="2"/>
          <w:sz w:val="21"/>
          <w:szCs w:val="21"/>
          <w:highlight w:val="none"/>
          <w:lang w:val="en-US" w:eastAsia="zh-CN"/>
          <w14:textFill>
            <w14:solidFill>
              <w14:schemeClr w14:val="tx1"/>
            </w14:solidFill>
          </w14:textFill>
        </w:rPr>
        <w:t>9</w:t>
      </w:r>
      <w:r>
        <w:rPr>
          <w:rFonts w:hint="eastAsia" w:ascii="宋体" w:hAnsi="宋体" w:eastAsia="宋体"/>
          <w:color w:val="000000" w:themeColor="text1"/>
          <w:kern w:val="2"/>
          <w:sz w:val="21"/>
          <w:szCs w:val="21"/>
          <w:highlight w:val="none"/>
          <w14:textFill>
            <w14:solidFill>
              <w14:schemeClr w14:val="tx1"/>
            </w14:solidFill>
          </w14:textFill>
        </w:rPr>
        <w:t>万元。</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4.1、保证金递交截止时间： 同投标截止时间 ，以保证金实际到账为准。</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4.2、递交地点：上海市徐汇区零陵路583号海洋石油大厦1216室 。</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4.3、递交方式：转账、汇款、支票或代理单位接受的其他方式。</w:t>
      </w:r>
    </w:p>
    <w:p>
      <w:pPr>
        <w:autoSpaceDE/>
        <w:autoSpaceDN/>
        <w:adjustRightInd/>
        <w:spacing w:line="360" w:lineRule="auto"/>
        <w:ind w:left="737" w:leftChars="100" w:hanging="497" w:hangingChars="23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4.4、为确保保证金在递交截止时间前到账，通过转账、汇款方式递交保证金的投标人，应在投标截止时间前完成保证金支付，保证金有效期应与投标有效期一致。如投标人通过转账、汇款、支票方式递交保证金的，均应</w:t>
      </w:r>
      <w:r>
        <w:rPr>
          <w:rFonts w:hint="eastAsia" w:ascii="宋体" w:hAnsi="宋体" w:eastAsia="宋体"/>
          <w:b/>
          <w:color w:val="000000" w:themeColor="text1"/>
          <w:kern w:val="2"/>
          <w:sz w:val="21"/>
          <w:szCs w:val="21"/>
          <w:highlight w:val="none"/>
          <w14:textFill>
            <w14:solidFill>
              <w14:schemeClr w14:val="tx1"/>
            </w14:solidFill>
          </w14:textFill>
        </w:rPr>
        <w:t>从投标人基本户中转出</w:t>
      </w:r>
      <w:r>
        <w:rPr>
          <w:rFonts w:hint="eastAsia" w:ascii="宋体" w:hAnsi="宋体" w:eastAsia="宋体"/>
          <w:color w:val="000000" w:themeColor="text1"/>
          <w:kern w:val="2"/>
          <w:sz w:val="21"/>
          <w:szCs w:val="21"/>
          <w:highlight w:val="none"/>
          <w14:textFill>
            <w14:solidFill>
              <w14:schemeClr w14:val="tx1"/>
            </w14:solidFill>
          </w14:textFill>
        </w:rPr>
        <w:t>（转出账号需与投标文件内提供的</w:t>
      </w:r>
      <w:r>
        <w:rPr>
          <w:rFonts w:hint="eastAsia" w:ascii="宋体" w:hAnsi="宋体" w:eastAsia="宋体"/>
          <w:b/>
          <w:color w:val="000000" w:themeColor="text1"/>
          <w:kern w:val="2"/>
          <w:sz w:val="21"/>
          <w:szCs w:val="21"/>
          <w:highlight w:val="none"/>
          <w14:textFill>
            <w14:solidFill>
              <w14:schemeClr w14:val="tx1"/>
            </w14:solidFill>
          </w14:textFill>
        </w:rPr>
        <w:t>基本账户开户许可证</w:t>
      </w:r>
      <w:r>
        <w:rPr>
          <w:rFonts w:hint="eastAsia" w:ascii="宋体" w:hAnsi="宋体" w:eastAsia="宋体"/>
          <w:color w:val="000000" w:themeColor="text1"/>
          <w:kern w:val="2"/>
          <w:sz w:val="21"/>
          <w:szCs w:val="21"/>
          <w:highlight w:val="none"/>
          <w14:textFill>
            <w14:solidFill>
              <w14:schemeClr w14:val="tx1"/>
            </w14:solidFill>
          </w14:textFill>
        </w:rPr>
        <w:t>的账号相一致）</w:t>
      </w:r>
    </w:p>
    <w:p>
      <w:pPr>
        <w:autoSpaceDE/>
        <w:autoSpaceDN/>
        <w:adjustRightInd/>
        <w:spacing w:line="360" w:lineRule="auto"/>
        <w:ind w:firstLine="210" w:firstLineChars="1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4.5、投标保证金汇款账号：</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户    名：上海银鑫建设咨询有限公司</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开户银行：建行上海第五支行    </w:t>
      </w:r>
    </w:p>
    <w:p>
      <w:pPr>
        <w:autoSpaceDE/>
        <w:autoSpaceDN/>
        <w:adjustRightInd/>
        <w:spacing w:line="360" w:lineRule="auto"/>
        <w:ind w:left="648" w:leftChars="270" w:firstLine="140" w:firstLineChars="67"/>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帐    号：31001505400050017159</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5、投标截止时间: 详见采购公告或延期公告（如果有的话）。</w:t>
      </w:r>
    </w:p>
    <w:p>
      <w:pPr>
        <w:autoSpaceDE/>
        <w:autoSpaceDN/>
        <w:adjustRightInd/>
        <w:spacing w:line="360" w:lineRule="auto"/>
        <w:ind w:firstLine="283" w:firstLineChars="135"/>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递交投标文件地址：</w:t>
      </w:r>
      <w:r>
        <w:rPr>
          <w:rFonts w:hint="eastAsia" w:eastAsia="宋体"/>
          <w:color w:val="000000" w:themeColor="text1"/>
          <w:kern w:val="2"/>
          <w:sz w:val="21"/>
          <w:szCs w:val="21"/>
          <w:highlight w:val="none"/>
          <w14:textFill>
            <w14:solidFill>
              <w14:schemeClr w14:val="tx1"/>
            </w14:solidFill>
          </w14:textFill>
        </w:rPr>
        <w:t>上海市徐汇区零陵路583号海洋石油大厦1217室。</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6、开标时间和开标地点：</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开标时间：同投标截止时间</w:t>
      </w:r>
      <w:r>
        <w:rPr>
          <w:rFonts w:hint="eastAsia"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开标地点：</w:t>
      </w:r>
      <w:r>
        <w:rPr>
          <w:rFonts w:hint="eastAsia" w:eastAsia="宋体"/>
          <w:color w:val="000000" w:themeColor="text1"/>
          <w:kern w:val="2"/>
          <w:sz w:val="21"/>
          <w:szCs w:val="21"/>
          <w:highlight w:val="none"/>
          <w14:textFill>
            <w14:solidFill>
              <w14:schemeClr w14:val="tx1"/>
            </w14:solidFill>
          </w14:textFill>
        </w:rPr>
        <w:t>上海市徐汇区零陵路583号海洋石油大厦1217室。</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7、评标委员会的组建：评标委员会由采购人的代表和上海市政府采购评审专家组成，其中专家的人数不少于评标委员会成员总数的三分之二。</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8、评标方法：详见第五章。</w:t>
      </w:r>
    </w:p>
    <w:p>
      <w:pPr>
        <w:autoSpaceDE/>
        <w:autoSpaceDN/>
        <w:adjustRightInd/>
        <w:spacing w:line="360" w:lineRule="auto"/>
        <w:ind w:left="283" w:hanging="283" w:hangingChars="135"/>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9、中标人推荐办法：</w:t>
      </w:r>
      <w:bookmarkStart w:id="33" w:name="评标委员会"/>
      <w:r>
        <w:rPr>
          <w:rFonts w:hint="eastAsia" w:ascii="宋体" w:hAnsi="宋体" w:eastAsia="宋体"/>
          <w:color w:val="000000" w:themeColor="text1"/>
          <w:kern w:val="2"/>
          <w:sz w:val="21"/>
          <w:szCs w:val="21"/>
          <w:highlight w:val="none"/>
          <w14:textFill>
            <w14:solidFill>
              <w14:schemeClr w14:val="tx1"/>
            </w14:solidFill>
          </w14:textFill>
        </w:rPr>
        <w:t>本项目评标委员会由5</w:t>
      </w:r>
      <w:r>
        <w:rPr>
          <w:rFonts w:ascii="宋体" w:hAnsi="宋体" w:eastAsia="宋体"/>
          <w:color w:val="000000" w:themeColor="text1"/>
          <w:kern w:val="2"/>
          <w:sz w:val="21"/>
          <w:szCs w:val="21"/>
          <w:highlight w:val="none"/>
          <w14:textFill>
            <w14:solidFill>
              <w14:schemeClr w14:val="tx1"/>
            </w14:solidFill>
          </w14:textFill>
        </w:rPr>
        <w:t>人组成，各评委按照评标办法对每个投标人进行独立评分，按照投标人最终</w:t>
      </w:r>
      <w:r>
        <w:rPr>
          <w:rFonts w:hint="eastAsia" w:ascii="宋体" w:hAnsi="宋体" w:eastAsia="宋体"/>
          <w:color w:val="000000" w:themeColor="text1"/>
          <w:kern w:val="2"/>
          <w:sz w:val="21"/>
          <w:szCs w:val="21"/>
          <w:highlight w:val="none"/>
          <w14:textFill>
            <w14:solidFill>
              <w14:schemeClr w14:val="tx1"/>
            </w14:solidFill>
          </w14:textFill>
        </w:rPr>
        <w:t>平均</w:t>
      </w:r>
      <w:r>
        <w:rPr>
          <w:rFonts w:ascii="宋体" w:hAnsi="宋体" w:eastAsia="宋体"/>
          <w:color w:val="000000" w:themeColor="text1"/>
          <w:kern w:val="2"/>
          <w:sz w:val="21"/>
          <w:szCs w:val="21"/>
          <w:highlight w:val="none"/>
          <w14:textFill>
            <w14:solidFill>
              <w14:schemeClr w14:val="tx1"/>
            </w14:solidFill>
          </w14:textFill>
        </w:rPr>
        <w:t>得分</w:t>
      </w:r>
      <w:r>
        <w:rPr>
          <w:rFonts w:hint="eastAsia" w:ascii="宋体" w:hAnsi="宋体" w:eastAsia="宋体"/>
          <w:color w:val="000000" w:themeColor="text1"/>
          <w:kern w:val="2"/>
          <w:sz w:val="21"/>
          <w:szCs w:val="21"/>
          <w:highlight w:val="none"/>
          <w14:textFill>
            <w14:solidFill>
              <w14:schemeClr w14:val="tx1"/>
            </w14:solidFill>
          </w14:textFill>
        </w:rPr>
        <w:t>情况，推荐最高得分的投标人为</w:t>
      </w:r>
      <w:r>
        <w:rPr>
          <w:rFonts w:ascii="宋体" w:hAnsi="宋体" w:eastAsia="宋体"/>
          <w:color w:val="000000" w:themeColor="text1"/>
          <w:kern w:val="2"/>
          <w:sz w:val="21"/>
          <w:szCs w:val="21"/>
          <w:highlight w:val="none"/>
          <w14:textFill>
            <w14:solidFill>
              <w14:schemeClr w14:val="tx1"/>
            </w14:solidFill>
          </w14:textFill>
        </w:rPr>
        <w:t>中标候选人。</w:t>
      </w:r>
      <w:bookmarkEnd w:id="33"/>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pStyle w:val="11"/>
        <w:kinsoku w:val="0"/>
        <w:overflowPunct w:val="0"/>
        <w:spacing w:before="180"/>
        <w:ind w:left="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五、其它事项</w:t>
      </w:r>
    </w:p>
    <w:p>
      <w:pPr>
        <w:kinsoku w:val="0"/>
        <w:overflowPunct w:val="0"/>
        <w:autoSpaceDE/>
        <w:autoSpaceDN/>
        <w:adjustRightInd/>
        <w:spacing w:before="134" w:line="360" w:lineRule="auto"/>
        <w:jc w:val="both"/>
        <w:rPr>
          <w:rFonts w:hint="eastAsia"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付款方法：合同签订后</w:t>
      </w:r>
      <w:r>
        <w:rPr>
          <w:rFonts w:hint="eastAsia" w:ascii="宋体" w:hAnsi="宋体" w:eastAsia="宋体"/>
          <w:color w:val="000000" w:themeColor="text1"/>
          <w:kern w:val="2"/>
          <w:sz w:val="21"/>
          <w:szCs w:val="21"/>
          <w:highlight w:val="none"/>
          <w:lang w:eastAsia="zh-CN"/>
          <w14:textFill>
            <w14:solidFill>
              <w14:schemeClr w14:val="tx1"/>
            </w14:solidFill>
          </w14:textFill>
        </w:rPr>
        <w:t>，中标人向采购人开具</w:t>
      </w:r>
      <w:r>
        <w:rPr>
          <w:rFonts w:hint="eastAsia" w:ascii="宋体" w:hAnsi="宋体" w:eastAsia="宋体"/>
          <w:color w:val="000000" w:themeColor="text1"/>
          <w:kern w:val="2"/>
          <w:sz w:val="21"/>
          <w:szCs w:val="21"/>
          <w:highlight w:val="none"/>
          <w:lang w:val="en-US" w:eastAsia="zh-CN"/>
          <w14:textFill>
            <w14:solidFill>
              <w14:schemeClr w14:val="tx1"/>
            </w14:solidFill>
          </w14:textFill>
        </w:rPr>
        <w:t>100</w:t>
      </w:r>
      <w:r>
        <w:rPr>
          <w:rFonts w:hint="eastAsia" w:ascii="宋体" w:hAnsi="宋体" w:eastAsia="宋体"/>
          <w:color w:val="000000" w:themeColor="text1"/>
          <w:kern w:val="2"/>
          <w:sz w:val="21"/>
          <w:szCs w:val="21"/>
          <w:highlight w:val="none"/>
          <w:lang w:eastAsia="zh-CN"/>
          <w14:textFill>
            <w14:solidFill>
              <w14:schemeClr w14:val="tx1"/>
            </w14:solidFill>
          </w14:textFill>
        </w:rPr>
        <w:t>%合同金额的正规发票，采购人收到发票后</w:t>
      </w:r>
      <w:r>
        <w:rPr>
          <w:rFonts w:hint="eastAsia" w:ascii="宋体" w:hAnsi="宋体" w:eastAsia="宋体"/>
          <w:color w:val="000000" w:themeColor="text1"/>
          <w:kern w:val="2"/>
          <w:sz w:val="21"/>
          <w:szCs w:val="21"/>
          <w:highlight w:val="none"/>
          <w14:textFill>
            <w14:solidFill>
              <w14:schemeClr w14:val="tx1"/>
            </w14:solidFill>
          </w14:textFill>
        </w:rPr>
        <w:t>支付合同金额的</w:t>
      </w:r>
      <w:r>
        <w:rPr>
          <w:rFonts w:hint="eastAsia" w:ascii="宋体" w:hAnsi="宋体" w:eastAsia="宋体"/>
          <w:color w:val="000000" w:themeColor="text1"/>
          <w:kern w:val="2"/>
          <w:sz w:val="21"/>
          <w:szCs w:val="21"/>
          <w:highlight w:val="none"/>
          <w:lang w:val="en-US" w:eastAsia="zh-CN"/>
          <w14:textFill>
            <w14:solidFill>
              <w14:schemeClr w14:val="tx1"/>
            </w14:solidFill>
          </w14:textFill>
        </w:rPr>
        <w:t>8</w:t>
      </w:r>
      <w:r>
        <w:rPr>
          <w:rFonts w:hint="eastAsia" w:ascii="宋体" w:hAnsi="宋体" w:eastAsia="宋体"/>
          <w:color w:val="000000" w:themeColor="text1"/>
          <w:kern w:val="2"/>
          <w:sz w:val="21"/>
          <w:szCs w:val="21"/>
          <w:highlight w:val="none"/>
          <w14:textFill>
            <w14:solidFill>
              <w14:schemeClr w14:val="tx1"/>
            </w14:solidFill>
          </w14:textFill>
        </w:rPr>
        <w:t>0%，预留质量保证金为合同价格的</w:t>
      </w:r>
      <w:r>
        <w:rPr>
          <w:rFonts w:hint="eastAsia" w:ascii="宋体" w:hAnsi="宋体" w:eastAsia="宋体"/>
          <w:color w:val="000000" w:themeColor="text1"/>
          <w:kern w:val="2"/>
          <w:sz w:val="21"/>
          <w:szCs w:val="21"/>
          <w:highlight w:val="none"/>
          <w:lang w:val="en-US" w:eastAsia="zh-CN"/>
          <w14:textFill>
            <w14:solidFill>
              <w14:schemeClr w14:val="tx1"/>
            </w14:solidFill>
          </w14:textFill>
        </w:rPr>
        <w:t>20</w:t>
      </w:r>
      <w:r>
        <w:rPr>
          <w:rFonts w:hint="eastAsia" w:ascii="宋体" w:hAnsi="宋体" w:eastAsia="宋体"/>
          <w:color w:val="000000" w:themeColor="text1"/>
          <w:kern w:val="2"/>
          <w:sz w:val="21"/>
          <w:szCs w:val="21"/>
          <w:highlight w:val="none"/>
          <w14:textFill>
            <w14:solidFill>
              <w14:schemeClr w14:val="tx1"/>
            </w14:solidFill>
          </w14:textFill>
        </w:rPr>
        <w:t>%，质量保证金在验收合格一年后予以结清。</w:t>
      </w:r>
    </w:p>
    <w:p>
      <w:pPr>
        <w:pStyle w:val="11"/>
        <w:kinsoku w:val="0"/>
        <w:overflowPunct w:val="0"/>
        <w:spacing w:before="134"/>
        <w:ind w:left="0"/>
        <w:rPr>
          <w:color w:val="000000" w:themeColor="text1"/>
          <w:highlight w:val="none"/>
          <w14:textFill>
            <w14:solidFill>
              <w14:schemeClr w14:val="tx1"/>
            </w14:solidFill>
          </w14:textFill>
        </w:rPr>
      </w:pPr>
    </w:p>
    <w:p>
      <w:pPr>
        <w:pStyle w:val="11"/>
        <w:kinsoku w:val="0"/>
        <w:overflowPunct w:val="0"/>
        <w:spacing w:before="134"/>
        <w:ind w:left="0"/>
        <w:rPr>
          <w:color w:val="000000" w:themeColor="text1"/>
          <w:highlight w:val="none"/>
          <w14:textFill>
            <w14:solidFill>
              <w14:schemeClr w14:val="tx1"/>
            </w14:solidFill>
          </w14:textFill>
        </w:rPr>
        <w:sectPr>
          <w:pgSz w:w="11910" w:h="16840"/>
          <w:pgMar w:top="1400" w:right="1680" w:bottom="1180" w:left="1680" w:header="0" w:footer="982" w:gutter="0"/>
          <w:cols w:space="720" w:num="1"/>
        </w:sectPr>
      </w:pPr>
    </w:p>
    <w:p>
      <w:pPr>
        <w:autoSpaceDE/>
        <w:autoSpaceDN/>
        <w:adjustRightInd/>
        <w:spacing w:line="360" w:lineRule="auto"/>
        <w:jc w:val="center"/>
        <w:rPr>
          <w:rFonts w:ascii="宋体" w:eastAsia="宋体"/>
          <w:color w:val="000000" w:themeColor="text1"/>
          <w:kern w:val="2"/>
          <w:highlight w:val="none"/>
          <w14:textFill>
            <w14:solidFill>
              <w14:schemeClr w14:val="tx1"/>
            </w14:solidFill>
          </w14:textFill>
        </w:rPr>
      </w:pPr>
      <w:r>
        <w:rPr>
          <w:rFonts w:hint="eastAsia" w:eastAsia="宋体"/>
          <w:b/>
          <w:color w:val="000000" w:themeColor="text1"/>
          <w:kern w:val="2"/>
          <w:highlight w:val="none"/>
          <w14:textFill>
            <w14:solidFill>
              <w14:schemeClr w14:val="tx1"/>
            </w14:solidFill>
          </w14:textFill>
        </w:rPr>
        <w:t>投标人须知</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一、总则</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1．概述</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1．1 根据《中华人民共和国政府采购法》、《中华人民共和国政府采购法实施条例》等有关法律、法规和规章的规定，本采购项目已具备招标条件。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1．2 本招标文件仅适用于《采购公告》和《投标人须知》前附表中所述采购项目的招标采购。</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1．3 招标文件的解释权属于《采购公告》和《投标人须知》前附表中所述的招标人。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 参与招标投标活动的所有各方，对在参与招标投标过程中获悉的国家、商业和技术秘密以及其它依法应当保密的内容，均负有保密义务，违者应对由此造成的后果承担全部法律责任。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2．定义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 “采购项目”系指《投标人须知》前附表中所述的采购项目。</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2．2 “货物”系指招标文件规定的投标人为完成采购项目所需承担的全部义务。</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2．3 “招标人”系指《投标人须知》前附表中所述的组织本次招标的采购代理机构和采购人。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2．4 “投标人”系指从招标人处按规定获取招标文件，并按照招标文件向招标人提交投标文件的供应商。</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 “中标人”系指中标的投标人。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 “乙方”系指中标并向采购人提供货物的投标人。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 招标文件中凡标有“★”的条款均系实质性要求条款。</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3．合格的投标人</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3．1 符合《采购公告》和《投标人须知》前附表中规定的合格投标人所必须具备的资质条件和特定条件。</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3．2 投标人投标所使用的资格、信誉、荣誉、业绩及企业认证必须为本法人所拥有。</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3．3 被省级或省级以上政府采购监管部门处分，禁止参加政府采购活动且尚在禁止期内的供应商不得参加本采购项目的投标。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4．合格的货物</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4．1 投标人所提供的货物应当没有侵犯任何第三方的知识产权、技术秘密等合法权利。 </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 投标人提供的货物应当符合招标文件的要求，并且其质量完全符合国家标准、行业标准或地方标准。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5．投标费用</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不论投标的结果如何，投标人均应自行承担所有与投标有关的全部费用，招标人在任何情况下均无义务和责任承担这些费用。</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6．信息发布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本采购项目需要公开的有关信息，包括招标公告、招标文件澄清或修改公告、中标结果公示、未中标通知以及延长投标截止时间等与招标活动有关的通知，招标人均将通过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）”公开发布</w:t>
      </w:r>
      <w:r>
        <w:rPr>
          <w:rFonts w:hint="eastAsia" w:ascii="宋体" w:eastAsia="宋体"/>
          <w:color w:val="000000" w:themeColor="text1"/>
          <w:kern w:val="2"/>
          <w:sz w:val="21"/>
          <w:szCs w:val="21"/>
          <w:highlight w:val="none"/>
          <w14:textFill>
            <w14:solidFill>
              <w14:schemeClr w14:val="tx1"/>
            </w14:solidFill>
          </w14:textFill>
        </w:rPr>
        <w:t>。投标人在参与本采购项目招投标活动期间，请及时关注以上媒体上的相关信息，投标人因没有及时关注而未能如期获取相关信息，是投标人的风险，招标人对此不承担任何责任。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7．询问与质疑</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7．1 投标人对招标活动事项有疑问的，可以向招标人提出询问。询问可以采取电话、电子邮件、当面或书面等形式。对投标人的询问，招标人将依法及时作出答复，但答复的内容不涉及商业秘密或者依法应当保密的内容。投标人书面询问需在投标截止日十日前向招标人提出，超过该时间的书面询问将不予回答。</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7．2 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投标人应当在法定质疑期内一次性提出针对同一采购程序环节的质疑，超过次数的质疑将不予受理。以联合体形式参加政府采购活动的，其质疑应当由组成联合体的所有供应商共同提出。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7．3 投标人可以委托代理人进行质疑。代理人提出质疑应当提交投标人签署的授权委托书，并提供相应的身份证明。授权委托书应当载明代理人的姓名或者名称、代理事项、具体权限、期限和相关事项。投标人为自然人的，应当由本人签字；投标人为法人或者其他组织的，应当由法定代表人、主要负责人签字或者盖章，并加盖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7．4 质疑应明确阐述招标文件、招标过程或中标结果中使自己合法权益受到损害的实质性内容，提供相关事实、依据和证据及其来源或线索，以便于有关单位调查、答复和处理。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投标人提出质疑应当提交质疑函和必要的证明材料。质疑函应当包括下列内容：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（1）供应商的姓名或者名称、地址、邮编、联系人及联系电话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（2）质疑项目的名称、编号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（3）具体、明确的质疑事项和与质疑事项相关的请求</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（4）事实依据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（5）必要的法律依据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（6）提出质疑的日期</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投标人为自然人的，应当由本人签字；投标人为法人或者其他组织的，应当由法定代表人、主要负责人，或者其授权代表签字或者盖章，并加盖公章。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质疑函应当按照财政部制定的范本填写，范本格式可通过中国政府采购网（http://</w:t>
      </w:r>
      <w:r>
        <w:rPr>
          <w:rFonts w:eastAsia="宋体"/>
          <w:color w:val="000000" w:themeColor="text1"/>
          <w:kern w:val="2"/>
          <w:sz w:val="21"/>
          <w:highlight w:val="none"/>
          <w14:textFill>
            <w14:solidFill>
              <w14:schemeClr w14:val="tx1"/>
            </w14:solidFill>
          </w14:textFill>
        </w:rPr>
        <w:t xml:space="preserve"> </w:t>
      </w:r>
      <w:r>
        <w:rPr>
          <w:rFonts w:ascii="宋体" w:eastAsia="宋体"/>
          <w:color w:val="000000" w:themeColor="text1"/>
          <w:kern w:val="2"/>
          <w:sz w:val="21"/>
          <w:szCs w:val="21"/>
          <w:highlight w:val="none"/>
          <w14:textFill>
            <w14:solidFill>
              <w14:schemeClr w14:val="tx1"/>
            </w14:solidFill>
          </w14:textFill>
        </w:rPr>
        <w:t>www.ccgp.gov.cn</w:t>
      </w:r>
      <w:r>
        <w:rPr>
          <w:rFonts w:hint="eastAsia" w:ascii="宋体" w:eastAsia="宋体"/>
          <w:color w:val="000000" w:themeColor="text1"/>
          <w:kern w:val="2"/>
          <w:sz w:val="21"/>
          <w:szCs w:val="21"/>
          <w:highlight w:val="none"/>
          <w14:textFill>
            <w14:solidFill>
              <w14:schemeClr w14:val="tx1"/>
            </w14:solidFill>
          </w14:textFill>
        </w:rPr>
        <w:t xml:space="preserve"> ）右侧的“下载专区”下载。</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7．5 投标人提起询问和质疑，应当按照《政府采购质疑和投诉办法》（财政部令第94号）的规定办理。质疑函或授权委托书的内容不符合《投标人须知》第7.3条和第7.4条规定的，招标人将当场一次性告知投标人需要补正的事项，投标人超过法定质疑期未按要求补正并重新提交的，视为放弃质疑。</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质疑函的递交应当采取当面递交形式，质疑递交地址：上海市徐汇区零陵路583号海洋石油大厦1216室，联系电话：33312773。</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7．6 招标人将在收到投标人的书面质疑后七个工作日内作出答复，并以书面形式通知提出质疑的投标人和其他有关投标人，但答复的内容不涉及商业秘密或者依法应当保密的内容。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7．7 对投标人询问或质疑的答复将导致招标文件变更或者影响招标活动继续进行的，招标人将通知提出询问或质疑的投标人，并在原招标公告发布媒体上发布变更公告。</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8．公平竞争和诚实信用</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8．1 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pPr>
        <w:autoSpaceDE/>
        <w:autoSpaceDN/>
        <w:adjustRightInd/>
        <w:spacing w:line="360" w:lineRule="auto"/>
        <w:ind w:firstLine="432"/>
        <w:jc w:val="both"/>
        <w:rPr>
          <w:rFonts w:ascii="华文楷体" w:hAnsi="华文楷体" w:eastAsia="华文楷体"/>
          <w:b/>
          <w:bCs/>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8．2如果有证据表明投标人在本招标项目的竞争中存在腐败、欺诈或其他严重违背公平竞争和诚实信用原则、扰乱政府采购正常秩序的行为，招标人将拒绝其投标，</w:t>
      </w:r>
      <w:r>
        <w:rPr>
          <w:rFonts w:hint="eastAsia" w:ascii="宋体" w:hAnsi="宋体" w:eastAsia="宋体"/>
          <w:color w:val="000000" w:themeColor="text1"/>
          <w:kern w:val="2"/>
          <w:sz w:val="21"/>
          <w:szCs w:val="21"/>
          <w:highlight w:val="none"/>
          <w14:textFill>
            <w14:solidFill>
              <w14:schemeClr w14:val="tx1"/>
            </w14:solidFill>
          </w14:textFill>
        </w:rPr>
        <w:t>并将报告政府采购监管部门查处</w:t>
      </w:r>
      <w:r>
        <w:rPr>
          <w:rFonts w:hint="eastAsia" w:ascii="华文楷体" w:hAnsi="华文楷体" w:eastAsia="华文楷体"/>
          <w:bCs/>
          <w:color w:val="000000" w:themeColor="text1"/>
          <w:kern w:val="2"/>
          <w:sz w:val="21"/>
          <w:szCs w:val="21"/>
          <w:highlight w:val="none"/>
          <w14:textFill>
            <w14:solidFill>
              <w14:schemeClr w14:val="tx1"/>
            </w14:solidFill>
          </w14:textFill>
        </w:rPr>
        <w:t>；</w:t>
      </w:r>
      <w:r>
        <w:rPr>
          <w:rFonts w:hint="eastAsia" w:ascii="宋体" w:hAnsi="宋体" w:eastAsia="宋体"/>
          <w:color w:val="000000" w:themeColor="text1"/>
          <w:kern w:val="2"/>
          <w:sz w:val="21"/>
          <w:szCs w:val="21"/>
          <w:highlight w:val="none"/>
          <w14:textFill>
            <w14:solidFill>
              <w14:schemeClr w14:val="tx1"/>
            </w14:solidFill>
          </w14:textFill>
        </w:rPr>
        <w:t>中标后发现的，中标人须参照《中华人民共和国消费者权益保护法》第55条之条文描述方式双倍赔偿采购人，且民事赔偿并不免除违法投标人的行政与刑事责任。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9．其他</w:t>
      </w:r>
    </w:p>
    <w:p>
      <w:pPr>
        <w:autoSpaceDE/>
        <w:autoSpaceDN/>
        <w:adjustRightInd/>
        <w:spacing w:line="360" w:lineRule="auto"/>
        <w:ind w:firstLine="432"/>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本</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投标人须知</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的条款如与</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采购公告</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项目招标需求</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和</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评标办法</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就同一内容的表述不一致的，以</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采购公告</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项目招标需求</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和</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评标办法</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eastAsia="宋体"/>
          <w:color w:val="000000" w:themeColor="text1"/>
          <w:kern w:val="2"/>
          <w:sz w:val="21"/>
          <w:szCs w:val="21"/>
          <w:highlight w:val="none"/>
          <w14:textFill>
            <w14:solidFill>
              <w14:schemeClr w14:val="tx1"/>
            </w14:solidFill>
          </w14:textFill>
        </w:rPr>
        <w:t>中规定的内容为准。</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二、招标文件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10．招标文件构成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10．1 招标文件由以下部分组成：</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（1）采购公告；</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（2）投标人须知；</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（3）政府采购主要政策；</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（4）项目招标需求；</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（5）评标办法；</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（6）投标文件有关格式；</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（7）合同格式；</w:t>
      </w:r>
    </w:p>
    <w:p>
      <w:pPr>
        <w:autoSpaceDE/>
        <w:autoSpaceDN/>
        <w:adjustRightInd/>
        <w:spacing w:line="360" w:lineRule="auto"/>
        <w:ind w:firstLine="472" w:firstLineChars="225"/>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（8）本项目招标文件的澄清、答复、修改、补充内容（如有的话）。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10．2 投标人</w:t>
      </w:r>
      <w:r>
        <w:rPr>
          <w:rFonts w:hint="eastAsia" w:ascii="宋体" w:hAnsi="宋体" w:eastAsia="宋体"/>
          <w:color w:val="000000" w:themeColor="text1"/>
          <w:kern w:val="2"/>
          <w:sz w:val="21"/>
          <w:szCs w:val="21"/>
          <w:highlight w:val="none"/>
          <w14:textFill>
            <w14:solidFill>
              <w14:schemeClr w14:val="tx1"/>
            </w14:solidFill>
          </w14:textFill>
        </w:rPr>
        <w:t>应仔细阅读招标文件的所有内容，并按照招标文件的要求提交投标文件</w:t>
      </w:r>
      <w:r>
        <w:rPr>
          <w:rFonts w:hint="eastAsia" w:ascii="宋体" w:eastAsia="宋体"/>
          <w:color w:val="000000" w:themeColor="text1"/>
          <w:kern w:val="2"/>
          <w:sz w:val="21"/>
          <w:szCs w:val="21"/>
          <w:highlight w:val="none"/>
          <w14:textFill>
            <w14:solidFill>
              <w14:schemeClr w14:val="tx1"/>
            </w14:solidFill>
          </w14:textFill>
        </w:rPr>
        <w:t>。如果投标人没有按照招标文件要求提交全部资料，或者投标文件没有对招标文件在各方面作出实质性响应，则投标有可能被认定为无效标，其风险由投标人自行承担。</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10．3 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10．4 投标人应按照招标文件规定的日程安排，准时参加项目招投标有关活动。</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11．招标文件的澄清和修改</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11．1 任何要求对招标文件进行澄清的投标人，均应在投标截止期15天以前，按《采购公告》中的地址以书面形式（必须加盖投标人单位公章）通知招标人。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11．2 对在投标截止期15天以前收到的澄清要求，招标人需要对招标文件进行澄清、答复的；或者在投标截止前的任何时候，招标人需要对招标文件进行补充或修改的，招标人将会通过“中国政府采购网（</w:t>
      </w:r>
      <w:r>
        <w:rPr>
          <w:rFonts w:ascii="宋体" w:eastAsia="宋体"/>
          <w:color w:val="000000" w:themeColor="text1"/>
          <w:kern w:val="2"/>
          <w:sz w:val="21"/>
          <w:szCs w:val="21"/>
          <w:highlight w:val="none"/>
          <w14:textFill>
            <w14:solidFill>
              <w14:schemeClr w14:val="tx1"/>
            </w14:solidFill>
          </w14:textFill>
        </w:rPr>
        <w:t>www.ccgp.gov.cn</w:t>
      </w:r>
      <w:r>
        <w:rPr>
          <w:rFonts w:hint="eastAsia" w:ascii="宋体" w:eastAsia="宋体"/>
          <w:color w:val="000000" w:themeColor="text1"/>
          <w:kern w:val="2"/>
          <w:sz w:val="21"/>
          <w:szCs w:val="21"/>
          <w:highlight w:val="none"/>
          <w14:textFill>
            <w14:solidFill>
              <w14:schemeClr w14:val="tx1"/>
            </w14:solidFill>
          </w14:textFill>
        </w:rPr>
        <w:t>）”和“复旦大学信息公开网（</w:t>
      </w:r>
      <w:r>
        <w:rPr>
          <w:rFonts w:ascii="宋体" w:eastAsia="宋体"/>
          <w:color w:val="000000" w:themeColor="text1"/>
          <w:kern w:val="2"/>
          <w:sz w:val="21"/>
          <w:szCs w:val="21"/>
          <w:highlight w:val="none"/>
          <w14:textFill>
            <w14:solidFill>
              <w14:schemeClr w14:val="tx1"/>
            </w14:solidFill>
          </w14:textFill>
        </w:rPr>
        <w:t>xxgk.fudan.edu.cn</w:t>
      </w:r>
      <w:r>
        <w:rPr>
          <w:rFonts w:hint="eastAsia" w:ascii="宋体" w:eastAsia="宋体"/>
          <w:color w:val="000000" w:themeColor="text1"/>
          <w:kern w:val="2"/>
          <w:sz w:val="21"/>
          <w:szCs w:val="21"/>
          <w:highlight w:val="none"/>
          <w14:textFill>
            <w14:solidFill>
              <w14:schemeClr w14:val="tx1"/>
            </w14:solidFill>
          </w14:textFill>
        </w:rPr>
        <w:t>）”以澄清或修改公告形式发布。如果澄清或修改公告发布时间距投标截止时间不足15天的，则相应延长投标截止时间。延长后的具体投标截止时间以最后发布的澄清或修改公告中的规定为准。</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11．3 澄清或修改公告的内容为招标文件的组成部分。当招标文件与澄清或修改公告就同一内容的表述不一致时，以最后发出的文件内容为准。</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11．4 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11．5 招标人召开答疑会的，所有投标人应根据招标文件或者招标人通知的要求参加答疑会。投标人如不参加，其风险由投标人自行承担，招标人不承担任何责任。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12．踏勘现场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12．1 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12．2 投标人踏勘现场发生的费用由其自理。</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12．3 </w:t>
      </w:r>
      <w:r>
        <w:rPr>
          <w:rFonts w:hint="eastAsia" w:ascii="宋体" w:hAnsi="宋体" w:eastAsia="宋体"/>
          <w:color w:val="000000" w:themeColor="text1"/>
          <w:kern w:val="2"/>
          <w:sz w:val="21"/>
          <w:szCs w:val="21"/>
          <w:highlight w:val="none"/>
          <w14:textFill>
            <w14:solidFill>
              <w14:schemeClr w14:val="tx1"/>
            </w14:solidFill>
          </w14:textFill>
        </w:rPr>
        <w:t>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三、投标文件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13．投标文件构成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13．1投标文件由商务响应文件（包括相关证明文件）和技术响应文件二部分构成。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13．2 商务响应文件（包括相关证明文件）和技术响应文件具体应包含的内容，以第四章《招标需求》规定为准。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14．投标的语言及计量单位</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14．1 投标人提交的投标文件以及投标人与招标人就有关投标事宜的所有来往书面文件均应使用中文。除签名、盖章、专用名称等特殊情形外，以中文以外的文字表述的投标文件视同未提供。</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14．2 投标计量单位，招标文件已有明确规定的，使用招标文件规定的计量单位；招标文件没有规定的，一律采用中华人民共和国法定计量单位（货币单位：人民币元）。</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15．投标有效期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15．1 投标文件应从开标之日起，在《投标须知前附表》规定的投标有效期内有效。投标有效期比招标文件规定短的属于非实质性响应，将被认定为无效投标。</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15．2 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15．3 中标人的投标书作为项目合同的附件，其有效期至中标人全部合同义务履行完毕为止。</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16．商务响应文件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16．1 商务响应文件由以下部分组成：</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（1）投标函；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（2）开标一览表；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（3）投标报价分类明细表；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（4）资格条件及实质性要求响应表；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（6）提供近三年（2017年10月至今）无重大违法的声明；</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（7）提供不存在与参加本项目的其它供应商单位负责人为同一人或者存在直接控股、管理关系承诺；</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（8）第四章《项目需求》规定的其他内容；</w:t>
      </w:r>
    </w:p>
    <w:p>
      <w:pPr>
        <w:autoSpaceDE/>
        <w:autoSpaceDN/>
        <w:adjustRightInd/>
        <w:spacing w:line="360" w:lineRule="auto"/>
        <w:ind w:firstLine="420"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（9）相关证明文件（投标人应按照《招标需求》所规定的内容提交相关证明文件，以证明其有资格参加投标和中标后有能力履行合同）。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17．投标函</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17．1 投标人应按照招标文件中提供的格式完整地填写《投标函》。</w:t>
      </w:r>
    </w:p>
    <w:p>
      <w:pPr>
        <w:autoSpaceDE/>
        <w:autoSpaceDN/>
        <w:adjustRightInd/>
        <w:spacing w:line="360" w:lineRule="auto"/>
        <w:ind w:firstLine="420" w:firstLineChars="200"/>
        <w:jc w:val="both"/>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17．2 投标人不按照招标文件中提供的格式填写《投标函》，或者填写不完整的，评标时将按照第五章《评标办法》中的相关规定予以扣分。</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17．3 投标文件中未提供《投标函》的，为无效投标。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18．开标一览表</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18．1 投标人应按照招标文件提供的投标文件格式完整地填写开标一览表、报价明细表和报价构成表等，说明其拟提供货物的内容、数量、价格、时间、价格构成等。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18．2 开标一览表是为了便于招标人开标，开标一览表内容在开标时将当众公布。开标一览表的内容应与投标报价明细表内容一致，不一致时以开标一览表内容为准。</w:t>
      </w:r>
    </w:p>
    <w:p>
      <w:pPr>
        <w:autoSpaceDE/>
        <w:autoSpaceDN/>
        <w:adjustRightInd/>
        <w:spacing w:line="360" w:lineRule="auto"/>
        <w:ind w:firstLine="420" w:firstLineChars="200"/>
        <w:jc w:val="both"/>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18．3 投标人不按照招标文件中提供的格式填写开标一览表、填写不完整或者投标文件中未提供开标一览表的，评标时将按照第五章《评标办法》中的相关规定予以扣分。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19．投标报价</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19．1 投标报价是履行合同的最终价格，除《项目招标需求》中另有说明外，投标报价应包括投标人为完成采购项目而提供货物的一切费用，包括投标人的各种成本、税金、费用和利润。</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19．2 投标人应按照招标文件提供的投标文件格式完整地填写开标一览表、报价明细表和报价构成表等，说明其拟提供货物的内容、数量、价格、时间、价格构成等。</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19．3 除《项目招标需求》中说明并允许外，投标的每一种货物的单项报价以及采购项目的投标总价均只允许有一个报价，任何有选择的报价，招标人均将予以拒绝。</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19．4 投标报价应是固定不变的，不得以任何理由予以变更。任何可变的或者附有条件的投标报价，招标人均将予以拒绝。</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19．5 开标一览表是为了便于招标人开标，开标一览表内容在开标时将当众唱出。开标一览表的内容应与投标报价明细表内容一致，不一致时以开标一览表内容为准。</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19．6 投标应以人民币报价。</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20．资格条件及实质性要求响应表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投标人应当按照招标文件所提供格式，逐项填写并提交《资格条件及实质性要求响应表》，以证明其投标符合招标文件规定的所有合格投标人资格条件及实质性要求。</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21．与评标有关的投标文件主要内容索引表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21．1 投标人应按照招标文件提供的格式完整地填写与评标有关的投标文件主要内容索引表。</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21．2 与评标有关的投标文件主要内容索引表是为了便于评标。与评标有关的投标文件主要内容索引表与投标文件其他部分就同一内容的表述应当一致。</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22．技术响应文件</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22．1 投标人应按照《项目招标需求》的要求编制并提交技术响应文件，对招标人的技术需求全面完整地做出响应并编制服务方案，以证明其投标的货物符合招标文件规定。</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22．2 技术响应文件可以是文字资料、表格、图纸和数据等各项资料，其内容应包括但不限于人力、物力等资源的投入以及服务内容、方式、手段、措施、质量保证及建议等。</w:t>
      </w:r>
    </w:p>
    <w:p>
      <w:pPr>
        <w:autoSpaceDE/>
        <w:autoSpaceDN/>
        <w:adjustRightInd/>
        <w:spacing w:line="360" w:lineRule="auto"/>
        <w:ind w:firstLine="42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22.3 对于“项目招标需求”中加注星号（“★”）的主要技术要求，投标人在其投标文件中必须作出明确、具体的响应性说明（包括可能存在的正、负偏离情况），并提供相应的技术支持资料，否则其投标将被否决。对于“项目招标需求”中加注三角形（“▲”）的重要技术要求，投标人在其投标文件中必须作出明确、具体的响应性说明（包括可能存在的正、负偏离情况），并提供相应的技术支持资料，否则其投标文件在评审时将着重扣分。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软件，投标人也可提供此前完成的类似项目的合同技术规格及最终的性能检验报告作为技术支持资料。上述技术支持资料只能用于印证投标人自称符合而实际不符合的情形，不能用于相反的印证。</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23．相关证明文件</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ascii="宋体" w:eastAsia="宋体"/>
          <w:color w:val="000000" w:themeColor="text1"/>
          <w:kern w:val="2"/>
          <w:sz w:val="21"/>
          <w:szCs w:val="21"/>
          <w:highlight w:val="none"/>
          <w14:textFill>
            <w14:solidFill>
              <w14:schemeClr w14:val="tx1"/>
            </w14:solidFill>
          </w14:textFill>
        </w:rPr>
        <w:t>23．1 相关证明文件由以下部分组成：</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（1）供应商情况简介；</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（2）供应商与采购项目相关的资质证书（如有）；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（3）法定代表人授权委托书；</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（4）</w:t>
      </w:r>
      <w:r>
        <w:rPr>
          <w:rFonts w:hint="eastAsia" w:eastAsia="宋体"/>
          <w:b/>
          <w:color w:val="000000" w:themeColor="text1"/>
          <w:kern w:val="2"/>
          <w:sz w:val="21"/>
          <w:szCs w:val="21"/>
          <w:highlight w:val="none"/>
          <w14:textFill>
            <w14:solidFill>
              <w14:schemeClr w14:val="tx1"/>
            </w14:solidFill>
          </w14:textFill>
        </w:rPr>
        <w:t>供应商近1个年度的财务报表或经审计的财务报告，及近1个月度的依法缴纳税收和社保费的证明</w:t>
      </w:r>
      <w:r>
        <w:rPr>
          <w:rFonts w:hint="eastAsia"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（5）投标人营业执照或事业单位法人证明；</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（6）自本项目招标公告发布之日起至投标截止之日止，在此期间查询的未列入“信用中国”网站（</w:t>
      </w:r>
      <w:r>
        <w:rPr>
          <w:rFonts w:eastAsia="宋体"/>
          <w:color w:val="000000" w:themeColor="text1"/>
          <w:kern w:val="2"/>
          <w:sz w:val="21"/>
          <w:szCs w:val="21"/>
          <w:highlight w:val="none"/>
          <w14:textFill>
            <w14:solidFill>
              <w14:schemeClr w14:val="tx1"/>
            </w14:solidFill>
          </w14:textFill>
        </w:rPr>
        <w:t>www.creditchina.gov.cn</w:t>
      </w:r>
      <w:r>
        <w:rPr>
          <w:rFonts w:hint="eastAsia" w:eastAsia="宋体"/>
          <w:color w:val="000000" w:themeColor="text1"/>
          <w:kern w:val="2"/>
          <w:sz w:val="21"/>
          <w:szCs w:val="21"/>
          <w:highlight w:val="none"/>
          <w14:textFill>
            <w14:solidFill>
              <w14:schemeClr w14:val="tx1"/>
            </w14:solidFill>
          </w14:textFill>
        </w:rPr>
        <w:t xml:space="preserve"> ）失信被执行人名单、重大税收违法案件当事人名单和“中国政府采购网”网站（</w:t>
      </w:r>
      <w:r>
        <w:rPr>
          <w:rFonts w:eastAsia="宋体"/>
          <w:color w:val="000000" w:themeColor="text1"/>
          <w:kern w:val="2"/>
          <w:sz w:val="21"/>
          <w:szCs w:val="21"/>
          <w:highlight w:val="none"/>
          <w14:textFill>
            <w14:solidFill>
              <w14:schemeClr w14:val="tx1"/>
            </w14:solidFill>
          </w14:textFill>
        </w:rPr>
        <w:t>www.ccgp.gov.cn</w:t>
      </w:r>
      <w:r>
        <w:rPr>
          <w:rFonts w:hint="eastAsia" w:eastAsia="宋体"/>
          <w:color w:val="000000" w:themeColor="text1"/>
          <w:kern w:val="2"/>
          <w:sz w:val="21"/>
          <w:szCs w:val="21"/>
          <w:highlight w:val="none"/>
          <w14:textFill>
            <w14:solidFill>
              <w14:schemeClr w14:val="tx1"/>
            </w14:solidFill>
          </w14:textFill>
        </w:rPr>
        <w:t xml:space="preserve"> ）政府采购严重违法失信行为名单的查询页面证明文件；</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（7）投标人基本账户开户许可证；</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（8）投标人质量管理和质量保证体系等方面的认证证书（如有）；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（9）《中小企业声明函》，节能环保、福利企业等方面的证明或证书（如有）；</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（10）同类及类似项目的业绩（列表，注明项目名称、服务时间、项目负责人等情况，并提供项目合同复印件或委托方评价作为证明，合同复印首、尾页即可）；</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（11）投标人认为可以证明其能力、业绩、信誉和信用的其他相关材料；</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（12）投标人债务纠纷、违法违规记录等方面的情况（如有）。</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ascii="宋体" w:eastAsia="宋体"/>
          <w:color w:val="000000" w:themeColor="text1"/>
          <w:kern w:val="2"/>
          <w:sz w:val="21"/>
          <w:szCs w:val="21"/>
          <w:highlight w:val="none"/>
          <w14:textFill>
            <w14:solidFill>
              <w14:schemeClr w14:val="tx1"/>
            </w14:solidFill>
          </w14:textFill>
        </w:rPr>
        <w:t>23.2 除提供上述证明文件外，投标人应按照《项目招标需求》所规定的内容提交相关证明文件，以证明其有资格参加投标和中标后有能力履行合同。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24．投标保证金</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 投标人应在招标文件规定的时间内递交投标保证金。</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24．2 本次投标保证金额：详见前附（置）表。</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24．3 投标保证金用于保护本次招标免受因投标人的行为而引起的风险。</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24．4 投标保证金应以转账、汇款或招标代理机构同意接受的其他方式（不接受现金方式）在投标文件递交截止日期前递交，如投标人通过转账、汇款、支票方式递交保证金的，均应从投标人基本户中转出（转出账号需与投标文件内提供的基本账户开户许可证的账号相一致），并请投标人在保证金递交截止日前2天（双休及节假日除外）支付，并与招标代理机构确认保证金确已如数到账。</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24．5 如因投标人通过转账、汇款、支票方式递交保证金，招标代理机构在投标前未收到投标人保证金，进而导致投标人不能正常参加投标事宜的，风险由投标人自行承担。</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24．6 保证金有效期应与投标有效期一致。</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24．7 未按规定提交投标保证金的投标，将被视为无效投标，招标人将予以拒绝。</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24．8 未中标投标人的投标保证金，将按投标人须知予以无息退还。</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24．9 中标投标人的投标保证金，在合同签订后，中标人代表携带中标（成交）通知书、中标（成交）人与招标人签署的加盖双方公章的合同扫描件或复印件到上海市徐汇区零陵路583号海洋石油大厦1216室办理投标保证金退还手续，在5个工作日内予以无息退还。</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 发生以下情况投标保证金将被没收：</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24．10．1 开标后投标人在投标有效期内撤回投标；</w:t>
      </w:r>
    </w:p>
    <w:p>
      <w:pPr>
        <w:autoSpaceDE/>
        <w:autoSpaceDN/>
        <w:adjustRightInd/>
        <w:spacing w:line="360" w:lineRule="auto"/>
        <w:ind w:firstLine="420" w:firstLineChars="200"/>
        <w:jc w:val="both"/>
        <w:outlineLvl w:val="0"/>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24．10．2 中标人未能按招标文件规定签订合同。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25．投标文件的编制和签署</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25．1 投标人应按照招标文件要求的格式填写相关内容。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25．2 书面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投标人应写明全称。投标文件因字迹潦草或表达不清所引起的后果由投标人自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25．3 投标人应按招标文件规定的内容、格式和顺序编制投标文件。凡招标文件提供有相应格式的，投标文件均应完整的按照招标文件提供的格式打印、填写。投标文件内容不完整、格式不符合导致投标文件被误读、漏读或者查找不到相关内容的，是投标人的责任，投标人需承担其投标在评标时因此被扣分甚至被认定为无效标的风险。</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25．4 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（2）投标文件应规范，应按照规定格式要求规范填写。</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25．5 技术标文字部分统一采用宋体小四号，字符间距为标准间距，行距为1.5倍行距，纸张规格为A4。</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14:textFill>
            <w14:solidFill>
              <w14:schemeClr w14:val="tx1"/>
            </w14:solidFill>
          </w14:textFill>
        </w:rPr>
        <w:t>25</w:t>
      </w:r>
      <w:r>
        <w:rPr>
          <w:rFonts w:hint="eastAsia" w:ascii="宋体" w:hAnsi="宋体" w:eastAsia="宋体"/>
          <w:color w:val="000000" w:themeColor="text1"/>
          <w:kern w:val="2"/>
          <w:sz w:val="21"/>
          <w:szCs w:val="21"/>
          <w:highlight w:val="none"/>
          <w14:textFill>
            <w14:solidFill>
              <w14:schemeClr w14:val="tx1"/>
            </w14:solidFill>
          </w14:textFill>
        </w:rPr>
        <w:t>．</w:t>
      </w:r>
      <w:r>
        <w:rPr>
          <w:rFonts w:hint="eastAsia" w:ascii="宋体" w:hAnsi="宋体" w:eastAsia="宋体" w:cs="宋体"/>
          <w:color w:val="000000" w:themeColor="text1"/>
          <w:kern w:val="2"/>
          <w:sz w:val="21"/>
          <w:szCs w:val="21"/>
          <w:highlight w:val="none"/>
          <w14:textFill>
            <w14:solidFill>
              <w14:schemeClr w14:val="tx1"/>
            </w14:solidFill>
          </w14:textFill>
        </w:rPr>
        <w:t>6 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投标文件正本和副本的封面上应清楚地标记“正本”或“副本”的字样，正本和副本不一致时，以正本为准。投标文件份数为正本一份，副本四份。</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四、投标文件的递交</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26．投标文件的递交</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26．1 投标人应将投标文件正本和副本进行密封，标明项目名称、招标编号、投标单位名称，并在封口处加盖投标人公章。</w:t>
      </w:r>
    </w:p>
    <w:p>
      <w:pPr>
        <w:autoSpaceDE/>
        <w:autoSpaceDN/>
        <w:adjustRightInd/>
        <w:spacing w:line="360" w:lineRule="auto"/>
        <w:ind w:firstLine="48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26．2</w:t>
      </w:r>
      <w:r>
        <w:rPr>
          <w:rFonts w:hint="eastAsia" w:ascii="宋体" w:hAnsi="宋体" w:eastAsia="宋体"/>
          <w:b/>
          <w:color w:val="000000" w:themeColor="text1"/>
          <w:kern w:val="2"/>
          <w:sz w:val="21"/>
          <w:szCs w:val="21"/>
          <w:highlight w:val="none"/>
          <w14:textFill>
            <w14:solidFill>
              <w14:schemeClr w14:val="tx1"/>
            </w14:solidFill>
          </w14:textFill>
        </w:rPr>
        <w:t xml:space="preserve"> 如果未按上述规定进行密封和标记，投标人的投标将被招标人拒绝。</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26．3 除投标人须知前附表另有规定外，投标人所提交的投标文件不予退还。</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26．4 如果投标文件未按投标人须知规定进行封套标记的，招标人将不承担投标文件被误投或提前拆封的责任。</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27．投标截止时间</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27．1 投标人应在投标截止时间前将书面投标文件送至《采购公告》和《投标人须知》内规定的指定地点。</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27．2 在招标人按《投标人须知》规定酌情延长投标截止期的情况下，招标人和投标人受投标截止期制约的所有权利和义务均应延长至新的截止时间。</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27．3 </w:t>
      </w:r>
      <w:r>
        <w:rPr>
          <w:rFonts w:hint="eastAsia" w:ascii="宋体" w:hAnsi="宋体" w:eastAsia="宋体"/>
          <w:b/>
          <w:color w:val="000000" w:themeColor="text1"/>
          <w:kern w:val="2"/>
          <w:sz w:val="21"/>
          <w:szCs w:val="21"/>
          <w:highlight w:val="none"/>
          <w14:textFill>
            <w14:solidFill>
              <w14:schemeClr w14:val="tx1"/>
            </w14:solidFill>
          </w14:textFill>
        </w:rPr>
        <w:t>在投标截止时间后送达的任何投标文件（含样品），招标人均将拒绝接收。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28．投标文件的修改和撤回</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28．1 投标人在提交投标文件后可对其投标文件进行修改或撤回，但必须在投标截止时间之前递交该修改或撤回的书面通知，该通知须有法人代表或法人代表委托的代理人签章。</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28．2 投标人对投标文件修改的书面材料或撤回的通知应按第25条和26条规定进行编写、密封、标注和递送，并注明“修改投标文件”或“撤回投标”字样。</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28．3 投标截止时间以后不得修改投标文件。</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28．4 投标人不得在开标时间起至投标文件有效期期满前撤回投标文件。否则招标人将按相关的规定没收其投标保证金。</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五、开标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29．开标</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29．1 招标人将按《采购公告》或《延期公告》（如果有的话）中规定的时间在《采购公告》和《投标人须知》内规定的指定地点组织公开开标，投标人派代表参加。招标人将在开标时宣读各投标人提交的开标一览表。参加开标仪式的投标人应在招标人编制的开标记录上签字确认。</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29．2 投标人对开标有异议的，应当在开标现场提出，招标人应当当场做出答复，并制作记录。</w:t>
      </w:r>
    </w:p>
    <w:p>
      <w:pPr>
        <w:autoSpaceDE/>
        <w:autoSpaceDN/>
        <w:adjustRightInd/>
        <w:spacing w:before="240" w:beforeLines="100" w:after="240" w:afterLines="100"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六、资格审查</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30．资格审查</w:t>
      </w:r>
    </w:p>
    <w:p>
      <w:pPr>
        <w:autoSpaceDE/>
        <w:autoSpaceDN/>
        <w:adjustRightInd/>
        <w:spacing w:line="360" w:lineRule="auto"/>
        <w:ind w:firstLine="422" w:firstLineChars="200"/>
        <w:jc w:val="both"/>
        <w:rPr>
          <w:rFonts w:eastAsia="宋体"/>
          <w:b/>
          <w:color w:val="000000" w:themeColor="text1"/>
          <w:kern w:val="2"/>
          <w:sz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 xml:space="preserve">30．1 </w:t>
      </w:r>
      <w:r>
        <w:rPr>
          <w:rFonts w:ascii="宋体" w:eastAsia="宋体"/>
          <w:b/>
          <w:color w:val="000000" w:themeColor="text1"/>
          <w:kern w:val="2"/>
          <w:sz w:val="21"/>
          <w:szCs w:val="21"/>
          <w:highlight w:val="none"/>
          <w14:textFill>
            <w14:solidFill>
              <w14:schemeClr w14:val="tx1"/>
            </w14:solidFill>
          </w14:textFill>
        </w:rPr>
        <w:t>开标结束后，招标人将依法对投标人的资格进行审查，审查的内容包括：</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（1）投标人的资格是否符合本项目采购公告中列明的对合格投标人的资格要求（投标人应按要求提供相关证明材料）；</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（2）如接受联合投标的，投标联合体有没有提交“联合投标协议书”；</w:t>
      </w: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（3）投标人是否按招标文件第24条的要求提交了投标保证金（包括投标保证金的金额、形式和有效期等）；</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30．2 如果投标人未通过上述资格审查，其投标将被直接否决，不再进入后续评标程序。</w:t>
      </w:r>
    </w:p>
    <w:p>
      <w:pPr>
        <w:autoSpaceDE/>
        <w:autoSpaceDN/>
        <w:adjustRightInd/>
        <w:spacing w:line="360" w:lineRule="auto"/>
        <w:ind w:firstLine="422"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30．3 如通过资格审查的投标人数量不足3家，本项目将直接发布评标结果公告（或废标公告），不再启动后续评标程序。</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七、评标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31．评标委员会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31．1 招标人将依法组建评标委员会，评标委员会由采购人的代表和上海市政府采购评审专家组成，其中专家的人数不少于评标委员会成员总数的三分之二。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31．2 评标委员会负责对投标文件进行评审和比较，并向招标人推荐中标候选人。 </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32．投标文件的符合性审查</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32．1 在详细评标之前，评标委员会要对投标人提交的投标文件进行符合性审查，审查每份投标文件是否实质性响应了招标文件的要求。实质性响应是指投标文件与招标文件要求的条款是否相符，是否存在招标文件所规定的无效投标情形。包括且不限于如下内容：</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（1）投标文件的内容、密封、签署和盖章情况是否符合本须知第25条的规定；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（2）投标人承诺的投标有效期是否符合本须知第15条的规定；</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（3）提供了两份以上内容不同的投标文件或对任一报价项提出了可选择的报价（除招标文件允许投备选方案外）；</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（4）不得进行可变的或者附有条件的投标报价；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（5）投标报价是否超过了本项目采购公告中可能列明的最高限价（含可能有和分项最高限价），或者在未规定最高限价的情况下是否超过了本项目采购公告中列明的采购预算（含可能有的分项预算）；</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（6）投标报价不得低于成本价；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（7）交付日期是否符合本项目采购公告中列明的时间或期限；</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（8）是否对本项目合同进行转让或分包。</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上述第（6）点，评标委员会认为投标人的报价明显低于其他通过符合性审查投标人的报价，有可能影响产品质量或者不能诚信履约的，应当要求其在评标现场合理的时间内提供书面说明，必要时提交相关证明材料外，评标委员会只根据投标文件本身的内容来判定投标文件的响应性，而不寻求外部的证据。</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32．2 没有实质性响应招标文件要求的投标文件不参加进一步的评审，投标人不得通过修正或撤销不符合要求的偏离或保留从而使其投标成为实质上响应的投标。</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32．3 对于投标文件中不构成实质性偏差的小的不正规、不一致或不规范的内容，招标人可以接受，但这种接受不能影响评标时投标人之间的相对排序。</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33．投标文件错误的修正</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投标文件中如果有下列计算上或表达上的错误或矛盾，将按以下原则或方法进行修正；其他错误或矛盾，将按不利于出错投标人的原则进行修正：</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（1）开标一览表内容与报价明细表及投标文件其它部分内容不一致的，以开标一览表内容为准；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（2）投标文件的大写金额和小写金额不一致的，以大写金额为准；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（3）总价与单价和数量的乘积不一致的，以单价计算结果为准，并修正总价；</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（4）对投标文件中不同文字文本的解释发生异议的，以中文文本为准。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修正后的结果对投标人具有约束作用，投标人应接受并确认这种修正，否则，其投标将被作为无效投标处理。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34． 投标文件的澄清</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34．1 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34．2 投标人对澄清问题的说明或答复，必要时还应以书面形式提交给招标人，并应由投标人授权代表签字和加盖投标人公章。</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34．3 投标人的澄清文件是其投标文件的组成部分。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34．4 投标人的澄清不得改变其投标文件的实质性内容。</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35．投标文件的评价与比较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35．1 评标委员会只对被确定为实质上响应招标文件要求的投标文件进行评价和比较。</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35．2 评标委员会根据《评标办法》中规定的方法进行评标，并向招标人提交书面评标报告和推荐中标候选人。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35.3 </w:t>
      </w:r>
      <w:r>
        <w:rPr>
          <w:rFonts w:hint="eastAsia" w:ascii="宋体" w:eastAsia="宋体"/>
          <w:b/>
          <w:color w:val="000000" w:themeColor="text1"/>
          <w:kern w:val="2"/>
          <w:sz w:val="21"/>
          <w:szCs w:val="21"/>
          <w:highlight w:val="none"/>
          <w14:textFill>
            <w14:solidFill>
              <w14:schemeClr w14:val="tx1"/>
            </w14:solidFill>
          </w14:textFill>
        </w:rPr>
        <w:t>对于列入财政部、国家发展改革委发布的“节能产品政府采购品目清单”的非强制采购节能产品；列入财政部、生态环境部发布的“环境标志产品政府采购品目清单”的产品实施优先采购，在详细评审中，当两家或两家以上投标人最终的评审得分相等时，则提供了由《参与实施政府采购节能产品认证机构名录》和《参与实施政府采购环境标志产品认证机构名录》内认证机构出具的、处于有效期之内的节能产品、环境标志产品认证证书的投标人排序在前（当投标产品为集成产品时，则上述产品价格占比高的投标人排序在前）。</w:t>
      </w:r>
    </w:p>
    <w:p>
      <w:pPr>
        <w:autoSpaceDE/>
        <w:autoSpaceDN/>
        <w:adjustRightInd/>
        <w:spacing w:line="360" w:lineRule="auto"/>
        <w:ind w:firstLine="420" w:firstLineChars="200"/>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35.4</w:t>
      </w:r>
      <w:r>
        <w:rPr>
          <w:rFonts w:hint="eastAsia" w:ascii="宋体" w:eastAsia="宋体"/>
          <w:b/>
          <w:color w:val="000000" w:themeColor="text1"/>
          <w:kern w:val="2"/>
          <w:sz w:val="21"/>
          <w:szCs w:val="21"/>
          <w:highlight w:val="none"/>
          <w14:textFill>
            <w14:solidFill>
              <w14:schemeClr w14:val="tx1"/>
            </w14:solidFill>
          </w14:textFill>
        </w:rPr>
        <w:t xml:space="preserve"> 对列入财政部、国家发展改革委发布的“节能产品政府采购品目清单”且属于应当强制采购的节能（包括节水）产品，按照规定实行强制采购时，符合性审查阶段的否决投标条款中还包含：“对列入国家有关部门最新公布的节能产品政府采购品目清单且要求强制采购的节能（包括节水）产品，投标人未提供由国家确定的认证机构出具的、处于有效期之内的节能产品认证证书的，作否决投标处理。”</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36．评标的有关要求</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36．1 评标委员会应当公平、公正、客观，不带任何倾向性和启发性，评标委员会及有关工作人员不得私下与投标人接触。</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36．2 </w:t>
      </w:r>
      <w:r>
        <w:rPr>
          <w:rFonts w:hint="eastAsia" w:ascii="宋体" w:hAnsi="宋体" w:eastAsia="宋体"/>
          <w:color w:val="000000" w:themeColor="text1"/>
          <w:kern w:val="2"/>
          <w:sz w:val="21"/>
          <w:szCs w:val="21"/>
          <w:highlight w:val="none"/>
          <w14:textFill>
            <w14:solidFill>
              <w14:schemeClr w14:val="tx1"/>
            </w14:solidFill>
          </w14:textFill>
        </w:rPr>
        <w:t>评标过程严格保密。凡是属于审查、澄清、评价和比较有关的资料以及授标建议等，所有知情人均不得向投标人或其他无关的人员透露。</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36．3 任何单位和个人都不得干扰、影响评标活动的正常进行。</w:t>
      </w:r>
      <w:r>
        <w:rPr>
          <w:rFonts w:hint="eastAsia" w:ascii="宋体" w:hAnsi="宋体" w:eastAsia="宋体"/>
          <w:color w:val="000000" w:themeColor="text1"/>
          <w:kern w:val="2"/>
          <w:sz w:val="21"/>
          <w:szCs w:val="21"/>
          <w:highlight w:val="none"/>
          <w14:textFill>
            <w14:solidFill>
              <w14:schemeClr w14:val="tx1"/>
            </w14:solidFill>
          </w14:textFill>
        </w:rPr>
        <w:t>投标人在评标过程中所进行的试图影响评标结果的一切不符合法律或招标规定的活动，都可能导致其投标被拒绝。</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36．4 招标人和</w:t>
      </w:r>
      <w:r>
        <w:rPr>
          <w:rFonts w:hint="eastAsia" w:ascii="宋体" w:hAnsi="宋体" w:eastAsia="宋体"/>
          <w:color w:val="000000" w:themeColor="text1"/>
          <w:kern w:val="2"/>
          <w:sz w:val="21"/>
          <w:szCs w:val="21"/>
          <w:highlight w:val="none"/>
          <w14:textFill>
            <w14:solidFill>
              <w14:schemeClr w14:val="tx1"/>
            </w14:solidFill>
          </w14:textFill>
        </w:rPr>
        <w:t>评标委员会均无义务向投标人进行任何有关评标的解释。</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八、定标</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37．确认中标人</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除了《投标人须知》第40条规定的招标失败情况之外，采购人将根据评标委员会推荐的中标候选人及排序情况，依法确认本采购项目的中标人。</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38．中标结果公示及中标和未中标通知</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38．1 采购人确认中标人后，招标人将通过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）”对中标结果进行公示，公示期为1个工作日</w:t>
      </w:r>
      <w:r>
        <w:rPr>
          <w:rFonts w:hint="eastAsia" w:asci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38．2 在公告中标结果的同时，采购人或者采购代理机构向中标人发出《中标通知书》，《中标通知书》对招标人和投标人均具有法律约束力。</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38．3 对未通过资格审查的投标人，将告知其未通过的原因；采用综合评分法评审的，将告知未中标人本人的评审得分与排序。</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 xml:space="preserve">38．4 </w:t>
      </w:r>
      <w:r>
        <w:rPr>
          <w:rFonts w:hint="eastAsia" w:ascii="宋体" w:hAnsi="宋体" w:eastAsia="宋体"/>
          <w:bCs/>
          <w:color w:val="000000" w:themeColor="text1"/>
          <w:sz w:val="21"/>
          <w:szCs w:val="21"/>
          <w:highlight w:val="none"/>
          <w14:textFill>
            <w14:solidFill>
              <w14:schemeClr w14:val="tx1"/>
            </w14:solidFill>
          </w14:textFill>
        </w:rPr>
        <w:t>中标结果公示同时也是对其他</w:t>
      </w:r>
      <w:r>
        <w:rPr>
          <w:rFonts w:hint="eastAsia" w:ascii="宋体" w:eastAsia="宋体"/>
          <w:color w:val="000000" w:themeColor="text1"/>
          <w:kern w:val="2"/>
          <w:sz w:val="21"/>
          <w:szCs w:val="21"/>
          <w:highlight w:val="none"/>
          <w14:textFill>
            <w14:solidFill>
              <w14:schemeClr w14:val="tx1"/>
            </w14:solidFill>
          </w14:textFill>
        </w:rPr>
        <w:t>未中标投标人的未中标通知。</w:t>
      </w:r>
      <w:r>
        <w:rPr>
          <w:rFonts w:hint="eastAsia" w:ascii="宋体" w:hAnsi="宋体" w:eastAsia="宋体"/>
          <w:bCs/>
          <w:color w:val="000000" w:themeColor="text1"/>
          <w:sz w:val="21"/>
          <w:szCs w:val="21"/>
          <w:highlight w:val="none"/>
          <w14:textFill>
            <w14:solidFill>
              <w14:schemeClr w14:val="tx1"/>
            </w14:solidFill>
          </w14:textFill>
        </w:rPr>
        <w:t>中标结果公示后</w:t>
      </w:r>
      <w:r>
        <w:rPr>
          <w:rFonts w:hint="eastAsia" w:ascii="宋体" w:eastAsia="宋体"/>
          <w:color w:val="000000" w:themeColor="text1"/>
          <w:kern w:val="2"/>
          <w:sz w:val="21"/>
          <w:szCs w:val="21"/>
          <w:highlight w:val="none"/>
          <w14:textFill>
            <w14:solidFill>
              <w14:schemeClr w14:val="tx1"/>
            </w14:solidFill>
          </w14:textFill>
        </w:rPr>
        <w:t>，未中标的投标人可执授权委托书领取本单位的《未中标结果通知》，同时可按《投标人须知》第24条的规定退还其投标保证金。</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39．投标文件的处理</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所有在开标会上接受并唱出的投标文件都将作为档案保存,不论中标与否，招标人均不退回投标文件。</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40．招标失败</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在投标截止时间结束后，参加投标的投标人不足三家的；或者在评标时，符合专业条件的投标人或对招标文件作出实质响应的投标人不足三家，评标委员会认为缺乏竞争性、确定为招标失败的，招标人将通过</w:t>
      </w:r>
      <w:r>
        <w:rPr>
          <w:rFonts w:hint="eastAsia" w:ascii="宋体" w:hAnsi="宋体" w:eastAsia="宋体"/>
          <w:bCs/>
          <w:color w:val="000000" w:themeColor="text1"/>
          <w:sz w:val="21"/>
          <w:szCs w:val="21"/>
          <w:highlight w:val="none"/>
          <w14:textFill>
            <w14:solidFill>
              <w14:schemeClr w14:val="tx1"/>
            </w14:solidFill>
          </w14:textFill>
        </w:rPr>
        <w:t>“中国政府采购网（</w:t>
      </w:r>
      <w:r>
        <w:rPr>
          <w:rFonts w:ascii="宋体" w:hAnsi="宋体" w:eastAsia="宋体"/>
          <w:bCs/>
          <w:color w:val="000000" w:themeColor="text1"/>
          <w:sz w:val="21"/>
          <w:szCs w:val="21"/>
          <w:highlight w:val="none"/>
          <w14:textFill>
            <w14:solidFill>
              <w14:schemeClr w14:val="tx1"/>
            </w14:solidFill>
          </w14:textFill>
        </w:rPr>
        <w:t>www.ccgp.gov.cn</w:t>
      </w:r>
      <w:r>
        <w:rPr>
          <w:rFonts w:hint="eastAsia" w:ascii="宋体" w:hAnsi="宋体" w:eastAsia="宋体"/>
          <w:bCs/>
          <w:color w:val="000000" w:themeColor="text1"/>
          <w:sz w:val="21"/>
          <w:szCs w:val="21"/>
          <w:highlight w:val="none"/>
          <w14:textFill>
            <w14:solidFill>
              <w14:schemeClr w14:val="tx1"/>
            </w14:solidFill>
          </w14:textFill>
        </w:rPr>
        <w:t xml:space="preserve"> ）”和“复旦大学信息公开网（</w:t>
      </w:r>
      <w:r>
        <w:rPr>
          <w:rFonts w:ascii="宋体" w:hAnsi="宋体" w:eastAsia="宋体"/>
          <w:bCs/>
          <w:color w:val="000000" w:themeColor="text1"/>
          <w:sz w:val="21"/>
          <w:szCs w:val="21"/>
          <w:highlight w:val="none"/>
          <w14:textFill>
            <w14:solidFill>
              <w14:schemeClr w14:val="tx1"/>
            </w14:solidFill>
          </w14:textFill>
        </w:rPr>
        <w:t>xxgk.fudan.edu.cn</w:t>
      </w:r>
      <w:r>
        <w:rPr>
          <w:rFonts w:hint="eastAsia" w:ascii="宋体" w:hAnsi="宋体" w:eastAsia="宋体"/>
          <w:bCs/>
          <w:color w:val="000000" w:themeColor="text1"/>
          <w:sz w:val="21"/>
          <w:szCs w:val="21"/>
          <w:highlight w:val="none"/>
          <w14:textFill>
            <w14:solidFill>
              <w14:schemeClr w14:val="tx1"/>
            </w14:solidFill>
          </w14:textFill>
        </w:rPr>
        <w:t>）”发布招标失败公告。</w:t>
      </w:r>
    </w:p>
    <w:p>
      <w:pPr>
        <w:autoSpaceDE/>
        <w:autoSpaceDN/>
        <w:adjustRightInd/>
        <w:spacing w:before="240" w:beforeLines="100" w:after="240" w:afterLines="100" w:line="360" w:lineRule="auto"/>
        <w:jc w:val="both"/>
        <w:rPr>
          <w:rFonts w:ascii="宋体"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九、授予合同</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41．合同授予</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除了中标人无法履行合同义务之外，招标人将把合同授予根据《投标人须知》第37条规定所确定的中标人</w:t>
      </w:r>
      <w:r>
        <w:rPr>
          <w:rFonts w:hint="eastAsia" w:ascii="宋体" w:hAnsi="宋体"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42．签订合同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42．1 中标人与采购人应当在《中标通知书》发出之日起30日内签订采购合同。</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42．2 中标人应根据合同条款的规定，按照招标文件中提供的履约保证金格式向采购人提交履约保证金。</w:t>
      </w:r>
    </w:p>
    <w:p>
      <w:pPr>
        <w:autoSpaceDE/>
        <w:autoSpaceDN/>
        <w:adjustRightInd/>
        <w:spacing w:line="360" w:lineRule="auto"/>
        <w:ind w:firstLine="422" w:firstLineChars="20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43.其他</w:t>
      </w:r>
    </w:p>
    <w:p>
      <w:pPr>
        <w:autoSpaceDE/>
        <w:autoSpaceDN/>
        <w:adjustRightInd/>
        <w:spacing w:line="36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43.1 中标人应在领取到中标通知书时向招标代理方支付招标服务费，招标服务费以中标金额为基准，按标准收费（计价格[2002]1980号文）下浮33.27%计取。</w:t>
      </w:r>
    </w:p>
    <w:p>
      <w:pPr>
        <w:pStyle w:val="11"/>
        <w:kinsoku w:val="0"/>
        <w:overflowPunct w:val="0"/>
        <w:spacing w:before="134" w:line="355" w:lineRule="auto"/>
        <w:ind w:firstLine="420"/>
        <w:rPr>
          <w:color w:val="000000" w:themeColor="text1"/>
          <w:highlight w:val="none"/>
          <w14:textFill>
            <w14:solidFill>
              <w14:schemeClr w14:val="tx1"/>
            </w14:solidFill>
          </w14:textFill>
        </w:rPr>
      </w:pPr>
    </w:p>
    <w:p>
      <w:pPr>
        <w:pStyle w:val="11"/>
        <w:kinsoku w:val="0"/>
        <w:overflowPunct w:val="0"/>
        <w:spacing w:before="134" w:line="355" w:lineRule="auto"/>
        <w:ind w:firstLine="420"/>
        <w:rPr>
          <w:color w:val="000000" w:themeColor="text1"/>
          <w:highlight w:val="none"/>
          <w14:textFill>
            <w14:solidFill>
              <w14:schemeClr w14:val="tx1"/>
            </w14:solidFill>
          </w14:textFill>
        </w:rPr>
        <w:sectPr>
          <w:footerReference r:id="rId4" w:type="default"/>
          <w:pgSz w:w="11910" w:h="16840"/>
          <w:pgMar w:top="1400" w:right="1680" w:bottom="1180" w:left="1680" w:header="0" w:footer="982" w:gutter="0"/>
          <w:cols w:equalWidth="0" w:num="1">
            <w:col w:w="8550"/>
          </w:cols>
        </w:sectPr>
      </w:pPr>
    </w:p>
    <w:p>
      <w:pPr>
        <w:autoSpaceDE/>
        <w:autoSpaceDN/>
        <w:adjustRightInd/>
        <w:snapToGrid w:val="0"/>
        <w:spacing w:before="240" w:beforeLines="100" w:after="240" w:afterLines="100"/>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第三章 政府采购主要政策</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根据政府采购法，政府采购应当有助于实现国家的经济和社会发展政策目标，包括保护环境，扶持不发达地区和少数民族地区，促进中小企业发展等。对列入</w:t>
      </w:r>
      <w:r>
        <w:rPr>
          <w:rFonts w:hint="eastAsia" w:ascii="宋体" w:hAnsi="宋体" w:eastAsia="宋体"/>
          <w:bCs/>
          <w:color w:val="000000" w:themeColor="text1"/>
          <w:kern w:val="2"/>
          <w:sz w:val="21"/>
          <w:szCs w:val="21"/>
          <w:highlight w:val="none"/>
          <w14:textFill>
            <w14:solidFill>
              <w14:schemeClr w14:val="tx1"/>
            </w14:solidFill>
          </w14:textFill>
        </w:rPr>
        <w:t>财政部、国家发展改革委发布的</w:t>
      </w:r>
      <w:r>
        <w:rPr>
          <w:rFonts w:hint="eastAsia" w:ascii="宋体" w:hAnsi="宋体" w:eastAsia="宋体"/>
          <w:color w:val="000000" w:themeColor="text1"/>
          <w:kern w:val="2"/>
          <w:sz w:val="21"/>
          <w:szCs w:val="21"/>
          <w:highlight w:val="none"/>
          <w14:textFill>
            <w14:solidFill>
              <w14:schemeClr w14:val="tx1"/>
            </w14:solidFill>
          </w14:textFill>
        </w:rPr>
        <w:t>“节能产品政府采购品目清单（财库〔2019〕19号）”且属于应当强制采购的节能（包括节水）产品，按照规定实行强制采购。对于列入</w:t>
      </w:r>
      <w:r>
        <w:rPr>
          <w:rFonts w:hint="eastAsia" w:ascii="宋体" w:hAnsi="宋体" w:eastAsia="宋体"/>
          <w:bCs/>
          <w:color w:val="000000" w:themeColor="text1"/>
          <w:kern w:val="2"/>
          <w:sz w:val="21"/>
          <w:szCs w:val="21"/>
          <w:highlight w:val="none"/>
          <w14:textFill>
            <w14:solidFill>
              <w14:schemeClr w14:val="tx1"/>
            </w14:solidFill>
          </w14:textFill>
        </w:rPr>
        <w:t>财政部、国家发展改革委发布的</w:t>
      </w:r>
      <w:r>
        <w:rPr>
          <w:rFonts w:hint="eastAsia" w:ascii="宋体" w:hAnsi="宋体" w:eastAsia="宋体"/>
          <w:color w:val="000000" w:themeColor="text1"/>
          <w:kern w:val="2"/>
          <w:sz w:val="21"/>
          <w:szCs w:val="21"/>
          <w:highlight w:val="none"/>
          <w14:textFill>
            <w14:solidFill>
              <w14:schemeClr w14:val="tx1"/>
            </w14:solidFill>
          </w14:textFill>
        </w:rPr>
        <w:t>“节能产品政府采购品目清单（财库〔2019〕19号）”的非强制采购节能产品；列入</w:t>
      </w:r>
      <w:r>
        <w:rPr>
          <w:rFonts w:hint="eastAsia" w:ascii="宋体" w:hAnsi="宋体" w:eastAsia="宋体"/>
          <w:bCs/>
          <w:color w:val="000000" w:themeColor="text1"/>
          <w:kern w:val="2"/>
          <w:sz w:val="21"/>
          <w:szCs w:val="21"/>
          <w:highlight w:val="none"/>
          <w14:textFill>
            <w14:solidFill>
              <w14:schemeClr w14:val="tx1"/>
            </w14:solidFill>
          </w14:textFill>
        </w:rPr>
        <w:t>财政部、生态环境部发布的</w:t>
      </w:r>
      <w:r>
        <w:rPr>
          <w:rFonts w:hint="eastAsia" w:ascii="宋体" w:hAnsi="宋体" w:eastAsia="宋体"/>
          <w:color w:val="000000" w:themeColor="text1"/>
          <w:kern w:val="2"/>
          <w:sz w:val="21"/>
          <w:szCs w:val="21"/>
          <w:highlight w:val="none"/>
          <w14:textFill>
            <w14:solidFill>
              <w14:schemeClr w14:val="tx1"/>
            </w14:solidFill>
          </w14:textFill>
        </w:rPr>
        <w:t>“环境标志产品政府采购品目清单（财库〔2019〕18号）”的产品；对于参与投标的中小企业以及经县级以上人民政府民政部门认定、获得福利企业证书的企业，按照国家和上海市的有关政策规定，评标时在同等条件下享受优先待遇，实行优先采购。</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上述“节能产品政府采购品目清单”、“</w:t>
      </w:r>
      <w:r>
        <w:rPr>
          <w:rFonts w:hint="eastAsia" w:eastAsia="宋体"/>
          <w:color w:val="000000" w:themeColor="text1"/>
          <w:kern w:val="2"/>
          <w:sz w:val="21"/>
          <w:highlight w:val="non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环境标志产品政府采购品目清单”所涉及的产品依据国家确定的认证机构（即《市场监管总局关于发布参与实施政府采购节能产品、环境标志产品认证机构名录的公告》2020年第16号）出具的、处于有效期之内的节能产品、环境标志产品认证证书或者在中国政府采购网（www.ccgp.gov.cn）节能产品、环境标志产品认证结果信息发布平台所查询到的产品信息作为评标时的依据。</w:t>
      </w:r>
    </w:p>
    <w:p>
      <w:pPr>
        <w:autoSpaceDE/>
        <w:autoSpaceDN/>
        <w:adjustRightInd/>
        <w:spacing w:line="480" w:lineRule="auto"/>
        <w:ind w:firstLine="420" w:firstLineChars="200"/>
        <w:jc w:val="both"/>
        <w:rPr>
          <w:rFonts w:ascii="宋体" w:eastAsia="宋体"/>
          <w:color w:val="000000" w:themeColor="text1"/>
          <w:kern w:val="2"/>
          <w:sz w:val="21"/>
          <w:szCs w:val="21"/>
          <w:highlight w:val="none"/>
          <w14:textFill>
            <w14:solidFill>
              <w14:schemeClr w14:val="tx1"/>
            </w14:solidFill>
          </w14:textFill>
        </w:rPr>
      </w:pPr>
      <w:r>
        <w:rPr>
          <w:rFonts w:hint="eastAsia" w:ascii="宋体" w:eastAsia="宋体"/>
          <w:color w:val="000000" w:themeColor="text1"/>
          <w:kern w:val="2"/>
          <w:sz w:val="21"/>
          <w:szCs w:val="21"/>
          <w:highlight w:val="none"/>
          <w14:textFill>
            <w14:solidFill>
              <w14:schemeClr w14:val="tx1"/>
            </w14:solidFill>
          </w14:textFill>
        </w:rPr>
        <w:t>如果有国家或者上海市规定政府采购应当强制采购或优先采购的其他产品和服务，按照其规定实行强制采购或优先采购。</w:t>
      </w:r>
    </w:p>
    <w:p>
      <w:pPr>
        <w:autoSpaceDE/>
        <w:autoSpaceDN/>
        <w:adjustRightInd/>
        <w:spacing w:line="48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政府采购对于非专门面向中小企业采购，对小型和微型企业投标人产品的价格给予6%的扣除，用扣除后的价格参与评审。如果政府采购非专门面向中小企业采购且接受联合体投标，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一旦投标人中标，则将在中标公告中公告其声明函，接受社会监督，若提供声明函与事实不符的，将依据《中华人民共和国政府采购法》第七十七条第一款的规定追究其法律责任。（本项目不接受联合体投标）</w:t>
      </w:r>
    </w:p>
    <w:p>
      <w:pPr>
        <w:pStyle w:val="11"/>
        <w:kinsoku w:val="0"/>
        <w:overflowPunct w:val="0"/>
        <w:spacing w:before="64" w:line="475" w:lineRule="auto"/>
        <w:ind w:right="106" w:firstLine="420"/>
        <w:jc w:val="both"/>
        <w:rPr>
          <w:color w:val="000000" w:themeColor="text1"/>
          <w:spacing w:val="-3"/>
          <w:highlight w:val="none"/>
          <w14:textFill>
            <w14:solidFill>
              <w14:schemeClr w14:val="tx1"/>
            </w14:solidFill>
          </w14:textFill>
        </w:rPr>
      </w:pPr>
    </w:p>
    <w:p>
      <w:pPr>
        <w:pStyle w:val="11"/>
        <w:kinsoku w:val="0"/>
        <w:overflowPunct w:val="0"/>
        <w:spacing w:before="64" w:line="475" w:lineRule="auto"/>
        <w:ind w:right="106" w:firstLine="420"/>
        <w:jc w:val="both"/>
        <w:rPr>
          <w:color w:val="000000" w:themeColor="text1"/>
          <w:spacing w:val="-3"/>
          <w:highlight w:val="none"/>
          <w14:textFill>
            <w14:solidFill>
              <w14:schemeClr w14:val="tx1"/>
            </w14:solidFill>
          </w14:textFill>
        </w:rPr>
        <w:sectPr>
          <w:pgSz w:w="11910" w:h="16840"/>
          <w:pgMar w:top="1600" w:right="1680" w:bottom="1180" w:left="1680" w:header="0" w:footer="982" w:gutter="0"/>
          <w:cols w:space="720" w:num="1"/>
        </w:sectPr>
      </w:pPr>
    </w:p>
    <w:p>
      <w:pPr>
        <w:pStyle w:val="8"/>
        <w:tabs>
          <w:tab w:val="left" w:pos="3872"/>
          <w:tab w:val="left" w:pos="4083"/>
        </w:tabs>
        <w:kinsoku w:val="0"/>
        <w:overflowPunct w:val="0"/>
        <w:spacing w:before="18" w:line="355" w:lineRule="auto"/>
        <w:ind w:left="3029" w:right="3004" w:hanging="2"/>
        <w:jc w:val="center"/>
        <w:rPr>
          <w:color w:val="000000" w:themeColor="text1"/>
          <w:w w:val="99"/>
          <w:highlight w:val="none"/>
          <w14:textFill>
            <w14:solidFill>
              <w14:schemeClr w14:val="tx1"/>
            </w14:solidFill>
          </w14:textFill>
        </w:rPr>
      </w:pPr>
      <w:r>
        <w:rPr>
          <w:rFonts w:hint="eastAsia"/>
          <w:color w:val="000000" w:themeColor="text1"/>
          <w:w w:val="95"/>
          <w:highlight w:val="none"/>
          <w14:textFill>
            <w14:solidFill>
              <w14:schemeClr w14:val="tx1"/>
            </w14:solidFill>
          </w14:textFill>
        </w:rPr>
        <w:t>第四章</w:t>
      </w:r>
      <w:r>
        <w:rPr>
          <w:color w:val="000000" w:themeColor="text1"/>
          <w:w w:val="95"/>
          <w:highlight w:val="none"/>
          <w14:textFill>
            <w14:solidFill>
              <w14:schemeClr w14:val="tx1"/>
            </w14:solidFill>
          </w14:textFill>
        </w:rPr>
        <w:tab/>
      </w:r>
      <w:r>
        <w:rPr>
          <w:rFonts w:hint="eastAsia"/>
          <w:color w:val="000000" w:themeColor="text1"/>
          <w:highlight w:val="none"/>
          <w14:textFill>
            <w14:solidFill>
              <w14:schemeClr w14:val="tx1"/>
            </w14:solidFill>
          </w14:textFill>
        </w:rPr>
        <w:t>项目招标需求</w:t>
      </w:r>
      <w:r>
        <w:rPr>
          <w:color w:val="000000" w:themeColor="text1"/>
          <w:w w:val="99"/>
          <w:highlight w:val="none"/>
          <w14:textFill>
            <w14:solidFill>
              <w14:schemeClr w14:val="tx1"/>
            </w14:solidFill>
          </w14:textFill>
        </w:rPr>
        <w:t xml:space="preserve"> </w:t>
      </w:r>
    </w:p>
    <w:p>
      <w:pPr>
        <w:pStyle w:val="8"/>
        <w:tabs>
          <w:tab w:val="left" w:pos="3872"/>
          <w:tab w:val="left" w:pos="4083"/>
        </w:tabs>
        <w:kinsoku w:val="0"/>
        <w:overflowPunct w:val="0"/>
        <w:spacing w:before="18" w:line="355" w:lineRule="auto"/>
        <w:ind w:left="3029" w:right="3004" w:hanging="2"/>
        <w:jc w:val="center"/>
        <w:rPr>
          <w:color w:val="000000" w:themeColor="text1"/>
          <w:highlight w:val="none"/>
          <w14:textFill>
            <w14:solidFill>
              <w14:schemeClr w14:val="tx1"/>
            </w14:solidFill>
          </w14:textFill>
        </w:rPr>
      </w:pPr>
      <w:r>
        <w:rPr>
          <w:rFonts w:hint="eastAsia"/>
          <w:color w:val="000000" w:themeColor="text1"/>
          <w:w w:val="95"/>
          <w:highlight w:val="none"/>
          <w14:textFill>
            <w14:solidFill>
              <w14:schemeClr w14:val="tx1"/>
            </w14:solidFill>
          </w14:textFill>
        </w:rPr>
        <w:t xml:space="preserve">第一部分  </w:t>
      </w:r>
      <w:r>
        <w:rPr>
          <w:color w:val="000000" w:themeColor="text1"/>
          <w:w w:val="95"/>
          <w:highlight w:val="none"/>
          <w14:textFill>
            <w14:solidFill>
              <w14:schemeClr w14:val="tx1"/>
            </w14:solidFill>
          </w14:textFill>
        </w:rPr>
        <w:tab/>
      </w:r>
      <w:r>
        <w:rPr>
          <w:rFonts w:hint="eastAsia"/>
          <w:color w:val="000000" w:themeColor="text1"/>
          <w:highlight w:val="none"/>
          <w14:textFill>
            <w14:solidFill>
              <w14:schemeClr w14:val="tx1"/>
            </w14:solidFill>
          </w14:textFill>
        </w:rPr>
        <w:t>货物需求一览表</w:t>
      </w:r>
    </w:p>
    <w:p>
      <w:pPr>
        <w:rPr>
          <w:color w:val="000000" w:themeColor="text1"/>
          <w:highlight w:val="none"/>
          <w14:textFill>
            <w14:solidFill>
              <w14:schemeClr w14:val="tx1"/>
            </w14:solidFill>
          </w14:textFill>
        </w:rPr>
      </w:pPr>
    </w:p>
    <w:tbl>
      <w:tblPr>
        <w:tblStyle w:val="19"/>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 w:type="dxa"/>
          <w:bottom w:w="0" w:type="dxa"/>
          <w:right w:w="10" w:type="dxa"/>
        </w:tblCellMar>
      </w:tblPr>
      <w:tblGrid>
        <w:gridCol w:w="1463"/>
        <w:gridCol w:w="2634"/>
        <w:gridCol w:w="1468"/>
        <w:gridCol w:w="265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序号</w:t>
            </w:r>
          </w:p>
        </w:tc>
        <w:tc>
          <w:tcPr>
            <w:tcW w:w="2634" w:type="dxa"/>
            <w:vAlign w:val="center"/>
          </w:tcPr>
          <w:p>
            <w:pPr>
              <w:pStyle w:val="31"/>
              <w:kinsoku w:val="0"/>
              <w:overflowPunct w:val="0"/>
              <w:spacing w:line="303" w:lineRule="exact"/>
              <w:ind w:left="1"/>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主材型号规格</w:t>
            </w:r>
          </w:p>
        </w:tc>
        <w:tc>
          <w:tcPr>
            <w:tcW w:w="1468"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单位</w:t>
            </w:r>
          </w:p>
        </w:tc>
        <w:tc>
          <w:tcPr>
            <w:tcW w:w="2657" w:type="dxa"/>
            <w:vAlign w:val="center"/>
          </w:tcPr>
          <w:p>
            <w:pPr>
              <w:jc w:val="center"/>
              <w:rPr>
                <w:color w:val="000000" w:themeColor="text1"/>
                <w:highlight w:val="none"/>
                <w14:textFill>
                  <w14:solidFill>
                    <w14:schemeClr w14:val="tx1"/>
                  </w14:solidFill>
                </w14:textFill>
              </w:rPr>
            </w:pPr>
            <w:r>
              <w:rPr>
                <w:rFonts w:hint="eastAsia" w:ascii="微软雅黑" w:eastAsia="微软雅黑" w:cs="微软雅黑"/>
                <w:color w:val="000000" w:themeColor="text1"/>
                <w:sz w:val="20"/>
                <w:szCs w:val="20"/>
                <w:highlight w:val="none"/>
                <w14:textFill>
                  <w14:solidFill>
                    <w14:schemeClr w14:val="tx1"/>
                  </w14:solidFill>
                </w14:textFill>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w:t>
            </w:r>
          </w:p>
        </w:tc>
        <w:tc>
          <w:tcPr>
            <w:tcW w:w="2634" w:type="dxa"/>
            <w:vAlign w:val="center"/>
          </w:tcPr>
          <w:p>
            <w:pPr>
              <w:jc w:val="center"/>
              <w:rPr>
                <w:rFonts w:eastAsia="宋体"/>
                <w:color w:val="000000" w:themeColor="text1"/>
                <w:sz w:val="22"/>
                <w:highlight w:val="none"/>
                <w14:textFill>
                  <w14:solidFill>
                    <w14:schemeClr w14:val="tx1"/>
                  </w14:solidFill>
                </w14:textFill>
              </w:rPr>
            </w:pPr>
            <w:r>
              <w:rPr>
                <w:rFonts w:hint="eastAsia" w:eastAsia="宋体"/>
                <w:color w:val="000000" w:themeColor="text1"/>
                <w:sz w:val="22"/>
                <w:highlight w:val="none"/>
                <w14:textFill>
                  <w14:solidFill>
                    <w14:schemeClr w14:val="tx1"/>
                  </w14:solidFill>
                </w14:textFill>
              </w:rPr>
              <w:t>GPU</w:t>
            </w:r>
            <w:r>
              <w:rPr>
                <w:rFonts w:eastAsia="宋体"/>
                <w:color w:val="000000" w:themeColor="text1"/>
                <w:sz w:val="22"/>
                <w:highlight w:val="none"/>
                <w14:textFill>
                  <w14:solidFill>
                    <w14:schemeClr w14:val="tx1"/>
                  </w14:solidFill>
                </w14:textFill>
              </w:rPr>
              <w:t>服务器</w:t>
            </w:r>
          </w:p>
          <w:p>
            <w:pPr>
              <w:jc w:val="center"/>
              <w:rPr>
                <w:rFonts w:eastAsia="宋体"/>
                <w:color w:val="000000" w:themeColor="text1"/>
                <w:sz w:val="22"/>
                <w:highlight w:val="none"/>
                <w14:textFill>
                  <w14:solidFill>
                    <w14:schemeClr w14:val="tx1"/>
                  </w14:solidFill>
                </w14:textFill>
              </w:rPr>
            </w:pPr>
            <w:r>
              <w:rPr>
                <w:rFonts w:hint="eastAsia" w:eastAsia="宋体"/>
                <w:color w:val="000000" w:themeColor="text1"/>
                <w:sz w:val="22"/>
                <w:highlight w:val="none"/>
                <w14:textFill>
                  <w14:solidFill>
                    <w14:schemeClr w14:val="tx1"/>
                  </w14:solidFill>
                </w14:textFill>
              </w:rPr>
              <w:t>（</w:t>
            </w:r>
            <w:r>
              <w:rPr>
                <w:rFonts w:hint="eastAsia" w:eastAsia="宋体"/>
                <w:color w:val="000000" w:themeColor="text1"/>
                <w:sz w:val="22"/>
                <w:highlight w:val="none"/>
                <w:lang w:eastAsia="zh-CN"/>
                <w14:textFill>
                  <w14:solidFill>
                    <w14:schemeClr w14:val="tx1"/>
                  </w14:solidFill>
                </w14:textFill>
              </w:rPr>
              <w:t>核心</w:t>
            </w:r>
            <w:r>
              <w:rPr>
                <w:rFonts w:hint="eastAsia" w:eastAsia="宋体"/>
                <w:color w:val="000000" w:themeColor="text1"/>
                <w:sz w:val="22"/>
                <w:highlight w:val="none"/>
                <w14:textFill>
                  <w14:solidFill>
                    <w14:schemeClr w14:val="tx1"/>
                  </w14:solidFill>
                </w14:textFill>
              </w:rPr>
              <w:t>产品）</w:t>
            </w:r>
          </w:p>
        </w:tc>
        <w:tc>
          <w:tcPr>
            <w:tcW w:w="1468"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台</w:t>
            </w:r>
          </w:p>
        </w:tc>
        <w:tc>
          <w:tcPr>
            <w:tcW w:w="2657" w:type="dxa"/>
            <w:vAlign w:val="center"/>
          </w:tcPr>
          <w:p>
            <w:pPr>
              <w:jc w:val="center"/>
              <w:rPr>
                <w:color w:val="000000" w:themeColor="text1"/>
                <w:highlight w:val="none"/>
                <w14:textFill>
                  <w14:solidFill>
                    <w14:schemeClr w14:val="tx1"/>
                  </w14:solidFill>
                </w14:textFill>
              </w:rPr>
            </w:pPr>
            <w:r>
              <w:rPr>
                <w:rFonts w:hint="eastAsia" w:eastAsia="宋体"/>
                <w:color w:val="000000" w:themeColor="text1"/>
                <w:sz w:val="22"/>
                <w:highlight w:val="none"/>
                <w14:textFill>
                  <w14:solidFill>
                    <w14:schemeClr w14:val="tx1"/>
                  </w14:solidFill>
                </w14:textFill>
              </w:rPr>
              <w:t>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 w:type="dxa"/>
            <w:bottom w:w="0" w:type="dxa"/>
            <w:right w:w="10" w:type="dxa"/>
          </w:tblCellMar>
        </w:tblPrEx>
        <w:trPr>
          <w:trHeight w:val="782" w:hRule="atLeast"/>
          <w:jc w:val="center"/>
        </w:trPr>
        <w:tc>
          <w:tcPr>
            <w:tcW w:w="1463"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2</w:t>
            </w:r>
          </w:p>
        </w:tc>
        <w:tc>
          <w:tcPr>
            <w:tcW w:w="2634"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1U</w:t>
            </w:r>
            <w:r>
              <w:rPr>
                <w:rFonts w:hint="eastAsia" w:eastAsia="宋体"/>
                <w:color w:val="000000" w:themeColor="text1"/>
                <w:sz w:val="22"/>
                <w:highlight w:val="none"/>
                <w14:textFill>
                  <w14:solidFill>
                    <w14:schemeClr w14:val="tx1"/>
                  </w14:solidFill>
                </w14:textFill>
              </w:rPr>
              <w:t xml:space="preserve">  AI/HPC高性能计算资源分配系统</w:t>
            </w:r>
          </w:p>
        </w:tc>
        <w:tc>
          <w:tcPr>
            <w:tcW w:w="1468"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套</w:t>
            </w:r>
          </w:p>
        </w:tc>
        <w:tc>
          <w:tcPr>
            <w:tcW w:w="2657" w:type="dxa"/>
            <w:vAlign w:val="center"/>
          </w:tcPr>
          <w:p>
            <w:pPr>
              <w:jc w:val="center"/>
              <w:rPr>
                <w:color w:val="000000" w:themeColor="text1"/>
                <w:highlight w:val="none"/>
                <w14:textFill>
                  <w14:solidFill>
                    <w14:schemeClr w14:val="tx1"/>
                  </w14:solidFill>
                </w14:textFill>
              </w:rPr>
            </w:pPr>
            <w:r>
              <w:rPr>
                <w:rFonts w:eastAsia="宋体"/>
                <w:color w:val="000000" w:themeColor="text1"/>
                <w:sz w:val="22"/>
                <w:highlight w:val="none"/>
                <w14:textFill>
                  <w14:solidFill>
                    <w14:schemeClr w14:val="tx1"/>
                  </w14:solidFill>
                </w14:textFill>
              </w:rPr>
              <w:t>1</w:t>
            </w:r>
          </w:p>
        </w:tc>
      </w:tr>
    </w:tbl>
    <w:p>
      <w:pPr>
        <w:rPr>
          <w:color w:val="000000" w:themeColor="text1"/>
          <w:highlight w:val="none"/>
          <w14:textFill>
            <w14:solidFill>
              <w14:schemeClr w14:val="tx1"/>
            </w14:solidFill>
          </w14:textFill>
        </w:rPr>
      </w:pPr>
    </w:p>
    <w:p>
      <w:pPr>
        <w:pStyle w:val="11"/>
        <w:kinsoku w:val="0"/>
        <w:overflowPunct w:val="0"/>
        <w:spacing w:before="1"/>
        <w:ind w:left="0"/>
        <w:rPr>
          <w:b/>
          <w:bCs/>
          <w:color w:val="000000" w:themeColor="text1"/>
          <w:sz w:val="14"/>
          <w:szCs w:val="14"/>
          <w:highlight w:val="none"/>
          <w14:textFill>
            <w14:solidFill>
              <w14:schemeClr w14:val="tx1"/>
            </w14:solidFill>
          </w14:textFill>
        </w:rPr>
      </w:pPr>
    </w:p>
    <w:p>
      <w:pPr>
        <w:pStyle w:val="11"/>
        <w:tabs>
          <w:tab w:val="left" w:pos="4187"/>
        </w:tabs>
        <w:kinsoku w:val="0"/>
        <w:overflowPunct w:val="0"/>
        <w:spacing w:before="0" w:line="496" w:lineRule="auto"/>
        <w:ind w:left="137" w:right="3111" w:firstLine="2996"/>
        <w:rPr>
          <w:b/>
          <w:bCs/>
          <w:color w:val="000000" w:themeColor="text1"/>
          <w:spacing w:val="1"/>
          <w:w w:val="99"/>
          <w:highlight w:val="none"/>
          <w14:textFill>
            <w14:solidFill>
              <w14:schemeClr w14:val="tx1"/>
            </w14:solidFill>
          </w14:textFill>
        </w:rPr>
      </w:pPr>
      <w:r>
        <w:rPr>
          <w:rFonts w:hint="eastAsia"/>
          <w:b/>
          <w:bCs/>
          <w:color w:val="000000" w:themeColor="text1"/>
          <w:w w:val="95"/>
          <w:highlight w:val="none"/>
          <w14:textFill>
            <w14:solidFill>
              <w14:schemeClr w14:val="tx1"/>
            </w14:solidFill>
          </w14:textFill>
        </w:rPr>
        <w:t>第二部分</w:t>
      </w:r>
      <w:r>
        <w:rPr>
          <w:b/>
          <w:bCs/>
          <w:color w:val="000000" w:themeColor="text1"/>
          <w:w w:val="95"/>
          <w:highlight w:val="none"/>
          <w14:textFill>
            <w14:solidFill>
              <w14:schemeClr w14:val="tx1"/>
            </w14:solidFill>
          </w14:textFill>
        </w:rPr>
        <w:tab/>
      </w:r>
      <w:r>
        <w:rPr>
          <w:rFonts w:hint="eastAsia"/>
          <w:b/>
          <w:bCs/>
          <w:color w:val="000000" w:themeColor="text1"/>
          <w:highlight w:val="none"/>
          <w14:textFill>
            <w14:solidFill>
              <w14:schemeClr w14:val="tx1"/>
            </w14:solidFill>
          </w14:textFill>
        </w:rPr>
        <w:t>技术规格要求</w:t>
      </w:r>
      <w:r>
        <w:rPr>
          <w:b/>
          <w:bCs/>
          <w:color w:val="000000" w:themeColor="text1"/>
          <w:w w:val="99"/>
          <w:highlight w:val="none"/>
          <w14:textFill>
            <w14:solidFill>
              <w14:schemeClr w14:val="tx1"/>
            </w14:solidFill>
          </w14:textFill>
        </w:rPr>
        <w:t xml:space="preserve"> </w:t>
      </w:r>
      <w:r>
        <w:rPr>
          <w:rFonts w:hint="eastAsia"/>
          <w:b/>
          <w:bCs/>
          <w:color w:val="000000" w:themeColor="text1"/>
          <w:highlight w:val="none"/>
          <w14:textFill>
            <w14:solidFill>
              <w14:schemeClr w14:val="tx1"/>
            </w14:solidFill>
          </w14:textFill>
        </w:rPr>
        <w:t>凡标有“★”的条款均系实质性要求条款；</w:t>
      </w:r>
      <w:r>
        <w:rPr>
          <w:b/>
          <w:bCs/>
          <w:color w:val="000000" w:themeColor="text1"/>
          <w:spacing w:val="1"/>
          <w:w w:val="99"/>
          <w:highlight w:val="none"/>
          <w14:textFill>
            <w14:solidFill>
              <w14:schemeClr w14:val="tx1"/>
            </w14:solidFill>
          </w14:textFill>
        </w:rPr>
        <w:t xml:space="preserve"> </w:t>
      </w:r>
    </w:p>
    <w:p>
      <w:pPr>
        <w:pStyle w:val="11"/>
        <w:tabs>
          <w:tab w:val="left" w:pos="4187"/>
        </w:tabs>
        <w:kinsoku w:val="0"/>
        <w:overflowPunct w:val="0"/>
        <w:spacing w:before="0" w:line="496" w:lineRule="auto"/>
        <w:ind w:left="137" w:right="3111"/>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凡标有“▲”的条款均系重要技术要求。</w:t>
      </w:r>
    </w:p>
    <w:p>
      <w:pPr>
        <w:pStyle w:val="30"/>
        <w:numPr>
          <w:ilvl w:val="0"/>
          <w:numId w:val="2"/>
        </w:numPr>
        <w:rPr>
          <w:rFonts w:eastAsia="宋体"/>
          <w:b/>
          <w:color w:val="000000" w:themeColor="text1"/>
          <w:sz w:val="22"/>
          <w:highlight w:val="none"/>
          <w14:textFill>
            <w14:solidFill>
              <w14:schemeClr w14:val="tx1"/>
            </w14:solidFill>
          </w14:textFill>
        </w:rPr>
      </w:pPr>
      <w:r>
        <w:rPr>
          <w:rFonts w:eastAsia="宋体"/>
          <w:b/>
          <w:color w:val="000000" w:themeColor="text1"/>
          <w:sz w:val="22"/>
          <w:highlight w:val="none"/>
          <w14:textFill>
            <w14:solidFill>
              <w14:schemeClr w14:val="tx1"/>
            </w14:solidFill>
          </w14:textFill>
        </w:rPr>
        <w:t xml:space="preserve">GPU服务器 </w:t>
      </w:r>
      <w:r>
        <w:rPr>
          <w:rFonts w:hint="eastAsia" w:eastAsia="宋体"/>
          <w:b/>
          <w:color w:val="000000" w:themeColor="text1"/>
          <w:sz w:val="22"/>
          <w:highlight w:val="none"/>
          <w14:textFill>
            <w14:solidFill>
              <w14:schemeClr w14:val="tx1"/>
            </w14:solidFill>
          </w14:textFill>
        </w:rPr>
        <w:t>1</w:t>
      </w:r>
      <w:r>
        <w:rPr>
          <w:rFonts w:eastAsia="宋体"/>
          <w:b/>
          <w:color w:val="000000" w:themeColor="text1"/>
          <w:sz w:val="22"/>
          <w:highlight w:val="none"/>
          <w14:textFill>
            <w14:solidFill>
              <w14:schemeClr w14:val="tx1"/>
            </w14:solidFill>
          </w14:textFill>
        </w:rPr>
        <w:t xml:space="preserve"> 台</w:t>
      </w:r>
    </w:p>
    <w:tbl>
      <w:tblPr>
        <w:tblStyle w:val="19"/>
        <w:tblW w:w="8662"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7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blHeader/>
        </w:trPr>
        <w:tc>
          <w:tcPr>
            <w:tcW w:w="1540" w:type="dxa"/>
            <w:shd w:val="clear" w:color="000000" w:fill="F5F6F7"/>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w:t>
            </w:r>
          </w:p>
        </w:tc>
        <w:tc>
          <w:tcPr>
            <w:tcW w:w="7122" w:type="dxa"/>
            <w:shd w:val="clear" w:color="000000" w:fill="F5F6F7"/>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技术参数、性能、配置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机架式</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2U机架式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★CPU配置</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 ≥ 2颗 CPU,每颗≥32c ≥2.4GHz，L3缓存≥256M，最大可支持 ≥2颗，且集于同一张主系统板上。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★内存配置</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实配≥512GB内存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★GPU配置</w:t>
            </w:r>
          </w:p>
        </w:tc>
        <w:tc>
          <w:tcPr>
            <w:tcW w:w="7122" w:type="dxa"/>
            <w:shd w:val="clear" w:color="auto" w:fill="auto"/>
            <w:vAlign w:val="center"/>
          </w:tcPr>
          <w:p>
            <w:pPr>
              <w:widowControl/>
              <w:autoSpaceDE/>
              <w:autoSpaceDN/>
              <w:adjustRightInd/>
              <w:rPr>
                <w:rFonts w:hint="eastAsia" w:ascii="宋体" w:hAnsi="宋体" w:cs="宋体" w:eastAsiaTheme="minorEastAsia"/>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实配NVlink 版本NVIDIA  A100 40GB SXM4 GPU*4</w:t>
            </w:r>
            <w:r>
              <w:rPr>
                <w:rStyle w:val="21"/>
                <w:rFonts w:hint="eastAsia"/>
                <w:color w:val="000000" w:themeColor="text1"/>
                <w:highlight w:val="none"/>
                <w:lang w:eastAsia="zh-CN"/>
                <w14:textFill>
                  <w14:solidFill>
                    <w14:schemeClr w14:val="tx1"/>
                  </w14:solidFill>
                </w14:textFill>
              </w:rPr>
              <w:t>或同等级别及以上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内存扩展性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最大支持≥8TB内存扩展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最大支持32根内存插槽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硬盘配置</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实配 ≥系统闪盘：2x480GB SATA SSD 企业级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硬盘扩展性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最大支持4个热插拔2.5英寸SAS3 / SATA3/NVMe驱动器托架；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RAID卡配置</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支持RAID 0, 1, 5, 10,含掉电保护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网卡配置</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板载实配≥2个万兆RJ45 LAN端口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支持智能平台管理接口v.2.0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vMerge w:val="continue"/>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1个RJ45 1GbE专用IPMI管理端口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系统安全模块</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支持1个TPM2.0 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540" w:type="dxa"/>
            <w:vMerge w:val="restart"/>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I/O扩展性</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 4个PCI-E Gen 4 x16插槽</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 1个PCI-E Gen 4 x8插槽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▲I/O存储性能</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I/O性能：读取速度 3290MB/s。写入速度 2100MB/s</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4K随机读 700000 IOPS。4K随机写 220000 IOPS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电源设备</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实配≥带有 2200W冗余电源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深度学习环境</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CUDA 程序环境，支持多种编程语言和 API，包括 C、 C++、OpenCL、DirectCompute 或 Fortran，DL：CUDA， NVIDIA Docker,caffe ,pytorch,tensorflow ,theano , Keras, mxnet, cntk 等， GPU CUDA 函数库：cuBlas； cuFFT；cuSparse；cuDNN；NCCL 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服务器带外管理功能</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含以下功能；</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配置虚拟KVM功能, 可实现与操作系统无关的远程对服务器的完全控制，配置该功能的使用许可，包括远程的开机、关机、重启、更新Firmware、虚拟软驱、虚拟光驱等操作。支持硬件故障检测，电源、电压、风扇监控，温度监控，远程开关机，报错日志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▲状态控制</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自动检测GPU服务器与控制系统连接状态。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GPU 管理</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1、显示CPU与GPU的拓扑图，GPU高温预警，显示GPU使用率，显存占用情况</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2、可查询当前服务器GPU资源占用情况</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3、显示服务器开通container列表，列表中显示名称，使用者，开通时间，累计使用天数，占用GPU序列</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4、显示各Docker占用不同GPU序列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▲计算资源管理</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支持GPU的独享与共享模式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40"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w:t>
            </w:r>
          </w:p>
        </w:tc>
        <w:tc>
          <w:tcPr>
            <w:tcW w:w="7122" w:type="dxa"/>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年7×24原厂商服务，工程师4小时上门服务，提供服务器基础安装服务。</w:t>
            </w:r>
          </w:p>
        </w:tc>
      </w:tr>
    </w:tbl>
    <w:p>
      <w:pPr>
        <w:rPr>
          <w:color w:val="000000" w:themeColor="text1"/>
          <w:highlight w:val="none"/>
          <w14:textFill>
            <w14:solidFill>
              <w14:schemeClr w14:val="tx1"/>
            </w14:solidFill>
          </w14:textFill>
        </w:rPr>
      </w:pPr>
    </w:p>
    <w:p>
      <w:pPr>
        <w:spacing w:before="420" w:after="420"/>
        <w:rPr>
          <w:rFonts w:eastAsia="宋体"/>
          <w:color w:val="000000" w:themeColor="text1"/>
          <w:sz w:val="22"/>
          <w:highlight w:val="none"/>
          <w14:textFill>
            <w14:solidFill>
              <w14:schemeClr w14:val="tx1"/>
            </w14:solidFill>
          </w14:textFill>
        </w:rPr>
      </w:pPr>
      <w:r>
        <w:rPr>
          <w:rFonts w:eastAsia="宋体"/>
          <w:b/>
          <w:color w:val="000000" w:themeColor="text1"/>
          <w:sz w:val="22"/>
          <w:highlight w:val="none"/>
          <w14:textFill>
            <w14:solidFill>
              <w14:schemeClr w14:val="tx1"/>
            </w14:solidFill>
          </w14:textFill>
        </w:rPr>
        <w:t>2</w:t>
      </w:r>
      <w:r>
        <w:rPr>
          <w:rFonts w:hint="eastAsia" w:eastAsia="宋体"/>
          <w:b/>
          <w:color w:val="000000" w:themeColor="text1"/>
          <w:sz w:val="22"/>
          <w:highlight w:val="none"/>
          <w14:textFill>
            <w14:solidFill>
              <w14:schemeClr w14:val="tx1"/>
            </w14:solidFill>
          </w14:textFill>
        </w:rPr>
        <w:t>、1U  AI/HPC高性能计算资源分配系统</w:t>
      </w:r>
      <w:r>
        <w:rPr>
          <w:rFonts w:eastAsia="宋体"/>
          <w:b/>
          <w:color w:val="000000" w:themeColor="text1"/>
          <w:sz w:val="22"/>
          <w:highlight w:val="none"/>
          <w14:textFill>
            <w14:solidFill>
              <w14:schemeClr w14:val="tx1"/>
            </w14:solidFill>
          </w14:textFill>
        </w:rPr>
        <w:t>1 套</w:t>
      </w:r>
    </w:p>
    <w:tbl>
      <w:tblPr>
        <w:tblStyle w:val="19"/>
        <w:tblW w:w="8662" w:type="dxa"/>
        <w:tblInd w:w="91" w:type="dxa"/>
        <w:tblLayout w:type="autofit"/>
        <w:tblCellMar>
          <w:top w:w="0" w:type="dxa"/>
          <w:left w:w="108" w:type="dxa"/>
          <w:bottom w:w="0" w:type="dxa"/>
          <w:right w:w="108" w:type="dxa"/>
        </w:tblCellMar>
      </w:tblPr>
      <w:tblGrid>
        <w:gridCol w:w="1540"/>
        <w:gridCol w:w="7122"/>
      </w:tblGrid>
      <w:tr>
        <w:tblPrEx>
          <w:tblCellMar>
            <w:top w:w="0" w:type="dxa"/>
            <w:left w:w="108" w:type="dxa"/>
            <w:bottom w:w="0" w:type="dxa"/>
            <w:right w:w="108" w:type="dxa"/>
          </w:tblCellMar>
        </w:tblPrEx>
        <w:trPr>
          <w:trHeight w:val="680" w:hRule="atLeast"/>
          <w:tblHeader/>
        </w:trPr>
        <w:tc>
          <w:tcPr>
            <w:tcW w:w="15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指标项</w:t>
            </w:r>
          </w:p>
        </w:tc>
        <w:tc>
          <w:tcPr>
            <w:tcW w:w="7122" w:type="dxa"/>
            <w:tcBorders>
              <w:top w:val="single" w:color="auto" w:sz="8" w:space="0"/>
              <w:left w:val="nil"/>
              <w:bottom w:val="single" w:color="auto"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招标参数</w:t>
            </w:r>
          </w:p>
        </w:tc>
      </w:tr>
      <w:tr>
        <w:tblPrEx>
          <w:tblCellMar>
            <w:top w:w="0" w:type="dxa"/>
            <w:left w:w="108" w:type="dxa"/>
            <w:bottom w:w="0" w:type="dxa"/>
            <w:right w:w="108" w:type="dxa"/>
          </w:tblCellMar>
        </w:tblPrEx>
        <w:trPr>
          <w:trHeight w:val="680" w:hRule="atLeast"/>
        </w:trPr>
        <w:tc>
          <w:tcPr>
            <w:tcW w:w="1540" w:type="dxa"/>
            <w:tcBorders>
              <w:top w:val="nil"/>
              <w:left w:val="single" w:color="auto" w:sz="8" w:space="0"/>
              <w:bottom w:val="single" w:color="auto"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▲整体要求</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配置 1 套计算资源管理系统，提供软件著作权证书原件或授权，服务器调度系统  license 覆盖所有 GPU 节点。</w:t>
            </w:r>
          </w:p>
        </w:tc>
      </w:tr>
      <w:tr>
        <w:tblPrEx>
          <w:tblCellMar>
            <w:top w:w="0" w:type="dxa"/>
            <w:left w:w="108" w:type="dxa"/>
            <w:bottom w:w="0" w:type="dxa"/>
            <w:right w:w="108" w:type="dxa"/>
          </w:tblCellMar>
        </w:tblPrEx>
        <w:trPr>
          <w:trHeight w:val="2557"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▲服务器监控</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1、通过仪表盘方式查看管理平台的服务器数量，GPU资源，实例&amp;用户数量，并提供用户实例排名，用户使用实例时间排名，用户占用GPU数排名。提供软件功能截图并加盖制造商公章。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2、支持显示服务器列表，通过颜色标注区分GPU状态，包括高温，高使用率，已使用，未使用，损坏。</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3、服务器状态显示GPU服务器自定义名称，IP地址，GPU卡数，GPU类型，并提供GPU健康度检测，服务器检测功能。</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4、服务器状态显示CPU使用率，内存使用率，硬盘使用率。</w:t>
            </w:r>
          </w:p>
        </w:tc>
      </w:tr>
      <w:tr>
        <w:tblPrEx>
          <w:tblCellMar>
            <w:top w:w="0" w:type="dxa"/>
            <w:left w:w="108" w:type="dxa"/>
            <w:bottom w:w="0" w:type="dxa"/>
            <w:right w:w="108" w:type="dxa"/>
          </w:tblCellMar>
        </w:tblPrEx>
        <w:trPr>
          <w:trHeight w:val="2015"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GPU 监控</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1、显示CPU与GPU的拓扑图，显示各GPU温度，GPU使用率，显存占用情况，提供软件功能截图并加盖制造商公章。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2、可查询当前服务器GPU资源占用情况</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3、显示服务器开通实例列表，列表中显示实例名，使用者，开通时间，累计使用天数，占用哪块GPU</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4、显示是哪个使用者占用了哪些GPU</w:t>
            </w:r>
          </w:p>
        </w:tc>
      </w:tr>
      <w:tr>
        <w:tblPrEx>
          <w:tblCellMar>
            <w:top w:w="0" w:type="dxa"/>
            <w:left w:w="108" w:type="dxa"/>
            <w:bottom w:w="0" w:type="dxa"/>
            <w:right w:w="108" w:type="dxa"/>
          </w:tblCellMar>
        </w:tblPrEx>
        <w:trPr>
          <w:trHeight w:val="1607"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实例监控</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1、提供实例root连接及自定义连接，提供SSH和VNC的连接方式和密码。包括内网访问及公网访问方式，提供软件功能截图并加盖制造商公章。</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2、提供实例自定义端口映射功能，允许用户增加端口。</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3、提供重启实例，停止实例，删除实例功能</w:t>
            </w:r>
          </w:p>
        </w:tc>
      </w:tr>
      <w:tr>
        <w:tblPrEx>
          <w:tblCellMar>
            <w:top w:w="0" w:type="dxa"/>
            <w:left w:w="108" w:type="dxa"/>
            <w:bottom w:w="0" w:type="dxa"/>
            <w:right w:w="108" w:type="dxa"/>
          </w:tblCellMar>
        </w:tblPrEx>
        <w:trPr>
          <w:trHeight w:val="1135" w:hRule="atLeast"/>
        </w:trPr>
        <w:tc>
          <w:tcPr>
            <w:tcW w:w="1540"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▲管理服务器功能</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1、支持添加服务器，及编辑管理现有服务器</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2、支持显示正常或断连状态，服务器可选择显示与隐藏服务器，共享及独享服务器</w:t>
            </w:r>
          </w:p>
        </w:tc>
      </w:tr>
      <w:tr>
        <w:tblPrEx>
          <w:tblCellMar>
            <w:top w:w="0" w:type="dxa"/>
            <w:left w:w="108" w:type="dxa"/>
            <w:bottom w:w="0" w:type="dxa"/>
            <w:right w:w="108" w:type="dxa"/>
          </w:tblCellMar>
        </w:tblPrEx>
        <w:trPr>
          <w:trHeight w:val="680" w:hRule="atLeast"/>
        </w:trPr>
        <w:tc>
          <w:tcPr>
            <w:tcW w:w="1540" w:type="dxa"/>
            <w:tcBorders>
              <w:top w:val="nil"/>
              <w:left w:val="single" w:color="auto" w:sz="8" w:space="0"/>
              <w:bottom w:val="nil"/>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▲远程使用方式</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支持1）VNC，2）jupyternotebook，3）TensorBoard</w:t>
            </w:r>
          </w:p>
        </w:tc>
      </w:tr>
      <w:tr>
        <w:tblPrEx>
          <w:tblCellMar>
            <w:top w:w="0" w:type="dxa"/>
            <w:left w:w="108" w:type="dxa"/>
            <w:bottom w:w="0" w:type="dxa"/>
            <w:right w:w="108" w:type="dxa"/>
          </w:tblCellMar>
        </w:tblPrEx>
        <w:trPr>
          <w:trHeight w:val="1360" w:hRule="atLeast"/>
        </w:trPr>
        <w:tc>
          <w:tcPr>
            <w:tcW w:w="1540" w:type="dxa"/>
            <w:vMerge w:val="restart"/>
            <w:tcBorders>
              <w:top w:val="single" w:color="auto" w:sz="8" w:space="0"/>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▲实例列表及访问</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1、支持一个界面显示全平台上所有的实例，包括每个实例占用GPU数量，使用者，开通时间，并可以操作停止或重启实例</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2、每个实例支持点击显示详情，包括状态是否正常，内网访问方式，公网访问方式，SSH，VNC等用户名及密码。</w:t>
            </w:r>
          </w:p>
        </w:tc>
      </w:tr>
      <w:tr>
        <w:tblPrEx>
          <w:tblCellMar>
            <w:top w:w="0" w:type="dxa"/>
            <w:left w:w="108" w:type="dxa"/>
            <w:bottom w:w="0" w:type="dxa"/>
            <w:right w:w="108" w:type="dxa"/>
          </w:tblCellMar>
        </w:tblPrEx>
        <w:trPr>
          <w:trHeight w:val="1497"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资源分配</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1、显示平台各个服务器的GPU资源分配情况，包括空闲GPU，已分配GPU，以物理机卡号的形式显示已分配给哪个小组，支持回收已分配GPU资源。</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2、提供按卡为单位的GPU资源分配方式，未分配GPU可以指定分配给任意平台创建的用户小组。</w:t>
            </w:r>
          </w:p>
        </w:tc>
      </w:tr>
      <w:tr>
        <w:tblPrEx>
          <w:tblCellMar>
            <w:top w:w="0" w:type="dxa"/>
            <w:left w:w="108" w:type="dxa"/>
            <w:bottom w:w="0" w:type="dxa"/>
            <w:right w:w="108" w:type="dxa"/>
          </w:tblCellMar>
        </w:tblPrEx>
        <w:trPr>
          <w:trHeight w:val="680"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用户及组管理</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1、创建用户，删除用户，支持用户失效日期。</w:t>
            </w:r>
          </w:p>
        </w:tc>
      </w:tr>
      <w:tr>
        <w:tblPrEx>
          <w:tblCellMar>
            <w:top w:w="0" w:type="dxa"/>
            <w:left w:w="108" w:type="dxa"/>
            <w:bottom w:w="0" w:type="dxa"/>
            <w:right w:w="108" w:type="dxa"/>
          </w:tblCellMar>
        </w:tblPrEx>
        <w:trPr>
          <w:trHeight w:val="680"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2、支持创建用户组，用户组添加删除用户，删除用户组GPU卡资源</w:t>
            </w:r>
          </w:p>
        </w:tc>
      </w:tr>
      <w:tr>
        <w:tblPrEx>
          <w:tblCellMar>
            <w:top w:w="0" w:type="dxa"/>
            <w:left w:w="108" w:type="dxa"/>
            <w:bottom w:w="0" w:type="dxa"/>
            <w:right w:w="108" w:type="dxa"/>
          </w:tblCellMar>
        </w:tblPrEx>
        <w:trPr>
          <w:trHeight w:val="680"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日志审计</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1、支持管理员日志审计功能，登录日志可显示登录用户名，浏览器，IP地址，所在城市，状态，登录日期时间</w:t>
            </w:r>
          </w:p>
        </w:tc>
      </w:tr>
      <w:tr>
        <w:tblPrEx>
          <w:tblCellMar>
            <w:top w:w="0" w:type="dxa"/>
            <w:left w:w="108" w:type="dxa"/>
            <w:bottom w:w="0" w:type="dxa"/>
            <w:right w:w="108" w:type="dxa"/>
          </w:tblCellMar>
        </w:tblPrEx>
        <w:trPr>
          <w:trHeight w:val="680"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2、支持操作日志，改密日志</w:t>
            </w:r>
          </w:p>
        </w:tc>
      </w:tr>
      <w:tr>
        <w:tblPrEx>
          <w:tblCellMar>
            <w:top w:w="0" w:type="dxa"/>
            <w:left w:w="108" w:type="dxa"/>
            <w:bottom w:w="0" w:type="dxa"/>
            <w:right w:w="108" w:type="dxa"/>
          </w:tblCellMar>
        </w:tblPrEx>
        <w:trPr>
          <w:trHeight w:val="680" w:hRule="atLeast"/>
        </w:trPr>
        <w:tc>
          <w:tcPr>
            <w:tcW w:w="1540"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角色管理</w:t>
            </w: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1、支持系统管理员与普通用户两种角色。</w:t>
            </w:r>
          </w:p>
        </w:tc>
      </w:tr>
      <w:tr>
        <w:tblPrEx>
          <w:tblCellMar>
            <w:top w:w="0" w:type="dxa"/>
            <w:left w:w="108" w:type="dxa"/>
            <w:bottom w:w="0" w:type="dxa"/>
            <w:right w:w="108" w:type="dxa"/>
          </w:tblCellMar>
        </w:tblPrEx>
        <w:trPr>
          <w:trHeight w:val="680"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2、系统管理员可以看到全部资源情况</w:t>
            </w:r>
          </w:p>
        </w:tc>
      </w:tr>
      <w:tr>
        <w:tblPrEx>
          <w:tblCellMar>
            <w:top w:w="0" w:type="dxa"/>
            <w:left w:w="108" w:type="dxa"/>
            <w:bottom w:w="0" w:type="dxa"/>
            <w:right w:w="108" w:type="dxa"/>
          </w:tblCellMar>
        </w:tblPrEx>
        <w:trPr>
          <w:trHeight w:val="680" w:hRule="atLeast"/>
        </w:trPr>
        <w:tc>
          <w:tcPr>
            <w:tcW w:w="1540"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p>
        </w:tc>
        <w:tc>
          <w:tcPr>
            <w:tcW w:w="7122" w:type="dxa"/>
            <w:tcBorders>
              <w:top w:val="nil"/>
              <w:left w:val="nil"/>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3、普通用户只可看到分配给自己所在组的资源情况</w:t>
            </w:r>
          </w:p>
        </w:tc>
      </w:tr>
    </w:tbl>
    <w:p>
      <w:pPr>
        <w:pStyle w:val="11"/>
        <w:kinsoku w:val="0"/>
        <w:overflowPunct w:val="0"/>
        <w:spacing w:before="0"/>
        <w:ind w:left="0"/>
        <w:rPr>
          <w:b/>
          <w:bCs/>
          <w:color w:val="000000" w:themeColor="text1"/>
          <w:sz w:val="20"/>
          <w:szCs w:val="20"/>
          <w:highlight w:val="none"/>
          <w14:textFill>
            <w14:solidFill>
              <w14:schemeClr w14:val="tx1"/>
            </w14:solidFill>
          </w14:textFill>
        </w:rPr>
      </w:pPr>
    </w:p>
    <w:p>
      <w:pPr>
        <w:pStyle w:val="11"/>
        <w:kinsoku w:val="0"/>
        <w:overflowPunct w:val="0"/>
        <w:spacing w:before="13"/>
        <w:ind w:left="0"/>
        <w:rPr>
          <w:b/>
          <w:bCs/>
          <w:color w:val="000000" w:themeColor="text1"/>
          <w:sz w:val="27"/>
          <w:szCs w:val="27"/>
          <w:highlight w:val="none"/>
          <w14:textFill>
            <w14:solidFill>
              <w14:schemeClr w14:val="tx1"/>
            </w14:solidFill>
          </w14:textFill>
        </w:rPr>
      </w:pPr>
    </w:p>
    <w:p>
      <w:pPr>
        <w:pStyle w:val="11"/>
        <w:tabs>
          <w:tab w:val="left" w:pos="1053"/>
        </w:tabs>
        <w:kinsoku w:val="0"/>
        <w:overflowPunct w:val="0"/>
        <w:spacing w:before="35"/>
        <w:ind w:left="0" w:right="112"/>
        <w:jc w:val="center"/>
        <w:rPr>
          <w:color w:val="000000" w:themeColor="text1"/>
          <w:highlight w:val="none"/>
          <w14:textFill>
            <w14:solidFill>
              <w14:schemeClr w14:val="tx1"/>
            </w14:solidFill>
          </w14:textFill>
        </w:rPr>
      </w:pPr>
      <w:r>
        <w:rPr>
          <w:rFonts w:hint="eastAsia"/>
          <w:b/>
          <w:bCs/>
          <w:color w:val="000000" w:themeColor="text1"/>
          <w:w w:val="95"/>
          <w:highlight w:val="none"/>
          <w14:textFill>
            <w14:solidFill>
              <w14:schemeClr w14:val="tx1"/>
            </w14:solidFill>
          </w14:textFill>
        </w:rPr>
        <w:t>第三部分</w:t>
      </w:r>
      <w:r>
        <w:rPr>
          <w:b/>
          <w:bCs/>
          <w:color w:val="000000" w:themeColor="text1"/>
          <w:w w:val="95"/>
          <w:highlight w:val="none"/>
          <w14:textFill>
            <w14:solidFill>
              <w14:schemeClr w14:val="tx1"/>
            </w14:solidFill>
          </w14:textFill>
        </w:rPr>
        <w:tab/>
      </w:r>
      <w:r>
        <w:rPr>
          <w:rFonts w:hint="eastAsia"/>
          <w:b/>
          <w:bCs/>
          <w:color w:val="000000" w:themeColor="text1"/>
          <w:highlight w:val="none"/>
          <w14:textFill>
            <w14:solidFill>
              <w14:schemeClr w14:val="tx1"/>
            </w14:solidFill>
          </w14:textFill>
        </w:rPr>
        <w:t>商务条款和其他</w:t>
      </w:r>
    </w:p>
    <w:p>
      <w:pPr>
        <w:pStyle w:val="11"/>
        <w:kinsoku w:val="0"/>
        <w:overflowPunct w:val="0"/>
        <w:spacing w:before="6"/>
        <w:ind w:left="0"/>
        <w:rPr>
          <w:b/>
          <w:bCs/>
          <w:color w:val="000000" w:themeColor="text1"/>
          <w:sz w:val="22"/>
          <w:szCs w:val="22"/>
          <w:highlight w:val="none"/>
          <w14:textFill>
            <w14:solidFill>
              <w14:schemeClr w14:val="tx1"/>
            </w14:solidFill>
          </w14:textFill>
        </w:rPr>
      </w:pP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1）硬件安装调试服务：投标人需负责对全系统硬件进行安装调试，包含相应的网线布设，需根据复旦大学的需求进行网络的设计、规划、配置、安装和调试。</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2）软件安装调试服务：投标人需负责对客户提供的常用计算软件进行安装调试并负责调优服务。</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3）货物送达后，由采购人组织对货物的规格、数量、技术参数进行验收，验收通过后出具书面证明。如发现货物与技术要求规定不符的，采购人应当通知中标人提出退货或换货的要求，中标人应在接到采购人通知后的3个工作日内予以退换，费用由中标人承担。</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4）到货后中标人需提交的具体文件包括：a.测试报告、运行总结报告；b.产品使用手册或维护操作指南；c.产品合格证、保修卡；d.系统管理说明书；e.安装标准（含技术规范）；f..验收报告（包括验收数据资料）。</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5）服务团队：有专门的售后服务团队，提供维修保障服务。</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6）质保期：提供3年或以上质保，所有更换的硬件设备均为全新件，自双方签订《稳定运行1个月验收报告》之日起计算；保修期内所有因更换或修理部件、模块而导致设备停止运行的，保修期将按停运天数（按24小时计算）相应延长。要求提供3年或以上7*24免费售后服务，提供售后服务承诺函。</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7）免费维保期内服务：①远程支持服务：提供制造商7*24小时远程支持服务。②现场支持服务：发生故障时服务团队应能在30分钟内响应，并能在2小时内赶到现场处理。③免费维修服务：保修期内所有设备维修，所涉及技术工程师应免费提供。④备品备件（耗材）与配件（耗材）更换：备品备件为全新货品，可确保48小时内交付用户使用，数据存储介质更换。⑤系统开发及升级支持：保修期内，在软件新版本发布15天内免费提供软件升级。⑥巡检服务：服务团队提供季度巡检服务，巡检要求覆盖本项目采购的所有硬件设备和软件，并提交书面巡检报告。⑦培训及技术交流：讲师≥2天关于系统安装配置、系统调试、操作使用、运行维护、故障排除等硬件方面知识的培训。⑧服务文档要求：服务团队须提供每次服务内容及系统变更的记录，一式两份，双方工程师签字后，一份交与用户系统管理人员保存备查，一份交由供应商留存。</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8）免费维保期外服务：①硬件更换服务：超出保修期外以不高于市场价进行故障设备的更新。②巡检服务：在保修期外，每季度提供一次由服务团队完成的免费的巡检服务，内容包括：系统运行环境检查；系统硬件运行情况检查；故障记录分析。</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9）付款方式：合同签订后，中标人向采购人开具100%合同金额的正规发票，采购人收到发票后支付合同金额的80%，预留质量保证金为合同价格的20%，质量保证金在验收合格一年后予以结清。</w:t>
      </w:r>
    </w:p>
    <w:p>
      <w:pPr>
        <w:autoSpaceDE/>
        <w:autoSpaceDN/>
        <w:adjustRightInd/>
        <w:spacing w:after="160" w:line="360" w:lineRule="auto"/>
        <w:rPr>
          <w:rFonts w:eastAsia="宋体"/>
          <w:color w:val="000000" w:themeColor="text1"/>
          <w:kern w:val="2"/>
          <w:sz w:val="21"/>
          <w:szCs w:val="21"/>
          <w:highlight w:val="none"/>
          <w14:textFill>
            <w14:solidFill>
              <w14:schemeClr w14:val="tx1"/>
            </w14:solidFill>
          </w14:textFill>
        </w:rPr>
      </w:pPr>
      <w:r>
        <w:rPr>
          <w:rFonts w:hint="eastAsia" w:eastAsia="宋体"/>
          <w:color w:val="000000" w:themeColor="text1"/>
          <w:kern w:val="2"/>
          <w:sz w:val="21"/>
          <w:szCs w:val="21"/>
          <w:highlight w:val="none"/>
          <w14:textFill>
            <w14:solidFill>
              <w14:schemeClr w14:val="tx1"/>
            </w14:solidFill>
          </w14:textFill>
        </w:rPr>
        <w:t>10）交货期：</w:t>
      </w:r>
      <w:r>
        <w:rPr>
          <w:rFonts w:hint="eastAsia" w:eastAsia="宋体"/>
          <w:color w:val="000000" w:themeColor="text1"/>
          <w:kern w:val="2"/>
          <w:sz w:val="21"/>
          <w:szCs w:val="21"/>
          <w:highlight w:val="none"/>
          <w14:textFill>
            <w14:solidFill>
              <w14:schemeClr w14:val="tx1"/>
            </w14:solidFill>
          </w14:textFill>
        </w:rPr>
        <w:t>75天，包括：①签订合同后60天内设备全部到货；②设备到货后10天内完成安装调试；③稳定运行5天后进行验收</w:t>
      </w:r>
      <w:r>
        <w:rPr>
          <w:rFonts w:hint="eastAsia" w:eastAsia="宋体"/>
          <w:color w:val="000000" w:themeColor="text1"/>
          <w:kern w:val="2"/>
          <w:sz w:val="21"/>
          <w:szCs w:val="21"/>
          <w:highlight w:val="none"/>
          <w14:textFill>
            <w14:solidFill>
              <w14:schemeClr w14:val="tx1"/>
            </w14:solidFill>
          </w14:textFill>
        </w:rPr>
        <w:t>。</w:t>
      </w:r>
    </w:p>
    <w:p>
      <w:pPr>
        <w:pStyle w:val="11"/>
        <w:kinsoku w:val="0"/>
        <w:overflowPunct w:val="0"/>
        <w:spacing w:before="0"/>
        <w:jc w:val="both"/>
        <w:rPr>
          <w:color w:val="000000" w:themeColor="text1"/>
          <w:highlight w:val="none"/>
          <w14:textFill>
            <w14:solidFill>
              <w14:schemeClr w14:val="tx1"/>
            </w14:solidFill>
          </w14:textFill>
        </w:rPr>
      </w:pPr>
    </w:p>
    <w:p>
      <w:pPr>
        <w:pStyle w:val="11"/>
        <w:kinsoku w:val="0"/>
        <w:overflowPunct w:val="0"/>
        <w:spacing w:before="118"/>
        <w:jc w:val="both"/>
        <w:rPr>
          <w:color w:val="000000" w:themeColor="text1"/>
          <w:highlight w:val="none"/>
          <w14:textFill>
            <w14:solidFill>
              <w14:schemeClr w14:val="tx1"/>
            </w14:solidFill>
          </w14:textFill>
        </w:rPr>
        <w:sectPr>
          <w:footerReference r:id="rId5" w:type="default"/>
          <w:pgSz w:w="11910" w:h="16840"/>
          <w:pgMar w:top="1400" w:right="1580" w:bottom="720" w:left="1680" w:header="0" w:footer="536" w:gutter="0"/>
          <w:cols w:space="720" w:num="1"/>
        </w:sectPr>
      </w:pPr>
    </w:p>
    <w:p>
      <w:pPr>
        <w:keepNext/>
        <w:keepLines/>
        <w:autoSpaceDE/>
        <w:autoSpaceDN/>
        <w:adjustRightInd/>
        <w:spacing w:before="340" w:after="330" w:line="578" w:lineRule="auto"/>
        <w:jc w:val="center"/>
        <w:outlineLvl w:val="0"/>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第五章   评标方法与程序</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一、资格审查</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招标人将依据法律法规和招标文件的《投标人须知》、《资格条件响应表》，对投标人进行资格审查。确定符合资格的投标人不少于3家的，将组织评标委员会进行评标。</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二、投标无效情形</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1、投标文件不符合《资格条件响应表》以及《实质性要求响应表》所列任何情形之一的，将被认定为无效投标。</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t>2</w:t>
      </w:r>
      <w:r>
        <w:rPr>
          <w:rFonts w:hint="eastAsia" w:ascii="宋体" w:hAnsi="宋体" w:eastAsia="宋体"/>
          <w:color w:val="000000" w:themeColor="text1"/>
          <w:kern w:val="2"/>
          <w:sz w:val="21"/>
          <w:szCs w:val="21"/>
          <w:highlight w:val="none"/>
          <w14:textFill>
            <w14:solidFill>
              <w14:schemeClr w14:val="tx1"/>
            </w14:solidFill>
          </w14:textFill>
        </w:rPr>
        <w:t>、单位负责人或法定代表人为同一人，或者存在控股、管理关系的不同供应商，参加同一项目投标的，相关投标均无效。</w:t>
      </w:r>
    </w:p>
    <w:p>
      <w:pPr>
        <w:autoSpaceDE/>
        <w:autoSpaceDN/>
        <w:adjustRightInd/>
        <w:spacing w:line="30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t>3</w:t>
      </w:r>
      <w:r>
        <w:rPr>
          <w:rFonts w:hint="eastAsia" w:ascii="宋体" w:hAnsi="宋体" w:eastAsia="宋体"/>
          <w:color w:val="000000" w:themeColor="text1"/>
          <w:kern w:val="2"/>
          <w:sz w:val="21"/>
          <w:szCs w:val="21"/>
          <w:highlight w:val="none"/>
          <w14:textFill>
            <w14:solidFill>
              <w14:schemeClr w14:val="tx1"/>
            </w14:solidFill>
          </w14:textFill>
        </w:rPr>
        <w:t>、除上述以及政府采购法律法规、规章、《投标人须知》所规定的投标无效情形外，投标文件有其他不符合招标文件要求的均作为评标时的考虑因素，而不导致投标无效。</w:t>
      </w:r>
    </w:p>
    <w:p>
      <w:pPr>
        <w:autoSpaceDE/>
        <w:autoSpaceDN/>
        <w:adjustRightInd/>
        <w:spacing w:line="360" w:lineRule="auto"/>
        <w:ind w:firstLine="482"/>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三、评标方法与程序</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（一）评标方法</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根据《中华人民共和国政府采购法》及政府采购相关规定，结合项目特点，本项目采用“综合评分法”评标，总分为100分。</w:t>
      </w:r>
    </w:p>
    <w:p>
      <w:pPr>
        <w:autoSpaceDE/>
        <w:autoSpaceDN/>
        <w:adjustRightInd/>
        <w:spacing w:line="360" w:lineRule="auto"/>
        <w:ind w:firstLine="420"/>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（二）评标委员会</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w:t>
      </w:r>
      <w:r>
        <w:rPr>
          <w:rFonts w:hint="eastAsia" w:ascii="宋体" w:hAnsi="宋体" w:eastAsia="宋体"/>
          <w:color w:val="000000" w:themeColor="text1"/>
          <w:sz w:val="21"/>
          <w:szCs w:val="21"/>
          <w:highlight w:val="none"/>
          <w14:textFill>
            <w14:solidFill>
              <w14:schemeClr w14:val="tx1"/>
            </w14:solidFill>
          </w14:textFill>
        </w:rPr>
        <w:t>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2、中标候选人推荐办法：</w:t>
      </w:r>
      <w:bookmarkStart w:id="34" w:name="评标委员会2"/>
      <w:r>
        <w:rPr>
          <w:rFonts w:hint="eastAsia" w:ascii="宋体" w:hAnsi="宋体" w:eastAsia="宋体"/>
          <w:color w:val="000000" w:themeColor="text1"/>
          <w:kern w:val="2"/>
          <w:sz w:val="21"/>
          <w:szCs w:val="21"/>
          <w:highlight w:val="none"/>
          <w14:textFill>
            <w14:solidFill>
              <w14:schemeClr w14:val="tx1"/>
            </w14:solidFill>
          </w14:textFill>
        </w:rPr>
        <w:t>本项目评标委员会由5</w:t>
      </w:r>
      <w:r>
        <w:rPr>
          <w:rFonts w:ascii="宋体" w:hAnsi="宋体" w:eastAsia="宋体"/>
          <w:color w:val="000000" w:themeColor="text1"/>
          <w:kern w:val="2"/>
          <w:sz w:val="21"/>
          <w:szCs w:val="21"/>
          <w:highlight w:val="none"/>
          <w14:textFill>
            <w14:solidFill>
              <w14:schemeClr w14:val="tx1"/>
            </w14:solidFill>
          </w14:textFill>
        </w:rPr>
        <w:t>人组成，各评委按照评标办法对每个投标人进行独立评分，再计算平均分值，按照每个投标人最终平均得分的高低依次排名，推荐出中标候选人。</w:t>
      </w:r>
      <w:bookmarkEnd w:id="34"/>
    </w:p>
    <w:p>
      <w:pPr>
        <w:autoSpaceDE/>
        <w:autoSpaceDN/>
        <w:adjustRightInd/>
        <w:spacing w:line="360" w:lineRule="auto"/>
        <w:ind w:firstLine="42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3、评委应坚持公平、公正原则，依据投标文件对招标文件响应情况、投标文件编制情况等，按照《投标评分细则》逐项进行综合、科学、客观评分。</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（三）评标程序</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本项目评标工作程序如下：</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3、比较与评分。按招标文件规定的《投标评分细则》，对资格性检查和符合性检查合格的投标文件进行评分。</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4、推荐中标候选供应商名单。</w:t>
      </w:r>
      <w:r>
        <w:rPr>
          <w:rFonts w:hint="eastAsia" w:hAnsi="宋体"/>
          <w:bCs/>
          <w:color w:val="000000" w:themeColor="text1"/>
          <w:szCs w:val="21"/>
          <w:highlight w:val="none"/>
          <w14:textFill>
            <w14:solidFill>
              <w14:schemeClr w14:val="tx1"/>
            </w14:solidFill>
          </w14:textFill>
        </w:rPr>
        <w:t>评标委员会按照评标得分的高低</w:t>
      </w:r>
      <w:r>
        <w:rPr>
          <w:rFonts w:hint="eastAsia" w:hAnsi="宋体"/>
          <w:color w:val="000000" w:themeColor="text1"/>
          <w:szCs w:val="21"/>
          <w:highlight w:val="none"/>
          <w14:textFill>
            <w14:solidFill>
              <w14:schemeClr w14:val="tx1"/>
            </w14:solidFill>
          </w14:textFill>
        </w:rPr>
        <w:t>依次排名，推荐得分最高者为第一中标候选人，依此类推。如果供应商最终得分相同，则按报价由低到高确定排名顺序。</w:t>
      </w:r>
    </w:p>
    <w:p>
      <w:pPr>
        <w:pStyle w:val="13"/>
        <w:spacing w:line="360" w:lineRule="auto"/>
        <w:ind w:firstLine="422" w:firstLineChars="200"/>
        <w:textAlignment w:val="center"/>
        <w:rPr>
          <w:rFonts w:hAnsi="宋体"/>
          <w:b/>
          <w:color w:val="000000" w:themeColor="text1"/>
          <w:szCs w:val="21"/>
          <w:highlight w:val="none"/>
          <w14:textFill>
            <w14:solidFill>
              <w14:schemeClr w14:val="tx1"/>
            </w14:solidFill>
          </w14:textFill>
        </w:rPr>
      </w:pPr>
      <w:r>
        <w:rPr>
          <w:rFonts w:hint="eastAsia" w:hAnsi="宋体"/>
          <w:b/>
          <w:color w:val="000000" w:themeColor="text1"/>
          <w:szCs w:val="21"/>
          <w:highlight w:val="none"/>
          <w14:textFill>
            <w14:solidFill>
              <w14:schemeClr w14:val="tx1"/>
            </w14:solidFill>
          </w14:textFill>
        </w:rPr>
        <w:t>（四）评分细则</w:t>
      </w:r>
    </w:p>
    <w:p>
      <w:pPr>
        <w:pStyle w:val="13"/>
        <w:spacing w:line="360" w:lineRule="auto"/>
        <w:ind w:firstLine="420" w:firstLineChars="200"/>
        <w:textAlignment w:val="center"/>
        <w:rPr>
          <w:rFonts w:hAnsi="宋体"/>
          <w:color w:val="000000" w:themeColor="text1"/>
          <w:szCs w:val="21"/>
          <w:highlight w:val="none"/>
          <w14:textFill>
            <w14:solidFill>
              <w14:schemeClr w14:val="tx1"/>
            </w14:solidFill>
          </w14:textFill>
        </w:rPr>
      </w:pPr>
      <w:r>
        <w:rPr>
          <w:rFonts w:hint="eastAsia" w:hAnsi="宋体"/>
          <w:color w:val="000000" w:themeColor="text1"/>
          <w:szCs w:val="21"/>
          <w:highlight w:val="none"/>
          <w14:textFill>
            <w14:solidFill>
              <w14:schemeClr w14:val="tx1"/>
            </w14:solidFill>
          </w14:textFill>
        </w:rPr>
        <w:t>本项目具体评分细则如下：</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1、投标价格分按照以下方式进行计算：</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（1）价格评分：报价分＝价格分值×（评标基准价/评审价） </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（2）评标基准价：是经初审合格（技术、商务基本符合要求，无重大缺、漏项）满足招标文件要求且投标价格最低的投标报价。</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2%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一旦投标人中标，则将在中标公告中公告其声明函，接受社会监督，若提供声明函与事实不符的，将依据《中华人民共和国政府采购法》第七十七条第一款的规定追究其法律责任。</w:t>
      </w:r>
    </w:p>
    <w:p>
      <w:pPr>
        <w:autoSpaceDE/>
        <w:autoSpaceDN/>
        <w:adjustRightInd/>
        <w:spacing w:line="360" w:lineRule="auto"/>
        <w:ind w:firstLine="48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pPr>
        <w:autoSpaceDE/>
        <w:autoSpaceDN/>
        <w:adjustRightInd/>
        <w:ind w:firstLine="420" w:firstLineChars="200"/>
        <w:jc w:val="both"/>
        <w:rPr>
          <w:rFonts w:ascii="宋体" w:hAnsi="宋体" w:eastAsia="宋体"/>
          <w:bCs/>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2、投标文件其他</w:t>
      </w:r>
      <w:r>
        <w:rPr>
          <w:rFonts w:hint="eastAsia" w:ascii="宋体" w:hAnsi="宋体" w:eastAsia="宋体"/>
          <w:bCs/>
          <w:color w:val="000000" w:themeColor="text1"/>
          <w:kern w:val="2"/>
          <w:sz w:val="21"/>
          <w:szCs w:val="21"/>
          <w:highlight w:val="none"/>
          <w14:textFill>
            <w14:solidFill>
              <w14:schemeClr w14:val="tx1"/>
            </w14:solidFill>
          </w14:textFill>
        </w:rPr>
        <w:t>评分因素及分值设置等详见《投标评分细则》。</w:t>
      </w:r>
    </w:p>
    <w:p>
      <w:pPr>
        <w:rPr>
          <w:color w:val="000000" w:themeColor="text1"/>
          <w:spacing w:val="-4"/>
          <w:highlight w:val="none"/>
          <w14:textFill>
            <w14:solidFill>
              <w14:schemeClr w14:val="tx1"/>
            </w14:solidFill>
          </w14:textFill>
        </w:rPr>
      </w:pPr>
      <w:r>
        <w:rPr>
          <w:color w:val="000000" w:themeColor="text1"/>
          <w:spacing w:val="-4"/>
          <w:highlight w:val="none"/>
          <w14:textFill>
            <w14:solidFill>
              <w14:schemeClr w14:val="tx1"/>
            </w14:solidFill>
          </w14:textFill>
        </w:rPr>
        <w:br w:type="page"/>
      </w:r>
    </w:p>
    <w:p>
      <w:pPr>
        <w:pStyle w:val="8"/>
        <w:kinsoku w:val="0"/>
        <w:overflowPunct w:val="0"/>
        <w:spacing w:before="6"/>
        <w:ind w:left="0" w:right="13"/>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投标评分细则（</w:t>
      </w:r>
      <w:r>
        <w:rPr>
          <w:color w:val="000000" w:themeColor="text1"/>
          <w:highlight w:val="none"/>
          <w14:textFill>
            <w14:solidFill>
              <w14:schemeClr w14:val="tx1"/>
            </w14:solidFill>
          </w14:textFill>
        </w:rPr>
        <w:t>100</w:t>
      </w:r>
      <w:r>
        <w:rPr>
          <w:color w:val="000000" w:themeColor="text1"/>
          <w:spacing w:val="-55"/>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分）</w:t>
      </w:r>
    </w:p>
    <w:tbl>
      <w:tblPr>
        <w:tblStyle w:val="19"/>
        <w:tblW w:w="8946" w:type="dxa"/>
        <w:tblInd w:w="91" w:type="dxa"/>
        <w:tblLayout w:type="autofit"/>
        <w:tblCellMar>
          <w:top w:w="0" w:type="dxa"/>
          <w:left w:w="108" w:type="dxa"/>
          <w:bottom w:w="0" w:type="dxa"/>
          <w:right w:w="108" w:type="dxa"/>
        </w:tblCellMar>
      </w:tblPr>
      <w:tblGrid>
        <w:gridCol w:w="866"/>
        <w:gridCol w:w="1294"/>
        <w:gridCol w:w="1080"/>
        <w:gridCol w:w="5706"/>
      </w:tblGrid>
      <w:tr>
        <w:tblPrEx>
          <w:tblCellMar>
            <w:top w:w="0" w:type="dxa"/>
            <w:left w:w="108" w:type="dxa"/>
            <w:bottom w:w="0" w:type="dxa"/>
            <w:right w:w="108" w:type="dxa"/>
          </w:tblCellMar>
        </w:tblPrEx>
        <w:trPr>
          <w:trHeight w:val="476" w:hRule="atLeast"/>
        </w:trPr>
        <w:tc>
          <w:tcPr>
            <w:tcW w:w="866" w:type="dxa"/>
            <w:tcBorders>
              <w:top w:val="single" w:color="auto" w:sz="8" w:space="0"/>
              <w:left w:val="single" w:color="auto" w:sz="8" w:space="0"/>
              <w:bottom w:val="nil"/>
              <w:right w:val="single" w:color="000000"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序号</w:t>
            </w:r>
          </w:p>
        </w:tc>
        <w:tc>
          <w:tcPr>
            <w:tcW w:w="1294" w:type="dxa"/>
            <w:tcBorders>
              <w:top w:val="single" w:color="auto" w:sz="8" w:space="0"/>
              <w:left w:val="nil"/>
              <w:bottom w:val="nil"/>
              <w:right w:val="single" w:color="000000"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评标要素</w:t>
            </w:r>
          </w:p>
        </w:tc>
        <w:tc>
          <w:tcPr>
            <w:tcW w:w="1080" w:type="dxa"/>
            <w:tcBorders>
              <w:top w:val="single" w:color="auto" w:sz="8" w:space="0"/>
              <w:left w:val="nil"/>
              <w:bottom w:val="nil"/>
              <w:right w:val="nil"/>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满分分值</w:t>
            </w:r>
          </w:p>
        </w:tc>
        <w:tc>
          <w:tcPr>
            <w:tcW w:w="5706" w:type="dxa"/>
            <w:tcBorders>
              <w:top w:val="single" w:color="auto" w:sz="8" w:space="0"/>
              <w:left w:val="single" w:color="auto" w:sz="8" w:space="0"/>
              <w:bottom w:val="nil"/>
              <w:right w:val="single" w:color="auto" w:sz="8" w:space="0"/>
            </w:tcBorders>
            <w:shd w:val="clear" w:color="auto" w:fill="auto"/>
            <w:vAlign w:val="center"/>
          </w:tcPr>
          <w:p>
            <w:pPr>
              <w:widowControl/>
              <w:autoSpaceDE/>
              <w:autoSpaceDN/>
              <w:adjustRightInd/>
              <w:jc w:val="center"/>
              <w:rPr>
                <w:rFonts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主要评审内容</w:t>
            </w:r>
          </w:p>
        </w:tc>
      </w:tr>
      <w:tr>
        <w:tblPrEx>
          <w:tblCellMar>
            <w:top w:w="0" w:type="dxa"/>
            <w:left w:w="108" w:type="dxa"/>
            <w:bottom w:w="0" w:type="dxa"/>
            <w:right w:w="108" w:type="dxa"/>
          </w:tblCellMar>
        </w:tblPrEx>
        <w:trPr>
          <w:trHeight w:val="1416" w:hRule="atLeast"/>
        </w:trPr>
        <w:tc>
          <w:tcPr>
            <w:tcW w:w="866" w:type="dxa"/>
            <w:tcBorders>
              <w:top w:val="single" w:color="auto" w:sz="8" w:space="0"/>
              <w:left w:val="single" w:color="auto" w:sz="8" w:space="0"/>
              <w:bottom w:val="single" w:color="auto"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p>
        </w:tc>
        <w:tc>
          <w:tcPr>
            <w:tcW w:w="1294" w:type="dxa"/>
            <w:tcBorders>
              <w:top w:val="single" w:color="auto" w:sz="8" w:space="0"/>
              <w:left w:val="nil"/>
              <w:bottom w:val="single" w:color="auto"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投标报价</w:t>
            </w:r>
          </w:p>
        </w:tc>
        <w:tc>
          <w:tcPr>
            <w:tcW w:w="1080" w:type="dxa"/>
            <w:tcBorders>
              <w:top w:val="single" w:color="auto" w:sz="8" w:space="0"/>
              <w:left w:val="nil"/>
              <w:bottom w:val="single" w:color="auto" w:sz="8" w:space="0"/>
              <w:right w:val="nil"/>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30</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对小型和微型企业投标人的投标价格给予6%的扣除，用扣除后的价格参与评审。</w:t>
            </w:r>
          </w:p>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有效投标报价最低价的为评标基准价，基准价为满分。高于基准价按［投标报价得分=（评标基准价/投标报价）*30分］的计算公式计算。</w:t>
            </w:r>
          </w:p>
        </w:tc>
      </w:tr>
      <w:tr>
        <w:tblPrEx>
          <w:tblCellMar>
            <w:top w:w="0" w:type="dxa"/>
            <w:left w:w="108" w:type="dxa"/>
            <w:bottom w:w="0" w:type="dxa"/>
            <w:right w:w="108" w:type="dxa"/>
          </w:tblCellMar>
        </w:tblPrEx>
        <w:trPr>
          <w:trHeight w:val="1631" w:hRule="atLeast"/>
        </w:trPr>
        <w:tc>
          <w:tcPr>
            <w:tcW w:w="866"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产品的选型和配置</w:t>
            </w:r>
          </w:p>
        </w:tc>
        <w:tc>
          <w:tcPr>
            <w:tcW w:w="1080"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17分</w:t>
            </w:r>
          </w:p>
        </w:tc>
        <w:tc>
          <w:tcPr>
            <w:tcW w:w="5706" w:type="dxa"/>
            <w:tcBorders>
              <w:top w:val="nil"/>
              <w:left w:val="single" w:color="auto" w:sz="8" w:space="0"/>
              <w:bottom w:val="single" w:color="auto" w:sz="8" w:space="0"/>
              <w:right w:val="single" w:color="auto" w:sz="8" w:space="0"/>
            </w:tcBorders>
            <w:shd w:val="clear" w:color="auto" w:fill="auto"/>
            <w:vAlign w:val="center"/>
          </w:tcPr>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各产品参数能够实现预期使用功能的程度。</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主要材料的可靠性、环保性和安全性。</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产品的配置是否齐全有无漏项或缺陷。</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产品、材料或配件的制造商是否具有足够的技术能力。</w:t>
            </w:r>
          </w:p>
          <w:p>
            <w:pPr>
              <w:numPr>
                <w:ilvl w:val="0"/>
                <w:numId w:val="3"/>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所供产品的维修性和经济性是否先进。</w:t>
            </w:r>
          </w:p>
        </w:tc>
      </w:tr>
      <w:tr>
        <w:tblPrEx>
          <w:tblCellMar>
            <w:top w:w="0" w:type="dxa"/>
            <w:left w:w="108" w:type="dxa"/>
            <w:bottom w:w="0" w:type="dxa"/>
            <w:right w:w="108" w:type="dxa"/>
          </w:tblCellMar>
        </w:tblPrEx>
        <w:trPr>
          <w:trHeight w:val="1005" w:hRule="atLeast"/>
        </w:trPr>
        <w:tc>
          <w:tcPr>
            <w:tcW w:w="866"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重要参数条款的响应</w:t>
            </w:r>
          </w:p>
        </w:tc>
        <w:tc>
          <w:tcPr>
            <w:tcW w:w="1080" w:type="dxa"/>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27分</w:t>
            </w:r>
          </w:p>
        </w:tc>
        <w:tc>
          <w:tcPr>
            <w:tcW w:w="570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根据设备及主要零部件是否满足采购文件中的重要参数条款（▲条款）的技术要求，有一项满足▲号项的得3分，最多得27分。</w:t>
            </w:r>
          </w:p>
        </w:tc>
      </w:tr>
      <w:tr>
        <w:tblPrEx>
          <w:tblCellMar>
            <w:top w:w="0" w:type="dxa"/>
            <w:left w:w="108" w:type="dxa"/>
            <w:bottom w:w="0" w:type="dxa"/>
            <w:right w:w="108" w:type="dxa"/>
          </w:tblCellMar>
        </w:tblPrEx>
        <w:trPr>
          <w:trHeight w:val="476" w:hRule="atLeast"/>
        </w:trPr>
        <w:tc>
          <w:tcPr>
            <w:tcW w:w="866" w:type="dxa"/>
            <w:vMerge w:val="restart"/>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eastAsia="宋体"/>
                <w:color w:val="000000" w:themeColor="text1"/>
                <w:sz w:val="22"/>
                <w:szCs w:val="22"/>
                <w:highlight w:val="none"/>
                <w14:textFill>
                  <w14:solidFill>
                    <w14:schemeClr w14:val="tx1"/>
                  </w14:solidFill>
                </w14:textFill>
              </w:rPr>
              <w:t>4</w:t>
            </w:r>
          </w:p>
        </w:tc>
        <w:tc>
          <w:tcPr>
            <w:tcW w:w="1294"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相关业绩</w:t>
            </w:r>
          </w:p>
        </w:tc>
        <w:tc>
          <w:tcPr>
            <w:tcW w:w="1080" w:type="dxa"/>
            <w:vMerge w:val="restart"/>
            <w:tcBorders>
              <w:top w:val="nil"/>
              <w:left w:val="single" w:color="auto" w:sz="8" w:space="0"/>
              <w:bottom w:val="single" w:color="000000" w:sz="8" w:space="0"/>
              <w:right w:val="nil"/>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6分</w:t>
            </w:r>
          </w:p>
        </w:tc>
        <w:tc>
          <w:tcPr>
            <w:tcW w:w="5706" w:type="dxa"/>
            <w:vMerge w:val="restart"/>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提供同类产品近三年（2017年10月起至投标截止日止，以合同签订日期为准）的销售业绩。每提供一个有效业绩得2分，最多得6分。不提供或提供内容不符合要求，不得分。注：需提供合同主要内容复印件并加盖公章（至少包括双方签字盖章页、合同内容、合同金额、合同签订日期）。</w:t>
            </w: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476" w:hRule="atLeast"/>
        </w:trPr>
        <w:tc>
          <w:tcPr>
            <w:tcW w:w="866"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eastAsia="宋体"/>
                <w:color w:val="000000" w:themeColor="text1"/>
                <w:sz w:val="22"/>
                <w:szCs w:val="22"/>
                <w:highlight w:val="none"/>
                <w14:textFill>
                  <w14:solidFill>
                    <w14:schemeClr w14:val="tx1"/>
                  </w14:solidFill>
                </w14:textFill>
              </w:rPr>
            </w:pPr>
          </w:p>
        </w:tc>
        <w:tc>
          <w:tcPr>
            <w:tcW w:w="1294"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1080" w:type="dxa"/>
            <w:vMerge w:val="continue"/>
            <w:tcBorders>
              <w:top w:val="nil"/>
              <w:left w:val="single" w:color="auto" w:sz="8" w:space="0"/>
              <w:bottom w:val="single" w:color="000000" w:sz="8" w:space="0"/>
              <w:right w:val="nil"/>
            </w:tcBorders>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p>
        </w:tc>
        <w:tc>
          <w:tcPr>
            <w:tcW w:w="5706" w:type="dxa"/>
            <w:vMerge w:val="continue"/>
            <w:tcBorders>
              <w:top w:val="nil"/>
              <w:left w:val="single" w:color="auto" w:sz="8" w:space="0"/>
              <w:bottom w:val="single" w:color="000000" w:sz="8" w:space="0"/>
              <w:right w:val="single" w:color="auto" w:sz="8" w:space="0"/>
            </w:tcBorders>
            <w:vAlign w:val="center"/>
          </w:tcPr>
          <w:p>
            <w:pPr>
              <w:widowControl/>
              <w:autoSpaceDE/>
              <w:autoSpaceDN/>
              <w:adjustRightInd/>
              <w:rPr>
                <w:rFonts w:ascii="宋体" w:hAnsi="宋体" w:eastAsia="宋体" w:cs="宋体"/>
                <w:color w:val="000000" w:themeColor="text1"/>
                <w:sz w:val="22"/>
                <w:szCs w:val="22"/>
                <w:highlight w:val="none"/>
                <w14:textFill>
                  <w14:solidFill>
                    <w14:schemeClr w14:val="tx1"/>
                  </w14:solidFill>
                </w14:textFill>
              </w:rPr>
            </w:pPr>
          </w:p>
        </w:tc>
      </w:tr>
      <w:tr>
        <w:tblPrEx>
          <w:tblCellMar>
            <w:top w:w="0" w:type="dxa"/>
            <w:left w:w="108" w:type="dxa"/>
            <w:bottom w:w="0" w:type="dxa"/>
            <w:right w:w="108" w:type="dxa"/>
          </w:tblCellMar>
        </w:tblPrEx>
        <w:trPr>
          <w:trHeight w:val="1299"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2"/>
                <w:szCs w:val="22"/>
                <w:highlight w:val="none"/>
                <w14:textFill>
                  <w14:solidFill>
                    <w14:schemeClr w14:val="tx1"/>
                  </w14:solidFill>
                </w14:textFill>
              </w:rPr>
            </w:pPr>
            <w:r>
              <w:rPr>
                <w:rFonts w:eastAsia="宋体"/>
                <w:color w:val="000000" w:themeColor="text1"/>
                <w:sz w:val="22"/>
                <w:szCs w:val="22"/>
                <w:highlight w:val="none"/>
                <w14:textFill>
                  <w14:solidFill>
                    <w14:schemeClr w14:val="tx1"/>
                  </w14:solidFill>
                </w14:textFill>
              </w:rPr>
              <w:t>5</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项目实施计划</w:t>
            </w:r>
          </w:p>
        </w:tc>
        <w:tc>
          <w:tcPr>
            <w:tcW w:w="1080"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nil"/>
              <w:bottom w:val="single" w:color="auto" w:sz="8" w:space="0"/>
              <w:right w:val="single" w:color="auto" w:sz="8" w:space="0"/>
            </w:tcBorders>
            <w:shd w:val="clear" w:color="auto" w:fill="auto"/>
            <w:vAlign w:val="center"/>
          </w:tcPr>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项目实施进度计划。</w:t>
            </w:r>
          </w:p>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产品的安装及调试方案。</w:t>
            </w:r>
          </w:p>
          <w:p>
            <w:pPr>
              <w:numPr>
                <w:ilvl w:val="0"/>
                <w:numId w:val="4"/>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产品所需的各项资源保障。</w:t>
            </w:r>
          </w:p>
          <w:p>
            <w:pPr>
              <w:numPr>
                <w:ilvl w:val="0"/>
                <w:numId w:val="4"/>
              </w:numPr>
              <w:autoSpaceDE/>
              <w:autoSpaceDN/>
              <w:adjustRightInd/>
              <w:jc w:val="both"/>
              <w:rPr>
                <w:rFonts w:eastAsia="宋体"/>
                <w:color w:val="000000" w:themeColor="text1"/>
                <w:sz w:val="21"/>
                <w:szCs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质量保证措施。</w:t>
            </w:r>
          </w:p>
        </w:tc>
      </w:tr>
      <w:tr>
        <w:tblPrEx>
          <w:tblCellMar>
            <w:top w:w="0" w:type="dxa"/>
            <w:left w:w="108" w:type="dxa"/>
            <w:bottom w:w="0" w:type="dxa"/>
            <w:right w:w="108" w:type="dxa"/>
          </w:tblCellMar>
        </w:tblPrEx>
        <w:trPr>
          <w:trHeight w:val="1571" w:hRule="atLeast"/>
        </w:trPr>
        <w:tc>
          <w:tcPr>
            <w:tcW w:w="866"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w:t>
            </w:r>
          </w:p>
        </w:tc>
        <w:tc>
          <w:tcPr>
            <w:tcW w:w="1294"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系统验收保障</w:t>
            </w:r>
          </w:p>
        </w:tc>
        <w:tc>
          <w:tcPr>
            <w:tcW w:w="1080" w:type="dxa"/>
            <w:tcBorders>
              <w:top w:val="nil"/>
              <w:left w:val="single" w:color="auto" w:sz="8" w:space="0"/>
              <w:bottom w:val="single" w:color="000000" w:sz="8" w:space="0"/>
              <w:right w:val="single" w:color="auto" w:sz="8" w:space="0"/>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5</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nil"/>
              <w:bottom w:val="single" w:color="auto" w:sz="8" w:space="0"/>
              <w:right w:val="single" w:color="auto" w:sz="8" w:space="0"/>
            </w:tcBorders>
            <w:shd w:val="clear" w:color="auto" w:fill="auto"/>
            <w:vAlign w:val="center"/>
          </w:tcPr>
          <w:p>
            <w:pPr>
              <w:numPr>
                <w:ilvl w:val="0"/>
                <w:numId w:val="5"/>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设备的验收指标体系是否完整。</w:t>
            </w:r>
          </w:p>
          <w:p>
            <w:pPr>
              <w:numPr>
                <w:ilvl w:val="0"/>
                <w:numId w:val="5"/>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验收方法是否具有针对性和可操作性。</w:t>
            </w:r>
          </w:p>
          <w:p>
            <w:pPr>
              <w:numPr>
                <w:ilvl w:val="0"/>
                <w:numId w:val="5"/>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合格判据是否科学、合理。</w:t>
            </w:r>
          </w:p>
          <w:p>
            <w:pPr>
              <w:numPr>
                <w:ilvl w:val="0"/>
                <w:numId w:val="5"/>
              </w:num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承诺的验收缺陷处置方案是否可行。</w:t>
            </w:r>
          </w:p>
          <w:p>
            <w:pPr>
              <w:numPr>
                <w:ilvl w:val="0"/>
                <w:numId w:val="5"/>
              </w:numPr>
              <w:autoSpaceDE/>
              <w:autoSpaceDN/>
              <w:adjustRightInd/>
              <w:jc w:val="both"/>
              <w:rPr>
                <w:rFonts w:eastAsia="宋体"/>
                <w:color w:val="000000" w:themeColor="text1"/>
                <w:sz w:val="21"/>
                <w:szCs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承诺的性能违约赔偿是否符合足以保护买方的权益。</w:t>
            </w:r>
          </w:p>
        </w:tc>
      </w:tr>
      <w:tr>
        <w:tblPrEx>
          <w:tblCellMar>
            <w:top w:w="0" w:type="dxa"/>
            <w:left w:w="108" w:type="dxa"/>
            <w:bottom w:w="0" w:type="dxa"/>
            <w:right w:w="108" w:type="dxa"/>
          </w:tblCellMar>
        </w:tblPrEx>
        <w:trPr>
          <w:trHeight w:val="1279" w:hRule="atLeast"/>
        </w:trPr>
        <w:tc>
          <w:tcPr>
            <w:tcW w:w="866" w:type="dxa"/>
            <w:tcBorders>
              <w:top w:val="nil"/>
              <w:left w:val="single" w:color="auto" w:sz="8" w:space="0"/>
              <w:bottom w:val="single" w:color="000000"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w:t>
            </w:r>
          </w:p>
        </w:tc>
        <w:tc>
          <w:tcPr>
            <w:tcW w:w="1294" w:type="dxa"/>
            <w:tcBorders>
              <w:top w:val="nil"/>
              <w:left w:val="single" w:color="000000" w:sz="8" w:space="0"/>
              <w:bottom w:val="single" w:color="000000" w:sz="8" w:space="0"/>
              <w:right w:val="single" w:color="000000" w:sz="8" w:space="0"/>
            </w:tcBorders>
            <w:shd w:val="clear" w:color="auto" w:fill="auto"/>
            <w:vAlign w:val="center"/>
          </w:tcPr>
          <w:p>
            <w:pPr>
              <w:widowControl/>
              <w:autoSpaceDE/>
              <w:autoSpaceDN/>
              <w:adjustRightInd/>
              <w:jc w:val="center"/>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售后服务</w:t>
            </w:r>
          </w:p>
        </w:tc>
        <w:tc>
          <w:tcPr>
            <w:tcW w:w="1080" w:type="dxa"/>
            <w:tcBorders>
              <w:top w:val="nil"/>
              <w:left w:val="single" w:color="000000" w:sz="8" w:space="0"/>
              <w:bottom w:val="single" w:color="000000" w:sz="8" w:space="0"/>
              <w:right w:val="nil"/>
            </w:tcBorders>
            <w:shd w:val="clear" w:color="auto" w:fill="auto"/>
            <w:vAlign w:val="center"/>
          </w:tcPr>
          <w:p>
            <w:pPr>
              <w:widowControl/>
              <w:autoSpaceDE/>
              <w:autoSpaceDN/>
              <w:adjustRightInd/>
              <w:jc w:val="center"/>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10</w:t>
            </w:r>
            <w:r>
              <w:rPr>
                <w:rFonts w:hint="eastAsia" w:ascii="宋体" w:hAnsi="宋体" w:eastAsia="宋体"/>
                <w:color w:val="000000" w:themeColor="text1"/>
                <w:sz w:val="21"/>
                <w:szCs w:val="21"/>
                <w:highlight w:val="none"/>
                <w14:textFill>
                  <w14:solidFill>
                    <w14:schemeClr w14:val="tx1"/>
                  </w14:solidFill>
                </w14:textFill>
              </w:rPr>
              <w:t>分</w:t>
            </w:r>
          </w:p>
        </w:tc>
        <w:tc>
          <w:tcPr>
            <w:tcW w:w="5706" w:type="dxa"/>
            <w:tcBorders>
              <w:top w:val="nil"/>
              <w:left w:val="single" w:color="auto" w:sz="8" w:space="0"/>
              <w:bottom w:val="single" w:color="auto" w:sz="8" w:space="0"/>
              <w:right w:val="single" w:color="auto" w:sz="8" w:space="0"/>
            </w:tcBorders>
            <w:shd w:val="clear" w:color="auto" w:fill="auto"/>
            <w:vAlign w:val="center"/>
          </w:tcPr>
          <w:p>
            <w:pPr>
              <w:widowControl/>
              <w:autoSpaceDE/>
              <w:autoSpaceDN/>
              <w:adjustRightInd/>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售后服务计划（包括网点设置、服务流程及响应时间等）。服务网点距离复旦设备机房，是否提供</w:t>
            </w:r>
            <w:r>
              <w:rPr>
                <w:rFonts w:ascii="Tahoma" w:hAnsi="Tahoma" w:eastAsia="宋体" w:cs="Tahoma"/>
                <w:color w:val="000000" w:themeColor="text1"/>
                <w:sz w:val="21"/>
                <w:szCs w:val="21"/>
                <w:highlight w:val="none"/>
                <w14:textFill>
                  <w14:solidFill>
                    <w14:schemeClr w14:val="tx1"/>
                  </w14:solidFill>
                </w14:textFill>
              </w:rPr>
              <w:t>7*24</w:t>
            </w:r>
            <w:r>
              <w:rPr>
                <w:rFonts w:hint="eastAsia" w:ascii="宋体" w:hAnsi="宋体" w:eastAsia="宋体" w:cs="宋体"/>
                <w:color w:val="000000" w:themeColor="text1"/>
                <w:sz w:val="21"/>
                <w:szCs w:val="21"/>
                <w:highlight w:val="none"/>
                <w14:textFill>
                  <w14:solidFill>
                    <w14:schemeClr w14:val="tx1"/>
                  </w14:solidFill>
                </w14:textFill>
              </w:rPr>
              <w:t>小时售后服务，以及保修承诺年限情况等综合评审。</w:t>
            </w:r>
          </w:p>
        </w:tc>
      </w:tr>
    </w:tbl>
    <w:p>
      <w:pPr>
        <w:autoSpaceDE/>
        <w:autoSpaceDN/>
        <w:spacing w:line="360" w:lineRule="atLeast"/>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注：1.  各项评标要素所涉及的评审内容包括但不限于表中所列的“主要评审内容”。</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2.  表中除</w:t>
      </w:r>
      <w:r>
        <w:rPr>
          <w:rFonts w:hint="eastAsia" w:eastAsia="宋体"/>
          <w:color w:val="000000" w:themeColor="text1"/>
          <w:sz w:val="21"/>
          <w:szCs w:val="21"/>
          <w:highlight w:val="none"/>
          <w14:textFill>
            <w14:solidFill>
              <w14:schemeClr w14:val="tx1"/>
            </w14:solidFill>
          </w14:textFill>
        </w:rPr>
        <w:t>1、3、4</w:t>
      </w:r>
      <w:r>
        <w:rPr>
          <w:rFonts w:eastAsia="宋体"/>
          <w:color w:val="000000" w:themeColor="text1"/>
          <w:sz w:val="21"/>
          <w:szCs w:val="21"/>
          <w:highlight w:val="none"/>
          <w14:textFill>
            <w14:solidFill>
              <w14:schemeClr w14:val="tx1"/>
            </w14:solidFill>
          </w14:textFill>
        </w:rPr>
        <w:t>外的评标要素的评分标准为：</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情况好的得该要素的满分分值；</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情况较好的得该要素的满分分值×0.8；</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情况一般的得该要素的满分分值×0.6；</w:t>
      </w:r>
    </w:p>
    <w:p>
      <w:pPr>
        <w:autoSpaceDE/>
        <w:autoSpaceDN/>
        <w:spacing w:line="360" w:lineRule="atLeast"/>
        <w:ind w:firstLine="425"/>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ab/>
      </w:r>
      <w:r>
        <w:rPr>
          <w:rFonts w:eastAsia="宋体"/>
          <w:color w:val="000000" w:themeColor="text1"/>
          <w:sz w:val="21"/>
          <w:szCs w:val="21"/>
          <w:highlight w:val="none"/>
          <w14:textFill>
            <w14:solidFill>
              <w14:schemeClr w14:val="tx1"/>
            </w14:solidFill>
          </w14:textFill>
        </w:rPr>
        <w:t>情况较差的得该要素的满分分值×0.4。</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2.1  </w:t>
      </w:r>
      <w:r>
        <w:rPr>
          <w:rFonts w:eastAsia="宋体"/>
          <w:color w:val="000000" w:themeColor="text1"/>
          <w:sz w:val="21"/>
          <w:szCs w:val="21"/>
          <w:highlight w:val="none"/>
          <w14:textFill>
            <w14:solidFill>
              <w14:schemeClr w14:val="tx1"/>
            </w14:solidFill>
          </w14:textFill>
        </w:rPr>
        <w:t>响应情况好是指针对招标文件“技术规格”所提出各项要求响应性说明系统、翔实、准确，针对性强；无负偏离或缺漏项；响应性表述清晰，技术指标或参数具体、明确、有冗余；设备或装置选型合理，类似业绩丰富；验收标准和方法科学、合理、可操作性强；承诺的违约责任具有约束力，对保证项目达到预期目标有利。</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2.2  </w:t>
      </w:r>
      <w:r>
        <w:rPr>
          <w:rFonts w:eastAsia="宋体"/>
          <w:color w:val="000000" w:themeColor="text1"/>
          <w:sz w:val="21"/>
          <w:szCs w:val="21"/>
          <w:highlight w:val="none"/>
          <w14:textFill>
            <w14:solidFill>
              <w14:schemeClr w14:val="tx1"/>
            </w14:solidFill>
          </w14:textFill>
        </w:rPr>
        <w:t>响应情况较好是指针对招标文件“技术规格”所提出各项要求响应性说明比较系统，针对性较强；无负偏离或大的缺漏项；响应性表述较清晰，技术指标或参数较具体、明确、基本无冗余；设备选型较合理，类似业绩较丰富；验收标准和方法较科学、合理；承诺的违约责任具较有约束力，能够达到预期目标有利。</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2.3  </w:t>
      </w:r>
      <w:r>
        <w:rPr>
          <w:rFonts w:eastAsia="宋体"/>
          <w:color w:val="000000" w:themeColor="text1"/>
          <w:sz w:val="21"/>
          <w:szCs w:val="21"/>
          <w:highlight w:val="none"/>
          <w14:textFill>
            <w14:solidFill>
              <w14:schemeClr w14:val="tx1"/>
            </w14:solidFill>
          </w14:textFill>
        </w:rPr>
        <w:t>响应情况一般是指针对招标文件“技术规格”所提出各项要求响应性说明基本完整，针对性一般；有负偏离或较多缺漏项；个别内容的响应性表述不够清晰，技术指标或参数较不够具体或明确、无冗余；设备选型基本符合要求，有类似业绩，但相对较少；有验收标准和方法，但不够完整；承诺的违约责任不太具有约束力。</w:t>
      </w:r>
    </w:p>
    <w:p>
      <w:pPr>
        <w:tabs>
          <w:tab w:val="left" w:pos="426"/>
        </w:tabs>
        <w:autoSpaceDE/>
        <w:autoSpaceDN/>
        <w:spacing w:line="360" w:lineRule="atLeast"/>
        <w:ind w:left="911" w:leftChars="202" w:hanging="426"/>
        <w:jc w:val="both"/>
        <w:textAlignment w:val="baseline"/>
        <w:rPr>
          <w:rFonts w:eastAsia="宋体"/>
          <w:color w:val="000000" w:themeColor="text1"/>
          <w:sz w:val="21"/>
          <w:szCs w:val="21"/>
          <w:highlight w:val="none"/>
          <w14:textFill>
            <w14:solidFill>
              <w14:schemeClr w14:val="tx1"/>
            </w14:solidFill>
          </w14:textFill>
        </w:rPr>
      </w:pPr>
      <w:r>
        <w:rPr>
          <w:rFonts w:hint="eastAsia" w:eastAsia="宋体"/>
          <w:color w:val="000000" w:themeColor="text1"/>
          <w:sz w:val="21"/>
          <w:szCs w:val="21"/>
          <w:highlight w:val="none"/>
          <w14:textFill>
            <w14:solidFill>
              <w14:schemeClr w14:val="tx1"/>
            </w14:solidFill>
          </w14:textFill>
        </w:rPr>
        <w:t xml:space="preserve">2.4  </w:t>
      </w:r>
      <w:r>
        <w:rPr>
          <w:rFonts w:eastAsia="宋体"/>
          <w:color w:val="000000" w:themeColor="text1"/>
          <w:sz w:val="21"/>
          <w:szCs w:val="21"/>
          <w:highlight w:val="none"/>
          <w14:textFill>
            <w14:solidFill>
              <w14:schemeClr w14:val="tx1"/>
            </w14:solidFill>
          </w14:textFill>
        </w:rPr>
        <w:t>响应情况较差是指针对招标文件“技术规格”所提出各项要求响应性说明内容不完整，针对性不强；有较多负偏离和缺漏项；部分内容响应性表述不清晰，部分技术指标或参数不具体或不明确，导致评委无法作出准确判断；设备选型不太符合要求，无类似业绩；未提及验收标准和方法或虽有提及但相关内容不具操作性；未承诺的违约责任。</w:t>
      </w:r>
    </w:p>
    <w:p>
      <w:pPr>
        <w:pStyle w:val="11"/>
        <w:tabs>
          <w:tab w:val="left" w:pos="1219"/>
        </w:tabs>
        <w:kinsoku w:val="0"/>
        <w:overflowPunct w:val="0"/>
        <w:spacing w:before="24" w:line="309" w:lineRule="auto"/>
        <w:ind w:left="1167" w:right="228" w:hanging="426"/>
        <w:rPr>
          <w:color w:val="000000" w:themeColor="text1"/>
          <w:highlight w:val="none"/>
          <w14:textFill>
            <w14:solidFill>
              <w14:schemeClr w14:val="tx1"/>
            </w14:solidFill>
          </w14:textFill>
        </w:rPr>
      </w:pPr>
    </w:p>
    <w:p>
      <w:pPr>
        <w:pStyle w:val="11"/>
        <w:tabs>
          <w:tab w:val="left" w:pos="1219"/>
        </w:tabs>
        <w:kinsoku w:val="0"/>
        <w:overflowPunct w:val="0"/>
        <w:spacing w:before="24" w:line="309" w:lineRule="auto"/>
        <w:ind w:left="1167" w:right="228" w:hanging="426"/>
        <w:rPr>
          <w:color w:val="000000" w:themeColor="text1"/>
          <w:highlight w:val="none"/>
          <w14:textFill>
            <w14:solidFill>
              <w14:schemeClr w14:val="tx1"/>
            </w14:solidFill>
          </w14:textFill>
        </w:rPr>
        <w:sectPr>
          <w:footerReference r:id="rId6" w:type="default"/>
          <w:pgSz w:w="11910" w:h="16840"/>
          <w:pgMar w:top="1360" w:right="1460" w:bottom="1180" w:left="1480" w:header="0" w:footer="982" w:gutter="0"/>
          <w:cols w:space="720" w:num="1"/>
        </w:sectPr>
      </w:pPr>
    </w:p>
    <w:p>
      <w:pPr>
        <w:autoSpaceDE/>
        <w:autoSpaceDN/>
        <w:adjustRightInd/>
        <w:snapToGrid w:val="0"/>
        <w:spacing w:before="120" w:beforeLines="50" w:after="120" w:afterLines="50" w:line="380" w:lineRule="exact"/>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第六章    投标文件有关格式</w:t>
      </w:r>
    </w:p>
    <w:p>
      <w:pPr>
        <w:autoSpaceDE/>
        <w:autoSpaceDN/>
        <w:adjustRightInd/>
        <w:spacing w:line="360" w:lineRule="auto"/>
        <w:jc w:val="both"/>
        <w:outlineLvl w:val="0"/>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一、商务响应文件有关格式</w:t>
      </w:r>
    </w:p>
    <w:p>
      <w:pPr>
        <w:autoSpaceDE/>
        <w:autoSpaceDN/>
        <w:adjustRightInd/>
        <w:spacing w:line="360" w:lineRule="auto"/>
        <w:jc w:val="center"/>
        <w:outlineLvl w:val="0"/>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1、投标函格式</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p>
    <w:p>
      <w:pPr>
        <w:autoSpaceDE/>
        <w:autoSpaceDN/>
        <w:adjustRightInd/>
        <w:spacing w:line="360" w:lineRule="auto"/>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（招标人名称）</w:t>
      </w:r>
    </w:p>
    <w:p>
      <w:pPr>
        <w:autoSpaceDE/>
        <w:autoSpaceDN/>
        <w:adjustRightInd/>
        <w:spacing w:line="360" w:lineRule="auto"/>
        <w:ind w:firstLine="420" w:firstLineChars="200"/>
        <w:jc w:val="both"/>
        <w:outlineLvl w:val="0"/>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根据贵方</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（项目名称、招标编号）采购的招标公告及采购公告，</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（姓名和职务）被正式授权代表投标人</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p>
    <w:p>
      <w:pPr>
        <w:autoSpaceDE/>
        <w:autoSpaceDN/>
        <w:adjustRightInd/>
        <w:spacing w:line="360" w:lineRule="auto"/>
        <w:jc w:val="both"/>
        <w:outlineLvl w:val="0"/>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（投标人名称、地址），向贵方在提交投标文件正本1份、副本4份。</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据此函，投标人兹宣布同意如下：</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1.按招标文件规定，我方的投标总价为</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（大写）元人民币。</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2.我方已详细研究了全部招标文件，包括招标文件的澄清和修改文件（如果有的话）、参考资料及有关附件，我们已完全理解并接受招标文件的各项规定和要求，对招标文件的合理性、合法性不再有异议。</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3.投标有效期为自开标之日起 ______日。</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4.如我方中标，投标文件将作为本项目合同的组成部分，直至合同履行完毕止均保持有效，我方将按招标文件及政府采购法律、法规的规定，</w:t>
      </w:r>
      <w:r>
        <w:rPr>
          <w:rFonts w:hint="eastAsia" w:ascii="宋体" w:eastAsia="宋体"/>
          <w:color w:val="000000" w:themeColor="text1"/>
          <w:kern w:val="2"/>
          <w:sz w:val="21"/>
          <w:szCs w:val="21"/>
          <w:highlight w:val="none"/>
          <w14:textFill>
            <w14:solidFill>
              <w14:schemeClr w14:val="tx1"/>
            </w14:solidFill>
          </w14:textFill>
        </w:rPr>
        <w:t>承担完成合同的全部责任和义务。</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5.如果我方有招标文件规定的不予退还投标保证金的任何行为，我方的投标保证金可被贵方没收。</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6.我方同意向贵方提供贵方可能进一步要求的与本投标有关的一切证据或资料。</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7.我方完全理解贵方不一定要接受最低报价的投标或其他任何投标。</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8.为便于贵方公正、择优地确定中标人，我方就本次投标有关事项郑重声明如下：</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（1）我方向贵方提交的所有投标文件、资料都是准确的和真实的。</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（2）我方不是采购人的附属机构。</w:t>
      </w:r>
    </w:p>
    <w:p>
      <w:pPr>
        <w:pStyle w:val="12"/>
        <w:snapToGrid w:val="0"/>
        <w:spacing w:line="360" w:lineRule="auto"/>
        <w:ind w:firstLine="420" w:firstLineChars="200"/>
        <w:rPr>
          <w:rFonts w:hAnsi="宋体"/>
          <w:color w:val="000000" w:themeColor="text1"/>
          <w:sz w:val="21"/>
          <w:szCs w:val="21"/>
          <w:highlight w:val="none"/>
          <w14:textFill>
            <w14:solidFill>
              <w14:schemeClr w14:val="tx1"/>
            </w14:solidFill>
          </w14:textFill>
        </w:rPr>
      </w:pPr>
      <w:r>
        <w:rPr>
          <w:rFonts w:hint="eastAsia" w:hAnsi="宋体"/>
          <w:color w:val="000000" w:themeColor="text1"/>
          <w:sz w:val="21"/>
          <w:szCs w:val="21"/>
          <w:highlight w:val="none"/>
          <w14:textFill>
            <w14:solidFill>
              <w14:schemeClr w14:val="tx1"/>
            </w14:solidFill>
          </w14:textFill>
        </w:rPr>
        <w:t>（3）我方最近三年（2017年10月至今）内因违法行为被通报或者被处罚的情况：</w:t>
      </w:r>
    </w:p>
    <w:p>
      <w:pPr>
        <w:autoSpaceDE/>
        <w:autoSpaceDN/>
        <w:adjustRightInd/>
        <w:snapToGrid w:val="0"/>
        <w:spacing w:before="120" w:beforeLines="50" w:line="360" w:lineRule="auto"/>
        <w:ind w:firstLine="420" w:firstLineChars="200"/>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w:t>
      </w:r>
    </w:p>
    <w:p>
      <w:pPr>
        <w:autoSpaceDE/>
        <w:autoSpaceDN/>
        <w:adjustRightInd/>
        <w:snapToGrid w:val="0"/>
        <w:spacing w:before="120" w:beforeLines="50" w:line="360" w:lineRule="auto"/>
        <w:ind w:firstLine="420" w:firstLineChars="200"/>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u w:val="single"/>
          <w14:textFill>
            <w14:solidFill>
              <w14:schemeClr w14:val="tx1"/>
            </w14:solidFill>
          </w14:textFill>
        </w:rPr>
        <w:t>　　　　　　　　　　　　　　　　　　　　　　　　　　　</w:t>
      </w:r>
    </w:p>
    <w:p>
      <w:pPr>
        <w:autoSpaceDE/>
        <w:autoSpaceDN/>
        <w:adjustRightInd/>
        <w:snapToGrid w:val="0"/>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（4）以上事项如有虚假或隐瞒，我方愿意承担一切后果，并不再寻求任何旨在减轻或免除法律责任的辩解。</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58240" behindDoc="0" locked="0" layoutInCell="0" allowOverlap="1">
                <wp:simplePos x="0" y="0"/>
                <wp:positionH relativeFrom="column">
                  <wp:posOffset>889000</wp:posOffset>
                </wp:positionH>
                <wp:positionV relativeFrom="paragraph">
                  <wp:posOffset>180340</wp:posOffset>
                </wp:positionV>
                <wp:extent cx="374650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746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70pt;margin-top:14.2pt;height:0pt;width:295pt;z-index:251658240;mso-width-relative:page;mso-height-relative:page;" filled="f" stroked="t" coordsize="21600,21600" o:allowincell="f" o:gfxdata="UEsDBAoAAAAAAIdO4kAAAAAAAAAAAAAAAAAEAAAAZHJzL1BLAwQUAAAACACHTuJADuXKo9UAAAAJ&#10;AQAADwAAAGRycy9kb3ducmV2LnhtbE2PzU7DMBCE70i8g7VIXCpqN62gCnF6AHLjQgviuo2XJCJe&#10;p7H7A0/PVhzgOLOj2W+K1cn36kBj7AJbmE0NKOI6uI4bC6+b6mYJKiZkh31gsvBFEVbl5UWBuQtH&#10;fqHDOjVKSjjmaKFNaci1jnVLHuM0DMRy+wijxyRybLQb8SjlvteZMbfaY8fyocWBHlqqP9d7byFW&#10;b7Srvif1xLzPm0DZ7vH5Ca29vpqZe1CJTukvDGd8QYdSmLZhzy6qXvTCyJZkIVsuQEngbn42tr+G&#10;Lgv9f0H5A1BLAwQUAAAACACHTuJA8V8rnO0BAADYAwAADgAAAGRycy9lMm9Eb2MueG1srVPNbhMx&#10;EL4j8Q6W72TTQBpYZdNDQ7kgiAR9gIntzVrynzxuNnkJXgCJG5w4cudtKI/RsTdNoVxyYA/e8Xjm&#10;m/k+j+cXO2vYVkXU3jX8bDTmTDnhpXabhl9/vHr2kjNM4CQY71TD9wr5xeLpk3kfajXxnTdSRUYg&#10;Dus+NLxLKdRVhaJTFnDkg3J02PpoIdE2bioZoSd0a6rJeHxe9T7KEL1QiORdDof8gBhPAfRtq4Va&#10;enFjlUsDalQGElHCTgfki9Jt2yqR3rctqsRMw4lpKisVIXud12oxh3oTIXRaHFqAU1p4xMmCdlT0&#10;CLWEBOwm6n+grBbRo2/TSHhbDUSKIsTibPxImw8dBFW4kNQYjqLj/4MV77aryLRs+IwzB5Yu/Pbz&#10;j1+fvv7++YXW2+/f2CyL1AesKfbSreJhh2EVM+NdG23+Exe2K8Luj8KqXWKCnM9nL86nY9Jc3J9V&#10;D4khYnqjvGXZaLjRLnOGGrZvMVExCr0PyW7jWN/wV9PJlOCABrCliyfTBiKBblNy0Rstr7QxOQPj&#10;Zn1pIttCHoLyZUqE+1dYLrIE7Ia4cjSMR6dAvnaSpX0geRy9Cp5bsEpyZhQ9omwRINQJtDklkkob&#10;Rx1kVQcds7X2cl/kLX668NLjYTjzRP25L9kPD3Jx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7l&#10;yqPVAAAACQEAAA8AAAAAAAAAAQAgAAAAIgAAAGRycy9kb3ducmV2LnhtbFBLAQIUABQAAAAIAIdO&#10;4kDxXyuc7QEAANg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地址：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1456690</wp:posOffset>
                </wp:positionH>
                <wp:positionV relativeFrom="paragraph">
                  <wp:posOffset>180340</wp:posOffset>
                </wp:positionV>
                <wp:extent cx="317881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317881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4.7pt;margin-top:14.2pt;height:0pt;width:250.3pt;z-index:251659264;mso-width-relative:page;mso-height-relative:page;" filled="f" stroked="t" coordsize="21600,21600" o:allowincell="f" o:gfxdata="UEsDBAoAAAAAAIdO4kAAAAAAAAAAAAAAAAAEAAAAZHJzL1BLAwQUAAAACACHTuJA6T9V1NUAAAAJ&#10;AQAADwAAAGRycy9kb3ducmV2LnhtbE2Py07DMBBF90j8gzVIbCpqN0W0hDhdANmxoVCxncZDEhGP&#10;09h9wNcziAWs5nV159xidfK9OtAYu8AWZlMDirgOruPGwutLdbUEFROywz4wWfikCKvy/KzA3IUj&#10;P9NhnRolJhxztNCmNORax7olj3EaBmK5vYfRY5JxbLQb8SjmvteZMTfaY8fyocWB7luqP9Z7byFW&#10;G9pVX5N6Yt7mTaBs9/D0iNZeXszMHahEp/Qnhh98QYdSmLZhzy6q3kKW3V6LVJqlVBEs5kbCbX8X&#10;uiz0/wTlN1BLAwQUAAAACACHTuJAojHTDuwBAADYAwAADgAAAGRycy9lMm9Eb2MueG1srVO9jhMx&#10;EO6ReAfLPdkk6EJYZXPFhaNBEAl4gIntzVrynzy+bPISvAASHVSU9LzNHY/B2JvLwdGkYAvveDzz&#10;zXyfx4vLvTVspyJq7xo+GY05U054qd224R8/XD+bc4YJnATjnWr4QSG/XD59suhDraa+80aqyAjE&#10;Yd2HhncphbqqUHTKAo58UI4OWx8tJNrGbSUj9IRuTTUdj2dV76MM0QuFSN7VcMiPiPEcQN+2WqiV&#10;FzdWuTSgRmUgESXsdEC+LN22rRLpXduiSsw0nJimslIRsjd5rZYLqLcRQqfFsQU4p4VHnCxoR0VP&#10;UCtIwG6i/gfKahE9+jaNhLfVQKQoQiwm40favO8gqMKFpMZwEh3/H6x4u1tHpmXDZ5w5sHThd59/&#10;3H76+uvnF1rvvn9jsyxSH7Cm2Cu3jscdhnXMjPdttPlPXNi+CHs4Cav2iQlyPp+8mM8npLm4P6se&#10;EkPE9Fp5y7LRcKNd5gw17N5gomIUeh+S3caxvuEvL6YXBAc0gC1dPJk2EAl025KL3mh5rY3JGRi3&#10;mysT2Q7yEJQvUyLcv8JykRVgN8SVo2E8OgXylZMsHQLJ4+hV8NyCVZIzo+gRZYsAoU6gzTmRVNo4&#10;6iCrOuiYrY2XhyJv8dOFlx6Pw5kn6s99yX54kM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T9V&#10;1NUAAAAJAQAADwAAAAAAAAABACAAAAAiAAAAZHJzL2Rvd25yZXYueG1sUEsBAhQAFAAAAAgAh07i&#10;QKIx0w7sAQAA2AMAAA4AAAAAAAAAAQAgAAAAJAEAAGRycy9lMm9Eb2MueG1sUEsFBgAAAAAGAAYA&#10;WQEAAII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电话、传真：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column">
                  <wp:posOffset>1206500</wp:posOffset>
                </wp:positionH>
                <wp:positionV relativeFrom="paragraph">
                  <wp:posOffset>172720</wp:posOffset>
                </wp:positionV>
                <wp:extent cx="342900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5pt;margin-top:13.6pt;height:0pt;width:270pt;z-index:251660288;mso-width-relative:page;mso-height-relative:page;" filled="f" stroked="t" coordsize="21600,21600" o:allowincell="f" o:gfxdata="UEsDBAoAAAAAAIdO4kAAAAAAAAAAAAAAAAAEAAAAZHJzL1BLAwQUAAAACACHTuJA5Y7tcNUAAAAJ&#10;AQAADwAAAGRycy9kb3ducmV2LnhtbE2PzU7DMBCE70i8g7VIXCpqN5VoCXF6AHLjQgH1uo2XJCJe&#10;p7H7A0/PVhzgOLOj2W+K1cn36kBj7AJbmE0NKOI6uI4bC2+v1c0SVEzIDvvAZOGLIqzKy4sCcxeO&#10;/EKHdWqUlHDM0UKb0pBrHeuWPMZpGIjl9hFGj0nk2Gg34lHKfa8zY261x47lQ4sDPbRUf6733kKs&#10;3mlXfU/qidnMm0DZ7vH5Ca29vpqZe1CJTukvDGd8QYdSmLZhzy6qXvSdkS3JQrbIQElgMT8b219D&#10;l4X+v6D8AVBLAwQUAAAACACHTuJAAN1kTe0BAADYAwAADgAAAGRycy9lMm9Eb2MueG1srVPNbhMx&#10;EL4j8Q6W72S3gaJ2lU0PDeWCIBL0ASa2N2vJf/K42eQleAEkbnDiyJ23aXmMjr1pCuWSA3vwjscz&#10;38z3eTy72FrDNiqi9q7lJ5OaM+WEl9qtW3796erFGWeYwEkw3qmW7xTyi/nzZ7MhNGrqe2+kioxA&#10;HDZDaHmfUmiqCkWvLODEB+XosPPRQqJtXFcywkDo1lTTun5dDT7KEL1QiORdjId8jxiPAfRdp4Va&#10;eHFjlUsjalQGElHCXgfk89Jt1ymRPnQdqsRMy4lpKisVIXuV12o+g2YdIfRa7FuAY1p4wsmCdlT0&#10;ALWABOwm6n+grBbRo+/SRHhbjUSKIsTipH6izccegipcSGoMB9Hx/8GK95tlZFq2nK7dgaULv/vy&#10;8/bzt9+/vtJ69+M7O8siDQEbir10y7jfYVjGzHjbRZv/xIVti7C7g7Bqm5gg58tX0/O6Js3Fw1n1&#10;mBgiprfKW5aNlhvtMmdoYPMOExWj0IeQ7DaODS0/P52eEhzQAHZ08WTaQCTQrUsueqPllTYmZ2Bc&#10;ry5NZBvIQ1C+TIlw/wrLRRaA/RhXjsbx6BXIN06ytAskj6NXwXMLVknOjKJHlC0ChCaBNsdEUmnj&#10;qIOs6qhjtlZe7oq8xU8XXnrcD2eeqD/3JfvxQc7v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WO&#10;7XDVAAAACQEAAA8AAAAAAAAAAQAgAAAAIgAAAGRycy9kb3ducmV2LnhtbFBLAQIUABQAAAAIAIdO&#10;4kAA3WRN7QEAANg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邮政编码：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1312" behindDoc="0" locked="0" layoutInCell="0" allowOverlap="1">
                <wp:simplePos x="0" y="0"/>
                <wp:positionH relativeFrom="column">
                  <wp:posOffset>1270000</wp:posOffset>
                </wp:positionH>
                <wp:positionV relativeFrom="paragraph">
                  <wp:posOffset>180340</wp:posOffset>
                </wp:positionV>
                <wp:extent cx="339471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339471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00pt;margin-top:14.2pt;height:0pt;width:267.3pt;z-index:251661312;mso-width-relative:page;mso-height-relative:page;" filled="f" stroked="t" coordsize="21600,21600" o:allowincell="f" o:gfxdata="UEsDBAoAAAAAAIdO4kAAAAAAAAAAAAAAAAAEAAAAZHJzL1BLAwQUAAAACACHTuJAHzmYhtYAAAAJ&#10;AQAADwAAAGRycy9kb3ducmV2LnhtbE2PS0/DMBCE70j8B2uRuFSt3YfaKsTpAciNCy2I6zZekoh4&#10;ncbuA349izjAbXdnNPtNvrn4Tp1oiG1gC9OJAUVcBddybeFlV47XoGJCdtgFJgufFGFTXF/lmLlw&#10;5mc6bVOtJIRjhhaalPpM61g15DFOQk8s2nsYPCZZh1q7Ac8S7js9M2apPbYsHxrs6b6h6mN79BZi&#10;+UqH8mtUjczbvA40Ozw8PaK1tzdTcwcq0SX9meEHX9ChEKZ9OLKLqrMg6dIlybBegBLDar5Ygtr/&#10;HnSR6/8Nim9QSwMEFAAAAAgAh07iQAKh5NfsAQAA2AMAAA4AAABkcnMvZTJvRG9jLnhtbK1TzW4T&#10;MRC+I/EOlu9kk5QCWWXTQ0O5IIgEfYCJ7c1a8p88bjZ5CV4AiRucOHLnbSiP0bE3TaFccmAP3vF4&#10;5pv5Po/nFztr2FZF1N41fDIac6ac8FK7TcOvP149e8UZJnASjHeq4XuF/GLx9Mm8D7Wa+s4bqSIj&#10;EId1HxrepRTqqkLRKQs48kE5Omx9tJBoGzeVjNATujXVdDx+UfU+yhC9UIjkXQ6H/IAYTwH0bauF&#10;WnpxY5VLA2pUBhJRwk4H5IvSbdsqkd63LarETMOJaSorFSF7nddqMYd6EyF0WhxagFNaeMTJgnZU&#10;9Ai1hATsJup/oKwW0aNv00h4Ww1EiiLEYjJ+pM2HDoIqXEhqDEfR8f/BinfbVWRaNnzGmQNLF377&#10;+cevT19///xC6+33b2yWReoD1hR76VbxsMOwipnxro02/4kL2xVh90dh1S4xQc6zs9nzlxPSXNyf&#10;VQ+JIWJ6o7xl2Wi40S5zhhq2bzFRMQq9D8lu41hP3Z5PzwkOaABbungybSAS6DYlF73R8kobkzMw&#10;btaXJrIt5CEoX6ZEuH+F5SJLwG6IK0fDeHQK5GsnWdoHksfRq+C5BaskZ0bRI8oWAUKdQJtTIqm0&#10;cdRBVnXQMVtrL/dF3uKnCy89HoYzT9Sf+5L98CAX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85&#10;mIbWAAAACQEAAA8AAAAAAAAAAQAgAAAAIgAAAGRycy9kb3ducmV2LnhtbFBLAQIUABQAAAAIAIdO&#10;4kACoeTX7AEAANgDAAAOAAAAAAAAAAEAIAAAACUBAABkcnMvZTJvRG9jLnhtbFBLBQYAAAAABgAG&#10;AFkBAACD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开户银行：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1257300</wp:posOffset>
                </wp:positionH>
                <wp:positionV relativeFrom="paragraph">
                  <wp:posOffset>220345</wp:posOffset>
                </wp:positionV>
                <wp:extent cx="374650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3746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9pt;margin-top:17.35pt;height:0pt;width:295pt;z-index:251662336;mso-width-relative:page;mso-height-relative:page;" filled="f" stroked="t" coordsize="21600,21600" o:gfxdata="UEsDBAoAAAAAAIdO4kAAAAAAAAAAAAAAAAAEAAAAZHJzL1BLAwQUAAAACACHTuJACpRAHtUAAAAJ&#10;AQAADwAAAGRycy9kb3ducmV2LnhtbE2PzU7DMBCE70i8g7VIXCpqt0U0hDg9ALlxoYC4buMliYjX&#10;aez+wNOzFQc4zuxo9ptidfS92tMYu8AWZlMDirgOruPGwutLdZWBignZYR+YLHxRhFV5flZg7sKB&#10;n2m/To2SEo45WmhTGnKtY92SxzgNA7HcPsLoMYkcG+1GPEi57/XcmBvtsWP50OJA9y3Vn+udtxCr&#10;N9pW35N6Yt4XTaD59uHpEa29vJiZO1CJjukvDCd8QYdSmDZhxy6qXvRtJluShcX1EpQEltnJ2Pwa&#10;uiz0/wXlD1BLAwQUAAAACACHTuJAPIWEle0BAADaAwAADgAAAGRycy9lMm9Eb2MueG1srVO9jhMx&#10;EO6ReAfLPdm9QA5YZXPFhaNBEAl4gIntzVrynzy+bPISvAASHVSU9Pc2HI/B2JvLwdGkYAvv2DPz&#10;zXyfx/OLnTVsqyJq71p+Nqk5U054qd2m5R8/XD15wRkmcBKMd6rle4X8YvH40XwIjZr63hupIiMQ&#10;h80QWt6nFJqqQtErCzjxQTlydj5aSLSNm0pGGAjdmmpa1+fV4KMM0QuFSKfL0ckPiPEUQN91Wqil&#10;F9dWuTSiRmUgESXsdUC+KN12nRLpXdehSsy0nJimslIRstd5rRZzaDYRQq/FoQU4pYUHnCxoR0WP&#10;UEtIwK6j/gfKahE9+i5NhLfVSKQoQizO6gfavO8hqMKFpMZwFB3/H6x4u11FpiVNAkniwNKN337+&#10;8fPT1183X2i9/f6NkYdkGgI2FH3pVvGww7CKmfOuizb/iQ3bFWn3R2nVLjFBh0+fPzuf1VRC3Pmq&#10;+8QQMb1W3rJstNxol1lDA9s3mKgYhd6F5GPj2NDyl7PpjOCARrCjqyfTBqKBblNy0Rstr7QxOQPj&#10;Zn1pIttCHoPyZUqE+1dYLrIE7Me44hoHpFcgXznJ0j6QPo7eBc8tWCU5M4qeUbYIEJoE2pwSSaWN&#10;ow6yqqOO2Vp7uS/ylnO68tLjYTzzTP25L9n3T3Lx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qU&#10;QB7VAAAACQEAAA8AAAAAAAAAAQAgAAAAIgAAAGRycy9kb3ducmV2LnhtbFBLAQIUABQAAAAIAIdO&#10;4kA8hYSV7QEAANo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银行账号：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3360" behindDoc="0" locked="0" layoutInCell="0" allowOverlap="1">
                <wp:simplePos x="0" y="0"/>
                <wp:positionH relativeFrom="column">
                  <wp:posOffset>1968500</wp:posOffset>
                </wp:positionH>
                <wp:positionV relativeFrom="paragraph">
                  <wp:posOffset>194945</wp:posOffset>
                </wp:positionV>
                <wp:extent cx="298450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2984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5pt;margin-top:15.35pt;height:0pt;width:235pt;z-index:251663360;mso-width-relative:page;mso-height-relative:page;" filled="f" stroked="t" coordsize="21600,21600" o:allowincell="f" o:gfxdata="UEsDBAoAAAAAAIdO4kAAAAAAAAAAAAAAAAAEAAAAZHJzL1BLAwQUAAAACACHTuJAc1brtdUAAAAJ&#10;AQAADwAAAGRycy9kb3ducmV2LnhtbE2PT0/DMAzF70h8h8hIXCaWdJPY1DXdAeiNCwPE1Wu8tqJx&#10;uib7A58eTxzgZj8/Pf9esT77Xh1pjF1gC9nUgCKug+u4sfD2Wt0tQcWE7LAPTBa+KMK6vL4qMHfh&#10;xC903KRGSQjHHC20KQ251rFuyWOchoFYbrswekyyjo12I54k3Pd6Zsy99tixfGhxoIeW6s/NwVuI&#10;1Tvtq+9JPTEf8ybQbP/4/ITW3t5kZgUq0Tn9meGCL+hQCtM2HNhF1VuYZ0a6JBnMApQYFsuLsP0V&#10;dFno/w3KH1BLAwQUAAAACACHTuJA/rNj4+0BAADaAwAADgAAAGRycy9lMm9Eb2MueG1srVO9jhMx&#10;EO6ReAfLPdlNRNDdKpsrLhwNgkjAA0xsb9aS/+TxZZOX4AWQ6KCipOdtOB6DsTeXg6NJwRbesWfm&#10;m/k+jxdXe2vYTkXU3rV8Oqk5U054qd225R/e3zy74AwTOAnGO9Xyg0J+tXz6ZDGERs18741UkRGI&#10;w2YILe9TCk1VoeiVBZz4oBw5Ox8tJNrGbSUjDIRuTTWr6xfV4KMM0QuFSKer0cmPiPEcQN91WqiV&#10;F7dWuTSiRmUgESXsdUC+LN12nRLpbdehSsy0nJimslIRsjd5rZYLaLYRQq/FsQU4p4VHnCxoR0VP&#10;UCtIwG6j/gfKahE9+i5NhLfVSKQoQiym9SNt3vUQVOFCUmM4iY7/D1a82a0j05ImYcqZA0s3fvfp&#10;+8+PX379+Ezr3bevjDwk0xCwoehrt47HHYZ1zJz3XbT5T2zYvkh7OEmr9okJOpxdXjyf16S6uPdV&#10;D4khYnqlvGXZaLnRLrOGBnavMVExCr0PycfGsaHll/PZnOCARrCjqyfTBqKBblty0Rstb7QxOQPj&#10;dnNtIttBHoPyZUqE+1dYLrIC7Me44hoHpFcgXzrJ0iGQPo7eBc8tWCU5M4qeUbYIEJoE2pwTSaWN&#10;ow6yqqOO2dp4eSjylnO68tLjcTzzTP25L9kPT3L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NW&#10;67XVAAAACQEAAA8AAAAAAAAAAQAgAAAAIgAAAGRycy9kb3ducmV2LnhtbFBLAQIUABQAAAAIAIdO&#10;4kD+s2Pj7QEAANoDAAAOAAAAAAAAAAEAIAAAACQBAABkcnMvZTJvRG9jLnhtbFBLBQYAAAAABgAG&#10;AFkBAACDBQ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投标人授权代表签名：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4384" behindDoc="0" locked="0" layoutInCell="0" allowOverlap="1">
                <wp:simplePos x="0" y="0"/>
                <wp:positionH relativeFrom="column">
                  <wp:posOffset>2000885</wp:posOffset>
                </wp:positionH>
                <wp:positionV relativeFrom="paragraph">
                  <wp:posOffset>180340</wp:posOffset>
                </wp:positionV>
                <wp:extent cx="2952115"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295211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7.55pt;margin-top:14.2pt;height:0pt;width:232.45pt;z-index:251664384;mso-width-relative:page;mso-height-relative:page;" filled="f" stroked="t" coordsize="21600,21600" o:allowincell="f" o:gfxdata="UEsDBAoAAAAAAIdO4kAAAAAAAAAAAAAAAAAEAAAAZHJzL1BLAwQUAAAACACHTuJASRUHS9YAAAAJ&#10;AQAADwAAAGRycy9kb3ducmV2LnhtbE2PPU/DQAyGdyT+w8lILBW9SwolCrl0ALKxUKhY3cQkETlf&#10;mrt+wK/HiAFG249eP2+xOrlBHWgKvWcLydyAIq5903Nr4fWluspAhYjc4OCZLHxSgFV5flZg3vgj&#10;P9NhHVslIRxytNDFOOZah7ojh2HuR2K5vfvJYZRxanUz4VHC3aBTY5baYc/yocOR7juqP9Z7ZyFU&#10;G9pVX7N6Zt4Wrad09/D0iNZeXiTmDlSkU/yD4Udf1KEUp63fcxPUYGGR3CSCWkiza1AC3GZGym1/&#10;F7os9P8G5TdQSwMEFAAAAAgAh07iQHORTR3rAQAA2gMAAA4AAABkcnMvZTJvRG9jLnhtbK1TzY7T&#10;MBC+I/EOlu80baRFEDXdw5blgqAS8ABT20ks+U8eb9O+BC+AxA1OHLnzNuw+BmOn24Xl0gM5OGPP&#10;zDfzfR4vL/fWsJ2KqL1r+WI250w54aV2fcs/frh+9oIzTOAkGO9Uyw8K+eXq6ZPlGBpV+8EbqSIj&#10;EIfNGFo+pBSaqkIxKAs480E5cnY+Wki0jX0lI4yEbk1Vz+fPq9FHGaIXCpFO15OTHxHjOYC+67RQ&#10;ay9urHJpQo3KQCJKOOiAfFW67Tol0ruuQ5WYaTkxTWWlImRv81qtltD0EcKgxbEFOKeFR5wsaEdF&#10;T1BrSMBuov4HymoRPfouzYS31USkKEIsFvNH2rwfIKjChaTGcBId/x+seLvbRKYlTULNmQNLN377&#10;+cevT1/vfn6h9fb7N0YekmkM2FD0ldvE4w7DJmbO+y7a/Cc2bF+kPZykVfvEBB3WLy/qxeKCM3Hv&#10;qx4SQ8T0WnnLstFyo11mDQ3s3mCiYhR6H5KPjWNjywkwwwGNYEdXT6YNRANdX3LRGy2vtTE5A2O/&#10;vTKR7SCPQfkyJcL9KywXWQMOU1xxTQMyKJCvnGTpEEgfR++C5xaskpwZRc8oWwQITQJtzomk0sZR&#10;B1nVScdsbb08FHnLOV156fE4nnmm/tyX7Icnuf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SRUH&#10;S9YAAAAJAQAADwAAAAAAAAABACAAAAAiAAAAZHJzL2Rvd25yZXYueG1sUEsBAhQAFAAAAAgAh07i&#10;QHORTR3rAQAA2gMAAA4AAAAAAAAAAQAgAAAAJQEAAGRycy9lMm9Eb2MueG1sUEsFBgAAAAAGAAYA&#10;WQEAAII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 xml:space="preserve">  投标人名称（公章）：                                                </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line="360" w:lineRule="auto"/>
        <w:ind w:firstLine="422"/>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2、开标一览表格式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69"/>
        <w:gridCol w:w="1701"/>
        <w:gridCol w:w="1843"/>
        <w:gridCol w:w="1275"/>
        <w:gridCol w:w="12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bookmarkStart w:id="35" w:name="开标一览表"/>
            <w:bookmarkEnd w:id="35"/>
            <w:r>
              <w:rPr>
                <w:rFonts w:hint="eastAsia" w:eastAsia="宋体"/>
                <w:color w:val="000000" w:themeColor="text1"/>
                <w:kern w:val="2"/>
                <w:sz w:val="21"/>
                <w:highlight w:val="none"/>
                <w14:textFill>
                  <w14:solidFill>
                    <w14:schemeClr w14:val="tx1"/>
                  </w14:solidFill>
                </w14:textFill>
              </w:rPr>
              <w:t>包号</w:t>
            </w:r>
          </w:p>
        </w:tc>
        <w:tc>
          <w:tcPr>
            <w:tcW w:w="167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项目名称</w:t>
            </w:r>
          </w:p>
        </w:tc>
        <w:tc>
          <w:tcPr>
            <w:tcW w:w="1813"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交付日期</w:t>
            </w:r>
          </w:p>
        </w:tc>
        <w:tc>
          <w:tcPr>
            <w:tcW w:w="124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质保期（年）</w:t>
            </w:r>
          </w:p>
        </w:tc>
        <w:tc>
          <w:tcPr>
            <w:tcW w:w="1230"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金额(元)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2797" w:hRule="atLeast"/>
          <w:tblCellSpacing w:w="15" w:type="dxa"/>
        </w:trPr>
        <w:tc>
          <w:tcPr>
            <w:tcW w:w="72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67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813" w:type="dxa"/>
            <w:tcBorders>
              <w:top w:val="outset" w:color="auto" w:sz="6" w:space="0"/>
              <w:left w:val="outset" w:color="auto" w:sz="6" w:space="0"/>
              <w:bottom w:val="outset" w:color="auto" w:sz="6" w:space="0"/>
              <w:right w:val="outset" w:color="auto" w:sz="6" w:space="0"/>
            </w:tcBorders>
            <w:vAlign w:val="center"/>
          </w:tcPr>
          <w:p>
            <w:pPr>
              <w:kinsoku w:val="0"/>
              <w:overflowPunct w:val="0"/>
              <w:spacing w:line="254"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14:textFill>
                  <w14:solidFill>
                    <w14:schemeClr w14:val="tx1"/>
                  </w14:solidFill>
                </w14:textFill>
              </w:rPr>
              <w:t>到货：合同签订后</w:t>
            </w: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天内；</w:t>
            </w: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p>
          <w:p>
            <w:pPr>
              <w:kinsoku w:val="0"/>
              <w:overflowPunct w:val="0"/>
              <w:spacing w:before="87"/>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pacing w:val="9"/>
                <w:sz w:val="21"/>
                <w:szCs w:val="21"/>
                <w:highlight w:val="none"/>
                <w14:textFill>
                  <w14:solidFill>
                    <w14:schemeClr w14:val="tx1"/>
                  </w14:solidFill>
                </w14:textFill>
              </w:rPr>
              <w:t>安装调试：设备到</w:t>
            </w:r>
            <w:r>
              <w:rPr>
                <w:rFonts w:hint="eastAsia" w:ascii="宋体" w:eastAsia="宋体" w:cs="宋体"/>
                <w:color w:val="000000" w:themeColor="text1"/>
                <w:sz w:val="21"/>
                <w:szCs w:val="21"/>
                <w:highlight w:val="none"/>
                <w14:textFill>
                  <w14:solidFill>
                    <w14:schemeClr w14:val="tx1"/>
                  </w14:solidFill>
                </w14:textFill>
              </w:rPr>
              <w:t>货后</w:t>
            </w: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天内；</w:t>
            </w:r>
          </w:p>
          <w:p>
            <w:pPr>
              <w:kinsoku w:val="0"/>
              <w:overflowPunct w:val="0"/>
              <w:spacing w:before="87"/>
              <w:ind w:left="14"/>
              <w:jc w:val="both"/>
              <w:rPr>
                <w:rFonts w:ascii="宋体" w:eastAsia="宋体" w:cs="宋体"/>
                <w:color w:val="000000" w:themeColor="text1"/>
                <w:sz w:val="21"/>
                <w:szCs w:val="21"/>
                <w:highlight w:val="none"/>
                <w14:textFill>
                  <w14:solidFill>
                    <w14:schemeClr w14:val="tx1"/>
                  </w14:solidFill>
                </w14:textFill>
              </w:rPr>
            </w:pPr>
          </w:p>
          <w:p>
            <w:pPr>
              <w:tabs>
                <w:tab w:val="left" w:pos="435"/>
              </w:tabs>
              <w:kinsoku w:val="0"/>
              <w:overflowPunct w:val="0"/>
              <w:spacing w:line="241" w:lineRule="exact"/>
              <w:ind w:left="14"/>
              <w:jc w:val="both"/>
              <w:rPr>
                <w:rFonts w:ascii="宋体" w:eastAsia="宋体" w:cs="宋体"/>
                <w:color w:val="000000" w:themeColor="text1"/>
                <w:sz w:val="21"/>
                <w:szCs w:val="21"/>
                <w:highlight w:val="none"/>
                <w14:textFill>
                  <w14:solidFill>
                    <w14:schemeClr w14:val="tx1"/>
                  </w14:solidFill>
                </w14:textFill>
              </w:rPr>
            </w:pPr>
            <w:r>
              <w:rPr>
                <w:rFonts w:hint="eastAsia" w:ascii="宋体" w:eastAsia="宋体" w:cs="宋体"/>
                <w:color w:val="000000" w:themeColor="text1"/>
                <w:spacing w:val="9"/>
                <w:sz w:val="21"/>
                <w:szCs w:val="21"/>
                <w:highlight w:val="none"/>
                <w14:textFill>
                  <w14:solidFill>
                    <w14:schemeClr w14:val="tx1"/>
                  </w14:solidFill>
                </w14:textFill>
              </w:rPr>
              <w:t>验收：安装调试完</w:t>
            </w:r>
            <w:r>
              <w:rPr>
                <w:rFonts w:hint="eastAsia" w:ascii="宋体" w:eastAsia="宋体" w:cs="宋体"/>
                <w:color w:val="000000" w:themeColor="text1"/>
                <w:sz w:val="21"/>
                <w:szCs w:val="21"/>
                <w:highlight w:val="none"/>
                <w14:textFill>
                  <w14:solidFill>
                    <w14:schemeClr w14:val="tx1"/>
                  </w14:solidFill>
                </w14:textFill>
              </w:rPr>
              <w:t>成后，稳定运行</w:t>
            </w:r>
          </w:p>
          <w:p>
            <w:pPr>
              <w:tabs>
                <w:tab w:val="left" w:pos="435"/>
              </w:tabs>
              <w:kinsoku w:val="0"/>
              <w:overflowPunct w:val="0"/>
              <w:spacing w:line="241" w:lineRule="exact"/>
              <w:ind w:left="14"/>
              <w:jc w:val="both"/>
              <w:rPr>
                <w:rFonts w:eastAsia="宋体"/>
                <w:color w:val="000000" w:themeColor="text1"/>
                <w:highlight w:val="none"/>
                <w14:textFill>
                  <w14:solidFill>
                    <w14:schemeClr w14:val="tx1"/>
                  </w14:solidFill>
                </w14:textFill>
              </w:rPr>
            </w:pPr>
            <w:r>
              <w:rPr>
                <w:rFonts w:hint="eastAsia" w:ascii="宋体" w:eastAsia="宋体" w:cs="宋体"/>
                <w:color w:val="000000" w:themeColor="text1"/>
                <w:sz w:val="21"/>
                <w:szCs w:val="21"/>
                <w:highlight w:val="none"/>
                <w:u w:val="single"/>
                <w14:textFill>
                  <w14:solidFill>
                    <w14:schemeClr w14:val="tx1"/>
                  </w14:solidFill>
                </w14:textFill>
              </w:rPr>
              <w:t xml:space="preserve">    </w:t>
            </w:r>
            <w:r>
              <w:rPr>
                <w:rFonts w:hint="eastAsia" w:ascii="宋体" w:eastAsia="宋体" w:cs="宋体"/>
                <w:color w:val="000000" w:themeColor="text1"/>
                <w:sz w:val="21"/>
                <w:szCs w:val="21"/>
                <w:highlight w:val="none"/>
                <w14:textFill>
                  <w14:solidFill>
                    <w14:schemeClr w14:val="tx1"/>
                  </w14:solidFill>
                </w14:textFill>
              </w:rPr>
              <w:t>天进行验收；</w:t>
            </w:r>
          </w:p>
        </w:tc>
        <w:tc>
          <w:tcPr>
            <w:tcW w:w="1245" w:type="dxa"/>
            <w:tcBorders>
              <w:top w:val="outset" w:color="auto" w:sz="6" w:space="0"/>
              <w:left w:val="outset" w:color="auto" w:sz="6" w:space="0"/>
              <w:bottom w:val="outset" w:color="auto" w:sz="6" w:space="0"/>
              <w:right w:val="outset" w:color="auto" w:sz="6" w:space="0"/>
            </w:tcBorders>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230"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bl>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说明：（1）“金额（元）”指本项目的投标报价，所有价格均系用人民币表示，单位为元，精确到个数位。</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（2）投标人应按照《项目概况及招标需求》和《投标人须知》的要求报价。</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（3）开标一览表内容与投标文件其它部分内容不一致时以开标一览表内容为准。</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5408"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5408;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A1InErtAQAA2gMAAA4AAABkcnMvZTJvRG9jLnhtbK1TzW4T&#10;MRC+I/EOlu9kN0GFdpVNDw3lgiAS8AAT25u15D953GzyErwAEjc4ceTO27Q8BmNvmkK55MAevGPP&#10;zDfzfR7PL3fWsK2KqL1r+XRSc6ac8FK7Tcs/frh+ds4ZJnASjHeq5XuF/HLx9Ml8CI2a+d4bqSIj&#10;EIfNEFrepxSaqkLRKws48UE5cnY+Wki0jZtKRhgI3ZpqVtcvqsFHGaIXCpFOl6OTHxDjKYC+67RQ&#10;Sy9urHJpRI3KQCJK2OuAfFG67Tol0ruuQ5WYaTkxTWWlImSv81ot5tBsIoRei0MLcEoLjzhZ0I6K&#10;HqGWkIDdRP0PlNUievRdmghvq5FIUYRYTOtH2rzvIajChaTGcBQd/x+seLtdRaYlTcJzzhxYuvG7&#10;zz9uP3399fMLrXffvzHykExDwIair9wqHnYYVjFz3nXR5j+xYbsi7f4ordolJuhwelGfT1+ecSbu&#10;fdVDYoiYXitvWTZabrTLrKGB7RtMVIxC70PysXFsaPnF2SzDAY1gR1dPpg1EA92m5KI3Wl5rY3IG&#10;xs36ykS2hTwG5cuUCPevsFxkCdiPccU1DkivQL5ykqV9IH0cvQueW7BKcmYUPaNsESA0CbQ5JZJK&#10;G0cdZFVHHbO19nJf5C3ndOWlx8N45pn6c1+yH57k4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DUicSu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6432"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66432;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CUhLajuAQAA2gMAAA4AAABkcnMvZTJvRG9jLnhtbK1TvY4T&#10;MRDukXgHyz3ZvUCAW2VzxYWjQRAJeICJ7c1a8p88vmzyErwAEh1UlPT3NhyPwdiby8HRpGAL79gz&#10;8818n8fzi501bKsiau9afjapOVNOeKndpuUfP1w9eckZJnASjHeq5XuF/GLx+NF8CI2a+t4bqSIj&#10;EIfNEFrepxSaqkLRKws48UE5cnY+Wki0jZtKRhgI3ZpqWtfPq8FHGaIXCpFOl6OTHxDjKYC+67RQ&#10;Sy+urXJpRI3KQCJK2OuAfFG67Tol0ruuQ5WYaTkxTWWlImSv81ot5tBsIoRei0MLcEoLDzhZ0I6K&#10;HqGWkIBdR/0PlNUievRdmghvq5FIUYRYnNUPtHnfQ1CFC0mN4Sg6/j9Y8Xa7ikxLmoRnnDmwdOO3&#10;n3/8/PT1180XWm+/f2PkIZmGgA1FX7pVPOwwrGLmvOuizX9iw3ZF2v1RWrVLTNDh9Gn9YnZOqos7&#10;X3WfGCKm18pblo2WG+0ya2hg+wYTFaPQu5B8bBwbWn4+m84IDmgEO7p6Mm0gGug2JRe90fJKG5Mz&#10;MG7WlyayLeQxKF+mRLh/heUiS8B+jCuucUB6BfKVkyztA+nj6F3w3IJVkjOj6BlliwChSaDNKZFU&#10;2jjqIKs66pittZf7Im85pysvPR7GM8/Un/uSff8kF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CUhLaj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eastAsia="宋体"/>
          <w:color w:val="000000" w:themeColor="text1"/>
          <w:kern w:val="2"/>
          <w:sz w:val="21"/>
          <w:highlight w:val="none"/>
          <w14:textFill>
            <w14:solidFill>
              <w14:schemeClr w14:val="tx1"/>
            </w14:solidFill>
          </w14:textFill>
        </w:rPr>
      </w:pPr>
    </w:p>
    <w:p>
      <w:pPr>
        <w:widowControl/>
        <w:spacing w:line="360" w:lineRule="auto"/>
        <w:rPr>
          <w:rFonts w:ascii="宋体" w:hAnsi="宋体"/>
          <w:color w:val="000000" w:themeColor="text1"/>
          <w:szCs w:val="21"/>
          <w:highlight w:val="none"/>
          <w14:textFill>
            <w14:solidFill>
              <w14:schemeClr w14:val="tx1"/>
            </w14:solidFill>
          </w14:textFill>
        </w:rPr>
        <w:sectPr>
          <w:pgSz w:w="11906" w:h="16838"/>
          <w:pgMar w:top="1440" w:right="1797" w:bottom="1440" w:left="1797" w:header="851" w:footer="992" w:gutter="0"/>
          <w:cols w:space="720" w:num="1"/>
          <w:docGrid w:linePitch="312" w:charSpace="0"/>
        </w:sectPr>
      </w:pP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3、分项报价表格式</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p>
    <w:p>
      <w:pPr>
        <w:autoSpaceDE/>
        <w:autoSpaceDN/>
        <w:spacing w:line="360" w:lineRule="atLeast"/>
        <w:ind w:firstLine="482"/>
        <w:jc w:val="center"/>
        <w:textAlignment w:val="baseline"/>
        <w:rPr>
          <w:rFonts w:eastAsia="宋体"/>
          <w:b/>
          <w:color w:val="000000" w:themeColor="text1"/>
          <w:szCs w:val="20"/>
          <w:highlight w:val="none"/>
          <w14:textFill>
            <w14:solidFill>
              <w14:schemeClr w14:val="tx1"/>
            </w14:solidFill>
          </w14:textFill>
        </w:rPr>
      </w:pPr>
      <w:r>
        <w:rPr>
          <w:rFonts w:eastAsia="宋体"/>
          <w:b/>
          <w:color w:val="000000" w:themeColor="text1"/>
          <w:szCs w:val="20"/>
          <w:highlight w:val="none"/>
          <w14:textFill>
            <w14:solidFill>
              <w14:schemeClr w14:val="tx1"/>
            </w14:solidFill>
          </w14:textFill>
        </w:rPr>
        <w:t>投标分项报价表</w:t>
      </w:r>
    </w:p>
    <w:p>
      <w:pPr>
        <w:autoSpaceDE/>
        <w:autoSpaceDN/>
        <w:spacing w:line="360" w:lineRule="atLeast"/>
        <w:ind w:firstLine="482"/>
        <w:jc w:val="center"/>
        <w:textAlignment w:val="baseline"/>
        <w:rPr>
          <w:rFonts w:eastAsia="宋体"/>
          <w:b/>
          <w:color w:val="000000" w:themeColor="text1"/>
          <w:szCs w:val="20"/>
          <w:highlight w:val="none"/>
          <w14:textFill>
            <w14:solidFill>
              <w14:schemeClr w14:val="tx1"/>
            </w14:solidFill>
          </w14:textFill>
        </w:rPr>
      </w:pPr>
    </w:p>
    <w:p>
      <w:pPr>
        <w:tabs>
          <w:tab w:val="left" w:pos="4305"/>
          <w:tab w:val="left" w:pos="7335"/>
        </w:tabs>
        <w:autoSpaceDE/>
        <w:autoSpaceDN/>
        <w:spacing w:line="360" w:lineRule="atLeast"/>
        <w:jc w:val="both"/>
        <w:textAlignment w:val="baseline"/>
        <w:rPr>
          <w:rFonts w:eastAsia="宋体"/>
          <w:color w:val="000000" w:themeColor="text1"/>
          <w:sz w:val="21"/>
          <w:szCs w:val="21"/>
          <w:highlight w:val="none"/>
          <w14:textFill>
            <w14:solidFill>
              <w14:schemeClr w14:val="tx1"/>
            </w14:solidFill>
          </w14:textFill>
        </w:rPr>
      </w:pPr>
      <w:r>
        <w:rPr>
          <w:rFonts w:eastAsia="宋体"/>
          <w:color w:val="000000" w:themeColor="text1"/>
          <w:sz w:val="21"/>
          <w:szCs w:val="21"/>
          <w:highlight w:val="none"/>
          <w14:textFill>
            <w14:solidFill>
              <w14:schemeClr w14:val="tx1"/>
            </w14:solidFill>
          </w14:textFill>
        </w:rPr>
        <w:t>招标编号：_________</w:t>
      </w:r>
    </w:p>
    <w:p>
      <w:pPr>
        <w:autoSpaceDE/>
        <w:autoSpaceDN/>
        <w:spacing w:line="120" w:lineRule="exact"/>
        <w:jc w:val="both"/>
        <w:textAlignment w:val="baseline"/>
        <w:rPr>
          <w:rFonts w:eastAsia="仿宋_GB2312"/>
          <w:color w:val="000000" w:themeColor="text1"/>
          <w:sz w:val="30"/>
          <w:szCs w:val="20"/>
          <w:highlight w:val="none"/>
          <w14:textFill>
            <w14:solidFill>
              <w14:schemeClr w14:val="tx1"/>
            </w14:solidFill>
          </w14:textFill>
        </w:rPr>
      </w:pPr>
    </w:p>
    <w:tbl>
      <w:tblPr>
        <w:tblStyle w:val="19"/>
        <w:tblW w:w="896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49"/>
        <w:gridCol w:w="2198"/>
        <w:gridCol w:w="1325"/>
        <w:gridCol w:w="851"/>
        <w:gridCol w:w="992"/>
        <w:gridCol w:w="1403"/>
        <w:gridCol w:w="13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tblHeader/>
          <w:jc w:val="center"/>
        </w:trPr>
        <w:tc>
          <w:tcPr>
            <w:tcW w:w="849"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序号</w:t>
            </w:r>
          </w:p>
        </w:tc>
        <w:tc>
          <w:tcPr>
            <w:tcW w:w="2198"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名称</w:t>
            </w:r>
          </w:p>
        </w:tc>
        <w:tc>
          <w:tcPr>
            <w:tcW w:w="1325"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型号和规格</w:t>
            </w:r>
          </w:p>
        </w:tc>
        <w:tc>
          <w:tcPr>
            <w:tcW w:w="851"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制造商名称</w:t>
            </w:r>
          </w:p>
        </w:tc>
        <w:tc>
          <w:tcPr>
            <w:tcW w:w="992"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数量</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（a）</w:t>
            </w:r>
          </w:p>
        </w:tc>
        <w:tc>
          <w:tcPr>
            <w:tcW w:w="1403"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单价</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(b)</w:t>
            </w:r>
          </w:p>
        </w:tc>
        <w:tc>
          <w:tcPr>
            <w:tcW w:w="1351" w:type="dxa"/>
            <w:tcBorders>
              <w:top w:val="single" w:color="auto" w:sz="12" w:space="0"/>
              <w:bottom w:val="double" w:color="auto" w:sz="6" w:space="0"/>
            </w:tcBorders>
            <w:vAlign w:val="center"/>
          </w:tcPr>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总价</w:t>
            </w:r>
          </w:p>
          <w:p>
            <w:pPr>
              <w:autoSpaceDE/>
              <w:autoSpaceDN/>
              <w:spacing w:after="60" w:line="360" w:lineRule="atLeast"/>
              <w:ind w:left="57" w:right="57"/>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(a)×(</w:t>
            </w:r>
            <w:r>
              <w:rPr>
                <w:rFonts w:hint="eastAsia" w:ascii="宋体" w:hAnsi="宋体" w:eastAsia="宋体"/>
                <w:color w:val="000000" w:themeColor="text1"/>
                <w:sz w:val="21"/>
                <w:szCs w:val="20"/>
                <w:highlight w:val="none"/>
                <w14:textFill>
                  <w14:solidFill>
                    <w14:schemeClr w14:val="tx1"/>
                  </w14:solidFill>
                </w14:textFill>
              </w:rPr>
              <w:t>b</w:t>
            </w:r>
            <w:r>
              <w:rPr>
                <w:rFonts w:ascii="宋体" w:hAnsi="宋体" w:eastAsia="宋体"/>
                <w:color w:val="000000" w:themeColor="text1"/>
                <w:sz w:val="21"/>
                <w:szCs w:val="20"/>
                <w:highlight w:val="none"/>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849" w:type="dxa"/>
            <w:vAlign w:val="center"/>
          </w:tcPr>
          <w:p>
            <w:pPr>
              <w:jc w:val="center"/>
              <w:rPr>
                <w:rFonts w:eastAsia="宋体"/>
                <w:color w:val="000000" w:themeColor="text1"/>
                <w:sz w:val="22"/>
                <w:szCs w:val="22"/>
                <w:highlight w:val="none"/>
                <w:lang w:eastAsia="en-US"/>
                <w14:textFill>
                  <w14:solidFill>
                    <w14:schemeClr w14:val="tx1"/>
                  </w14:solidFill>
                </w14:textFill>
              </w:rPr>
            </w:pPr>
            <w:r>
              <w:rPr>
                <w:rFonts w:eastAsia="宋体"/>
                <w:color w:val="000000" w:themeColor="text1"/>
                <w:sz w:val="22"/>
                <w:szCs w:val="22"/>
                <w:highlight w:val="none"/>
                <w:lang w:eastAsia="en-US"/>
                <w14:textFill>
                  <w14:solidFill>
                    <w14:schemeClr w14:val="tx1"/>
                  </w14:solidFill>
                </w14:textFill>
              </w:rPr>
              <w:t>1</w:t>
            </w:r>
          </w:p>
        </w:tc>
        <w:tc>
          <w:tcPr>
            <w:tcW w:w="2198" w:type="dxa"/>
            <w:vAlign w:val="center"/>
          </w:tcPr>
          <w:p>
            <w:pP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GPU服务器</w:t>
            </w:r>
          </w:p>
        </w:tc>
        <w:tc>
          <w:tcPr>
            <w:tcW w:w="1325"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8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992" w:type="dxa"/>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1台</w:t>
            </w:r>
          </w:p>
        </w:tc>
        <w:tc>
          <w:tcPr>
            <w:tcW w:w="1403"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849" w:type="dxa"/>
            <w:vAlign w:val="center"/>
          </w:tcPr>
          <w:p>
            <w:pPr>
              <w:jc w:val="cente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2</w:t>
            </w:r>
          </w:p>
        </w:tc>
        <w:tc>
          <w:tcPr>
            <w:tcW w:w="2198" w:type="dxa"/>
            <w:vAlign w:val="center"/>
          </w:tcPr>
          <w:p>
            <w:pPr>
              <w:rPr>
                <w:rFonts w:eastAsia="宋体"/>
                <w:color w:val="000000" w:themeColor="text1"/>
                <w:sz w:val="22"/>
                <w:szCs w:val="22"/>
                <w:highlight w:val="none"/>
                <w14:textFill>
                  <w14:solidFill>
                    <w14:schemeClr w14:val="tx1"/>
                  </w14:solidFill>
                </w14:textFill>
              </w:rPr>
            </w:pPr>
            <w:r>
              <w:rPr>
                <w:rFonts w:hint="eastAsia" w:eastAsia="宋体"/>
                <w:color w:val="000000" w:themeColor="text1"/>
                <w:sz w:val="22"/>
                <w:szCs w:val="22"/>
                <w:highlight w:val="none"/>
                <w14:textFill>
                  <w14:solidFill>
                    <w14:schemeClr w14:val="tx1"/>
                  </w14:solidFill>
                </w14:textFill>
              </w:rPr>
              <w:t>1U  AI/HPC高性能计算资源分配系统</w:t>
            </w:r>
          </w:p>
        </w:tc>
        <w:tc>
          <w:tcPr>
            <w:tcW w:w="1325"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8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992" w:type="dxa"/>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1套</w:t>
            </w:r>
          </w:p>
        </w:tc>
        <w:tc>
          <w:tcPr>
            <w:tcW w:w="1403"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4" w:hRule="atLeast"/>
          <w:jc w:val="center"/>
        </w:trPr>
        <w:tc>
          <w:tcPr>
            <w:tcW w:w="7618" w:type="dxa"/>
            <w:gridSpan w:val="6"/>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r>
              <w:rPr>
                <w:rFonts w:ascii="宋体" w:hAnsi="宋体" w:eastAsia="宋体"/>
                <w:color w:val="000000" w:themeColor="text1"/>
                <w:sz w:val="21"/>
                <w:szCs w:val="20"/>
                <w:highlight w:val="none"/>
                <w14:textFill>
                  <w14:solidFill>
                    <w14:schemeClr w14:val="tx1"/>
                  </w14:solidFill>
                </w14:textFill>
              </w:rPr>
              <w:t>总计</w:t>
            </w:r>
          </w:p>
        </w:tc>
        <w:tc>
          <w:tcPr>
            <w:tcW w:w="1351" w:type="dxa"/>
            <w:vAlign w:val="center"/>
          </w:tcPr>
          <w:p>
            <w:pPr>
              <w:autoSpaceDE/>
              <w:autoSpaceDN/>
              <w:spacing w:after="60" w:line="360" w:lineRule="atLeast"/>
              <w:ind w:left="72" w:leftChars="30" w:right="72" w:rightChars="30"/>
              <w:jc w:val="center"/>
              <w:textAlignment w:val="baseline"/>
              <w:rPr>
                <w:rFonts w:ascii="宋体" w:hAnsi="宋体" w:eastAsia="宋体"/>
                <w:color w:val="000000" w:themeColor="text1"/>
                <w:sz w:val="21"/>
                <w:szCs w:val="20"/>
                <w:highlight w:val="none"/>
                <w14:textFill>
                  <w14:solidFill>
                    <w14:schemeClr w14:val="tx1"/>
                  </w14:solidFill>
                </w14:textFill>
              </w:rPr>
            </w:pPr>
          </w:p>
        </w:tc>
      </w:tr>
    </w:tbl>
    <w:p>
      <w:pPr>
        <w:autoSpaceDE/>
        <w:autoSpaceDN/>
        <w:spacing w:line="360" w:lineRule="atLeast"/>
        <w:ind w:right="-334" w:rightChars="-139"/>
        <w:jc w:val="both"/>
        <w:textAlignment w:val="baseline"/>
        <w:rPr>
          <w:rFonts w:eastAsia="仿宋_GB2312"/>
          <w:color w:val="000000" w:themeColor="text1"/>
          <w:szCs w:val="20"/>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spacing w:line="120" w:lineRule="exact"/>
        <w:jc w:val="both"/>
        <w:textAlignment w:val="baseline"/>
        <w:rPr>
          <w:rFonts w:eastAsia="仿宋_GB2312"/>
          <w:color w:val="000000" w:themeColor="text1"/>
          <w:sz w:val="30"/>
          <w:szCs w:val="20"/>
          <w:highlight w:val="none"/>
          <w14:textFill>
            <w14:solidFill>
              <w14:schemeClr w14:val="tx1"/>
            </w14:solidFill>
          </w14:textFill>
        </w:rPr>
      </w:pPr>
    </w:p>
    <w:p>
      <w:pPr>
        <w:autoSpaceDE/>
        <w:autoSpaceDN/>
        <w:spacing w:line="360" w:lineRule="atLeast"/>
        <w:ind w:left="434" w:leftChars="6" w:hanging="420"/>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注：1. 如果按单价计算的结果与总价不一致，以单价为准修正总价（明显的小数点错位除外）。</w:t>
      </w:r>
    </w:p>
    <w:p>
      <w:pPr>
        <w:autoSpaceDE/>
        <w:autoSpaceDN/>
        <w:spacing w:line="360" w:lineRule="atLeast"/>
        <w:ind w:left="434" w:leftChars="181"/>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2. 如果不提供详细分项报价将视为没有实质性响应招标文件。</w:t>
      </w:r>
    </w:p>
    <w:p>
      <w:pPr>
        <w:autoSpaceDE/>
        <w:autoSpaceDN/>
        <w:spacing w:line="360" w:lineRule="atLeast"/>
        <w:ind w:left="434" w:leftChars="181"/>
        <w:jc w:val="both"/>
        <w:textAlignment w:val="baseline"/>
        <w:rPr>
          <w:rFonts w:eastAsia="宋体"/>
          <w:color w:val="000000" w:themeColor="text1"/>
          <w:sz w:val="21"/>
          <w:szCs w:val="20"/>
          <w:highlight w:val="none"/>
          <w14:textFill>
            <w14:solidFill>
              <w14:schemeClr w14:val="tx1"/>
            </w14:solidFill>
          </w14:textFill>
        </w:rPr>
      </w:pPr>
      <w:r>
        <w:rPr>
          <w:rFonts w:eastAsia="宋体"/>
          <w:color w:val="000000" w:themeColor="text1"/>
          <w:sz w:val="21"/>
          <w:szCs w:val="20"/>
          <w:highlight w:val="none"/>
          <w14:textFill>
            <w14:solidFill>
              <w14:schemeClr w14:val="tx1"/>
            </w14:solidFill>
          </w14:textFill>
        </w:rPr>
        <w:t>3．投标人必须根据技术规格自行编制备品</w:t>
      </w:r>
      <w:r>
        <w:rPr>
          <w:rFonts w:hint="eastAsia" w:eastAsia="宋体"/>
          <w:color w:val="000000" w:themeColor="text1"/>
          <w:sz w:val="21"/>
          <w:szCs w:val="20"/>
          <w:highlight w:val="none"/>
          <w14:textFill>
            <w14:solidFill>
              <w14:schemeClr w14:val="tx1"/>
            </w14:solidFill>
          </w14:textFill>
        </w:rPr>
        <w:t>备件</w:t>
      </w:r>
      <w:r>
        <w:rPr>
          <w:rFonts w:eastAsia="宋体"/>
          <w:color w:val="000000" w:themeColor="text1"/>
          <w:sz w:val="21"/>
          <w:szCs w:val="20"/>
          <w:highlight w:val="none"/>
          <w14:textFill>
            <w14:solidFill>
              <w14:schemeClr w14:val="tx1"/>
            </w14:solidFill>
          </w14:textFill>
        </w:rPr>
        <w:t xml:space="preserve">报价明细表，且承诺质保期满后三年内以此单价向招标人提供备品备件。 </w:t>
      </w:r>
    </w:p>
    <w:p>
      <w:pPr>
        <w:autoSpaceDE/>
        <w:autoSpaceDN/>
        <w:spacing w:line="360" w:lineRule="atLeast"/>
        <w:ind w:left="434" w:leftChars="181"/>
        <w:jc w:val="both"/>
        <w:textAlignment w:val="baseline"/>
        <w:rPr>
          <w:rFonts w:ascii="宋体" w:hAnsi="宋体" w:eastAsia="宋体"/>
          <w:b/>
          <w:color w:val="000000" w:themeColor="text1"/>
          <w:kern w:val="2"/>
          <w:sz w:val="21"/>
          <w:szCs w:val="21"/>
          <w:highlight w:val="none"/>
          <w14:textFill>
            <w14:solidFill>
              <w14:schemeClr w14:val="tx1"/>
            </w14:solidFill>
          </w14:textFill>
        </w:rPr>
      </w:pPr>
      <w:r>
        <w:rPr>
          <w:rFonts w:hint="eastAsia" w:eastAsia="宋体"/>
          <w:color w:val="000000" w:themeColor="text1"/>
          <w:sz w:val="21"/>
          <w:szCs w:val="20"/>
          <w:highlight w:val="none"/>
          <w14:textFill>
            <w14:solidFill>
              <w14:schemeClr w14:val="tx1"/>
            </w14:solidFill>
          </w14:textFill>
        </w:rPr>
        <w:t>4. 单台设备金额超过50万元的投标不予接受。</w:t>
      </w:r>
    </w:p>
    <w:p>
      <w:pPr>
        <w:autoSpaceDE/>
        <w:autoSpaceDN/>
        <w:adjustRightInd/>
        <w:spacing w:line="360" w:lineRule="auto"/>
        <w:jc w:val="center"/>
        <w:rPr>
          <w:rFonts w:eastAsia="宋体"/>
          <w:b/>
          <w:color w:val="000000" w:themeColor="text1"/>
          <w:kern w:val="2"/>
          <w:sz w:val="21"/>
          <w:highlight w:val="none"/>
          <w14:textFill>
            <w14:solidFill>
              <w14:schemeClr w14:val="tx1"/>
            </w14:solidFill>
          </w14:textFill>
        </w:rPr>
      </w:pPr>
      <w:r>
        <w:rPr>
          <w:rFonts w:ascii="宋体" w:hAnsi="宋体" w:eastAsia="宋体"/>
          <w:b/>
          <w:color w:val="000000" w:themeColor="text1"/>
          <w:kern w:val="2"/>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4、</w:t>
      </w:r>
      <w:r>
        <w:rPr>
          <w:rFonts w:hint="eastAsia" w:eastAsia="宋体"/>
          <w:b/>
          <w:color w:val="000000" w:themeColor="text1"/>
          <w:kern w:val="2"/>
          <w:sz w:val="21"/>
          <w:highlight w:val="none"/>
          <w14:textFill>
            <w14:solidFill>
              <w14:schemeClr w14:val="tx1"/>
            </w14:solidFill>
          </w14:textFill>
        </w:rPr>
        <w:t>资格条件响应表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p>
      <w:pPr>
        <w:autoSpaceDE/>
        <w:autoSpaceDN/>
        <w:adjustRightInd/>
        <w:jc w:val="both"/>
        <w:rPr>
          <w:rFonts w:eastAsia="宋体"/>
          <w:color w:val="000000" w:themeColor="text1"/>
          <w:kern w:val="2"/>
          <w:sz w:val="21"/>
          <w:highlight w:val="none"/>
          <w14:textFill>
            <w14:solidFill>
              <w14:schemeClr w14:val="tx1"/>
            </w14:solidFill>
          </w14:textFill>
        </w:rPr>
      </w:pP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bookmarkStart w:id="36" w:name="招标文件编制要求"/>
            <w:bookmarkEnd w:id="36"/>
            <w:r>
              <w:rPr>
                <w:rFonts w:hint="eastAsia" w:eastAsia="宋体"/>
                <w:color w:val="000000" w:themeColor="text1"/>
                <w:kern w:val="2"/>
                <w:sz w:val="2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法定基本条件</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符合《中华人民共和国政府采购法》第二十二条规定的条件：营业执照（或事业单位、社会团体法人证书）、税务登记证（若为多证合一的，仅需提供营业执照）符合要求，提供财务情况、依法缴纳税收和社会保障资金及参加政府采购活动前三年内在经营活动中没有重大违法记录的书面声明。</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2、未被列入“信用中国”网站(www.creditchina.gov.cn)失信被执行人名单、重大税收违法案件当事人名单和中国政府采购网(www.ccgp.gov.cn)政府采购严重违法失信行为记录名单的供应商。</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投标人资质</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满足招标公告及投标人须知中合格的投标人必须具备的资质条件</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5"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联合投标</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不接受联合投标。</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投标保证金</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ind w:firstLine="33" w:firstLineChars="16"/>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是否按规定提交</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bl>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7696"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5" name="直接连接符 15"/>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7696;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OMEkVTtAQAA2gMAAA4AAABkcnMvZTJvRG9jLnhtbK1TzW4T&#10;MRC+I/EOlu9kN5EK7SqbHhrKBUEk4AEmtjdryX/yuNnkJXgBJG5w4sidt6E8BmNvmtL2kgN78I49&#10;M9/M93k8v9xZw7Yqovau5dNJzZlywkvtNi3/9PH6xTlnmMBJMN6plu8V8svF82fzITRq5ntvpIqM&#10;QBw2Q2h5n1JoqgpFryzgxAflyNn5aCHRNm4qGWEgdGuqWV2/rAYfZYheKEQ6XY5OfkCMpwD6rtNC&#10;Lb24scqlETUqA4koYa8D8kXptuuUSO+7DlVipuXENJWVipC9zmu1mEOziRB6LQ4twCktPOJkQTsq&#10;eoRaQgJ2E/UTKKtF9Oi7NBHeViORogixmNaPtPnQQ1CFC0mN4Sg6/j9Y8W67ikxLmoQzzhxYuvHb&#10;Lz9/f/7259dXWm9/fGfkIZmGgA1FX7lVPOwwrGLmvOuizX9iw3ZF2v1RWrVLTNDh9KI+n76iEuLO&#10;V90nhojpjfKWZaPlRrvMGhrYvsVExSj0LiQfG8eGll+czTIc0Ah2dPVk2kA00G1KLnqj5bU2Jmdg&#10;3KyvTGRbyGNQvkyJcB+E5SJLwH6MK65xQHoF8rWTLO0D6ePoXfDcglWSM6PoGWWLAKFJoM0pkVTa&#10;OOogqzrqmK21l/sibzmnKy89HsYzz9S/+5J9/yQX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4wSRVO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8720"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872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FKHK6fuAQAA2gMAAA4AAABkcnMvZTJvRG9jLnhtbK1TzW4T&#10;MRC+I/EOlu9kt0GhdJVNDw3lgiAS8AAT25u15D953GzyErwAEjc4ceTO27Q8BmNvmkK55MAevGPP&#10;zDfzfR7PL3fWsK2KqL1r+dmk5kw54aV2m5Z//HD97CVnmMBJMN6plu8V8svF0yfzITRq6ntvpIqM&#10;QBw2Q2h5n1JoqgpFryzgxAflyNn5aCHRNm4qGWEgdGuqaV2/qAYfZYheKEQ6XY5OfkCMpwD6rtNC&#10;Lb24scqlETUqA4koYa8D8kXptuuUSO+6DlVipuXENJWVipC9zmu1mEOziRB6LQ4twCktPOJkQTsq&#10;eoRaQgJ2E/U/UFaL6NF3aSK8rUYiRRFicVY/0uZ9D0EVLiQ1hqPo+P9gxdvtKjItaRLOOXNg6cbv&#10;Pv+4/fT1188vtN59/8bIQzINARuKvnKreNhhWMXMeddFm//Ehu2KtPujtGqXmKDD6fP6fHZBqot7&#10;X/WQGCKm18pblo2WG+0ya2hg+wYTFaPQ+5B8bBwbWn4xm84IDmgEO7p6Mm0gGug2JRe90fJaG5Mz&#10;MG7WVyayLeQxKF+mRLh/heUiS8B+jCuucUB6BfKVkyztA+nj6F3w3IJVkjOj6BlliwChSaDNKZFU&#10;2jjqIKs66pittZf7Im85pysvPR7GM8/Un/uS/fAkF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FKHK6f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eastAsia="宋体"/>
          <w:color w:val="000000" w:themeColor="text1"/>
          <w:kern w:val="2"/>
          <w:sz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      年      月      日</w:t>
      </w:r>
    </w:p>
    <w:p>
      <w:pPr>
        <w:autoSpaceDE/>
        <w:autoSpaceDN/>
        <w:adjustRightInd/>
        <w:spacing w:line="360" w:lineRule="auto"/>
        <w:jc w:val="center"/>
        <w:rPr>
          <w:rFonts w:eastAsia="宋体"/>
          <w:b/>
          <w:color w:val="000000" w:themeColor="text1"/>
          <w:kern w:val="2"/>
          <w:sz w:val="21"/>
          <w:highlight w:val="none"/>
          <w14:textFill>
            <w14:solidFill>
              <w14:schemeClr w14:val="tx1"/>
            </w14:solidFill>
          </w14:textFill>
        </w:rPr>
      </w:pPr>
      <w:r>
        <w:rPr>
          <w:rFonts w:eastAsia="宋体"/>
          <w:color w:val="000000" w:themeColor="text1"/>
          <w:sz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5、</w:t>
      </w:r>
      <w:r>
        <w:rPr>
          <w:rFonts w:hint="eastAsia" w:eastAsia="宋体"/>
          <w:b/>
          <w:color w:val="000000" w:themeColor="text1"/>
          <w:kern w:val="2"/>
          <w:sz w:val="21"/>
          <w:highlight w:val="none"/>
          <w14:textFill>
            <w14:solidFill>
              <w14:schemeClr w14:val="tx1"/>
            </w14:solidFill>
          </w14:textFill>
        </w:rPr>
        <w:t>实质性要求响应表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tbl>
      <w:tblPr>
        <w:tblStyle w:val="19"/>
        <w:tblW w:w="8779"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73"/>
        <w:gridCol w:w="5349"/>
        <w:gridCol w:w="1015"/>
        <w:gridCol w:w="1095"/>
        <w:gridCol w:w="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项目内容（资格条件、实质性要求）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具备的条件说明（要求）</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投标检查项（响应内容说明(是/否)）</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投标文件内容、密封、签署等要求</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符合招标文件规定：</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1）、投标文件按招标文件规定格式提供投标函、开标一览表、资格条件及实质性要求响应表；</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2）、投标文件按招标文件要求密封；</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3）、投标文件由法定代表人或授权代表签字（或盖章）并加盖投标人公章；</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4）、在投标文件由法定代表人授权代表签字（或盖章）的情况下，应按招标文件规定格式提供法定代表人授权委托书。</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投标有效期</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符合招标文件规定：不少于90天。</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投标报价</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1、不得进行选择性报价（投标报价应是唯一的，招标文件要求提供备选方案的除外）；</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2、不得进行可变的或者附有条件的投标报价；</w:t>
            </w:r>
          </w:p>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3、投标报价不得超出招标文件标明的采购预算金额或项目最高限价；</w:t>
            </w:r>
          </w:p>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4、不得低于成本报价。</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1" w:hRule="atLeast"/>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交付日期</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ind w:firstLine="33" w:firstLineChars="16"/>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75天（包括：签订合同后60天内设备全部到货，设备到货后10天内完成安装调试，安装调试完成后稳定运行5天方满足验收条件）。</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合同转让与分包</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合同不得转让与分包。</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公平竞争和诚实信用</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不得存在腐败、欺诈或其他严重违背公平竞争和诚实信用原则、扰乱政府采购正常秩序的行为。</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928"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实质性响应</w:t>
            </w:r>
          </w:p>
        </w:tc>
        <w:tc>
          <w:tcPr>
            <w:tcW w:w="531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招标文件中加注星号（“★”）的条款、参数、指标或要求均系实质性要求条款；如果投标人提供的货物或服务，或者投标人承诺的相关条件不满足此类要求，其相应的投标将被否决。</w:t>
            </w:r>
          </w:p>
        </w:tc>
        <w:tc>
          <w:tcPr>
            <w:tcW w:w="98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1065"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30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bl>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9744"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19" name="直接连接符 19"/>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974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D+di2jtAQAA2gMAAA4AAABkcnMvZTJvRG9jLnhtbK1TvY4T&#10;MRDukXgHyz3ZTaSDyyqbKy4cDYJIwANMbG/Wkv/k8WWTl+AFkOigoqTnbTgeg7E3l4OjScEW3rFn&#10;5pv5Po8XV3tr2E5F1N61fDqpOVNOeKndtuUf3t88u+QMEzgJxjvV8oNCfrV8+mQxhEbNfO+NVJER&#10;iMNmCC3vUwpNVaHolQWc+KAcOTsfLSTaxm0lIwyEbk01q+vn1eCjDNELhUinq9HJj4jxHEDfdVqo&#10;lRe3Vrk0okZlIBEl7HVAvizddp0S6W3XoUrMtJyYprJSEbI3ea2WC2i2EUKvxbEFOKeFR5wsaEdF&#10;T1ArSMBuo/4HymoRPfouTYS31UikKEIspvUjbd71EFThQlJjOImO/w9WvNmtI9OSJmHOmQNLN373&#10;6fvPj19+/fhM6923r4w8JNMQsKHoa7eOxx2Gdcyc9120+U9s2L5IezhJq/aJCTqczuvL6YsLzsS9&#10;r3pIDBHTK+Uty0bLjXaZNTSwe42JilHofUg+No4NLZ9fzDIc0Ah2dPVk2kA00G1LLnqj5Y02Jmdg&#10;3G6uTWQ7yGNQvkyJcP8Ky0VWgP0YV1zjgPQK5EsnWToE0sfRu+C5BaskZ0bRM8oWAUKTQJtzIqm0&#10;cdRBVnXUMVsbLw9F3nJOV156PI5nnqk/9yX74Uku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P52LaO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80768"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1" name="直接连接符 21"/>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8076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IUpSHftAQAA2gMAAA4AAABkcnMvZTJvRG9jLnhtbK1TvY4T&#10;MRDukXgHyz3ZTVCAW2VzxYWjQRAJeICJ7c1a8p88vmzyErwAEh1UlPS8DcdjMPbmcnA0KdjCO/bM&#10;fDPf5/Hicm8N26mI2ruWTyc1Z8oJL7XbtvzD++snLzjDBE6C8U61/KCQXy4fP1oMoVEz33sjVWQE&#10;4rAZQsv7lEJTVSh6ZQEnPihHzs5HC4m2cVvJCAOhW1PN6vpZNfgoQ/RCIdLpanTyI2I8B9B3nRZq&#10;5cWNVS6NqFEZSEQJex2QL0u3XadEett1qBIzLSemqaxUhOxNXqvlAppthNBrcWwBzmnhAScL2lHR&#10;E9QKErCbqP+BslpEj75LE+FtNRIpihCLaf1Am3c9BFW4kNQYTqLj/4MVb3bryLRs+WzKmQNLN377&#10;6fvPj19+/fhM6+23r4w8JNMQsKHoK7eOxx2Gdcyc9120+U9s2L5IezhJq/aJCTqcPa2fzy9IdXHn&#10;q+4TQ8T0SnnLstFyo11mDQ3sXmOiYhR6F5KPjWNDyy/msznBAY1gR1dPpg1EA9225KI3Wl5rY3IG&#10;xu3mykS2gzwG5cuUCPevsFxkBdiPccU1DkivQL50kqVDIH0cvQueW7BKcmYUPaNsESA0CbQ5J5JK&#10;G0cdZFVHHbO18fJQ5C3ndOWlx+N45pn6c1+y75/k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Ss2s1gAAAAkBAAAPAAAAAAAAAAEAIAAAACIAAABkcnMvZG93bnJldi54bWxQSwECFAAUAAAACACH&#10;TuJAhSlId+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eastAsia="宋体"/>
          <w:color w:val="000000" w:themeColor="text1"/>
          <w:kern w:val="2"/>
          <w:sz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      年      月      日</w:t>
      </w:r>
    </w:p>
    <w:p>
      <w:pPr>
        <w:widowControl/>
        <w:autoSpaceDE/>
        <w:autoSpaceDN/>
        <w:adjustRightInd/>
        <w:rPr>
          <w:rFonts w:eastAsia="宋体"/>
          <w:color w:val="000000" w:themeColor="text1"/>
          <w:kern w:val="2"/>
          <w:sz w:val="21"/>
          <w:highlight w:val="none"/>
          <w14:textFill>
            <w14:solidFill>
              <w14:schemeClr w14:val="tx1"/>
            </w14:solidFill>
          </w14:textFill>
        </w:rPr>
      </w:pPr>
      <w:r>
        <w:rPr>
          <w:rFonts w:eastAsia="宋体"/>
          <w:color w:val="000000" w:themeColor="text1"/>
          <w:sz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6、与评标有关的投标文件主要内容索引表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bookmarkStart w:id="37" w:name="汇标表"/>
      <w:bookmarkEnd w:id="37"/>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招标编号：</w:t>
      </w:r>
    </w:p>
    <w:p>
      <w:pPr>
        <w:autoSpaceDE/>
        <w:autoSpaceDN/>
        <w:adjustRightInd/>
        <w:jc w:val="both"/>
        <w:rPr>
          <w:rFonts w:eastAsia="宋体"/>
          <w:color w:val="000000" w:themeColor="text1"/>
          <w:kern w:val="2"/>
          <w:sz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w:t>投标汇标表</w:t>
      </w:r>
    </w:p>
    <w:tbl>
      <w:tblPr>
        <w:tblStyle w:val="19"/>
        <w:tblW w:w="0" w:type="auto"/>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627"/>
        <w:gridCol w:w="3261"/>
        <w:gridCol w:w="1559"/>
        <w:gridCol w:w="2126"/>
        <w:gridCol w:w="70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项目内容</w:t>
            </w:r>
          </w:p>
        </w:tc>
        <w:tc>
          <w:tcPr>
            <w:tcW w:w="3231"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具备的条件说明</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响应内容说明(是/否)</w:t>
            </w: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详细内容所对应投标文件名称</w:t>
            </w: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1</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投标报价</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ascii="宋体" w:hAnsi="宋体" w:eastAsia="宋体" w:cs="宋体"/>
                <w:color w:val="000000" w:themeColor="text1"/>
                <w:kern w:val="2"/>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2</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产品的选型和配置</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3</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重要参数条款的响应</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4</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相关业绩</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5</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项目实施计划</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6</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系统验收保障</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7" w:hRule="atLeast"/>
          <w:tblCellSpacing w:w="15" w:type="dxa"/>
        </w:trPr>
        <w:tc>
          <w:tcPr>
            <w:tcW w:w="582"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center"/>
              <w:rPr>
                <w:rFonts w:eastAsia="宋体"/>
                <w:color w:val="000000" w:themeColor="text1"/>
                <w:kern w:val="2"/>
                <w:sz w:val="21"/>
                <w:highlight w:val="none"/>
                <w14:textFill>
                  <w14:solidFill>
                    <w14:schemeClr w14:val="tx1"/>
                  </w14:solidFill>
                </w14:textFill>
              </w:rPr>
            </w:pPr>
            <w:r>
              <w:rPr>
                <w:rFonts w:hint="eastAsia" w:eastAsia="宋体"/>
                <w:color w:val="000000" w:themeColor="text1"/>
                <w:kern w:val="2"/>
                <w:sz w:val="21"/>
                <w:highlight w:val="none"/>
                <w14:textFill>
                  <w14:solidFill>
                    <w14:schemeClr w14:val="tx1"/>
                  </w14:solidFill>
                </w14:textFill>
              </w:rPr>
              <w:t>7</w:t>
            </w:r>
          </w:p>
        </w:tc>
        <w:tc>
          <w:tcPr>
            <w:tcW w:w="3231" w:type="dxa"/>
            <w:tcBorders>
              <w:top w:val="outset" w:color="auto" w:sz="6" w:space="0"/>
              <w:left w:val="outset" w:color="auto" w:sz="6" w:space="0"/>
              <w:bottom w:val="outset" w:color="auto" w:sz="6" w:space="0"/>
              <w:right w:val="outset" w:color="auto" w:sz="6" w:space="0"/>
            </w:tcBorders>
            <w:vAlign w:val="center"/>
          </w:tcPr>
          <w:p>
            <w:pPr>
              <w:widowControl/>
              <w:autoSpaceDE/>
              <w:autoSpaceDN/>
              <w:adjustRightInd/>
              <w:jc w:val="center"/>
              <w:rPr>
                <w:rFonts w:eastAsia="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售后服务</w:t>
            </w:r>
          </w:p>
        </w:tc>
        <w:tc>
          <w:tcPr>
            <w:tcW w:w="1529"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2096"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c>
          <w:tcPr>
            <w:tcW w:w="664" w:type="dxa"/>
            <w:tcBorders>
              <w:top w:val="outset" w:color="auto" w:sz="6" w:space="0"/>
              <w:left w:val="outset" w:color="auto" w:sz="6" w:space="0"/>
              <w:bottom w:val="outset" w:color="auto" w:sz="6" w:space="0"/>
              <w:right w:val="outset" w:color="auto" w:sz="6" w:space="0"/>
            </w:tcBorders>
            <w:vAlign w:val="center"/>
          </w:tcPr>
          <w:p>
            <w:pPr>
              <w:autoSpaceDE/>
              <w:autoSpaceDN/>
              <w:adjustRightInd/>
              <w:jc w:val="both"/>
              <w:rPr>
                <w:rFonts w:eastAsia="宋体"/>
                <w:color w:val="000000" w:themeColor="text1"/>
                <w:kern w:val="2"/>
                <w:sz w:val="21"/>
                <w:highlight w:val="none"/>
                <w14:textFill>
                  <w14:solidFill>
                    <w14:schemeClr w14:val="tx1"/>
                  </w14:solidFill>
                </w14:textFill>
              </w:rPr>
            </w:pPr>
          </w:p>
        </w:tc>
      </w:tr>
    </w:tbl>
    <w:p>
      <w:pPr>
        <w:autoSpaceDE/>
        <w:autoSpaceDN/>
        <w:adjustRightInd/>
        <w:jc w:val="both"/>
        <w:rPr>
          <w:rFonts w:eastAsia="宋体"/>
          <w:color w:val="000000" w:themeColor="text1"/>
          <w:kern w:val="2"/>
          <w:sz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说明：上述具体内容要求可以参照本项目评标方法与程序及评分细则。</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widowControl/>
        <w:autoSpaceDE/>
        <w:autoSpaceDN/>
        <w:adjustRightInd/>
        <w:spacing w:before="100" w:beforeAutospacing="1" w:after="100" w:afterAutospacing="1"/>
        <w:jc w:val="both"/>
        <w:rPr>
          <w:rFonts w:ascii="宋体" w:hAnsi="宋体" w:eastAsia="宋体" w:cs="Arial"/>
          <w:b/>
          <w:color w:val="000000" w:themeColor="text1"/>
          <w:kern w:val="2"/>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7、参加政府采购活动前3年（2017年10月至今）内在经营活动中没有重大违法记录的书面声明</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致：</w:t>
      </w:r>
      <w:r>
        <w:rPr>
          <w:rFonts w:hint="eastAsia" w:ascii="宋体" w:eastAsia="宋体"/>
          <w:color w:val="000000" w:themeColor="text1"/>
          <w:kern w:val="2"/>
          <w:highlight w:val="none"/>
          <w:u w:val="single"/>
          <w14:textFill>
            <w14:solidFill>
              <w14:schemeClr w14:val="tx1"/>
            </w14:solidFill>
          </w14:textFill>
        </w:rPr>
        <w:t xml:space="preserve">    （招标人）          </w:t>
      </w:r>
      <w:r>
        <w:rPr>
          <w:rFonts w:hint="eastAsia" w:ascii="宋体" w:eastAsia="宋体"/>
          <w:color w:val="000000" w:themeColor="text1"/>
          <w:kern w:val="2"/>
          <w:highlight w:val="none"/>
          <w14:textFill>
            <w14:solidFill>
              <w14:schemeClr w14:val="tx1"/>
            </w14:solidFill>
          </w14:textFill>
        </w:rPr>
        <w:t xml:space="preserve">   </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我公司承诺在参加本项目政府采购活动前三年内，在经营活动中没有重大违法记录，遵守国家其他有关的法律、法规和管理办法。</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特此声明。</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（注：重大违法记录是指供应商因违法经营受到刑事处罚或者责令停产停业、吊销许可证或者执照、较大数额罚款等行政处罚。</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　供应商在参加政府采购活动前3年（2017年10月至今）内因违法经营被禁止在一定期限内参加政府采购活动，期限届满的，可以参加政府采购活动。）</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center"/>
        <w:rPr>
          <w:rFonts w:ascii="宋体" w:hAnsi="宋体" w:eastAsia="宋体"/>
          <w:color w:val="000000" w:themeColor="text1"/>
          <w:kern w:val="2"/>
          <w:sz w:val="21"/>
          <w:szCs w:val="21"/>
          <w:highlight w:val="none"/>
          <w14:textFill>
            <w14:solidFill>
              <w14:schemeClr w14:val="tx1"/>
            </w14:solidFill>
          </w14:textFill>
        </w:rPr>
      </w:pPr>
      <w:r>
        <w:rPr>
          <w:rFonts w:ascii="宋体" w:hAnsi="宋体" w:eastAsia="宋体"/>
          <w:color w:val="000000" w:themeColor="text1"/>
          <w:kern w:val="2"/>
          <w:sz w:val="21"/>
          <w:szCs w:val="21"/>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8、不存在与参加本项目的其它供应商单位负责人为同一人</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或者存在直接控股、管理关系承诺</w:t>
      </w: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致：</w:t>
      </w:r>
      <w:r>
        <w:rPr>
          <w:rFonts w:hint="eastAsia" w:ascii="宋体" w:eastAsia="宋体"/>
          <w:color w:val="000000" w:themeColor="text1"/>
          <w:kern w:val="2"/>
          <w:highlight w:val="none"/>
          <w:u w:val="single"/>
          <w14:textFill>
            <w14:solidFill>
              <w14:schemeClr w14:val="tx1"/>
            </w14:solidFill>
          </w14:textFill>
        </w:rPr>
        <w:t xml:space="preserve">    （招标人）          </w:t>
      </w:r>
      <w:r>
        <w:rPr>
          <w:rFonts w:hint="eastAsia" w:ascii="宋体" w:eastAsia="宋体"/>
          <w:color w:val="000000" w:themeColor="text1"/>
          <w:kern w:val="2"/>
          <w:highlight w:val="none"/>
          <w14:textFill>
            <w14:solidFill>
              <w14:schemeClr w14:val="tx1"/>
            </w14:solidFill>
          </w14:textFill>
        </w:rPr>
        <w:t xml:space="preserve">   </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我公司承诺在参加本项目采购活动中不存在与参加本项目的其它供应商单位负责人为同一人或者存在直接控股、管理关系。本公司对上述承诺的真实性负责。如有虚假，将依法承担相应责任。</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ind w:firstLine="480" w:firstLineChars="200"/>
        <w:jc w:val="both"/>
        <w:rPr>
          <w:rFonts w:ascii="宋体" w:eastAsia="宋体"/>
          <w:color w:val="000000" w:themeColor="text1"/>
          <w:kern w:val="2"/>
          <w:highlight w:val="non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特此承诺。</w:t>
      </w: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widowControl/>
        <w:autoSpaceDE/>
        <w:autoSpaceDN/>
        <w:adjustRightInd/>
        <w:spacing w:line="312" w:lineRule="auto"/>
        <w:rPr>
          <w:rFonts w:ascii="宋体" w:hAnsi="宋体" w:eastAsia="宋体"/>
          <w:color w:val="000000" w:themeColor="text1"/>
          <w:kern w:val="2"/>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widowControl/>
        <w:spacing w:line="360" w:lineRule="auto"/>
        <w:jc w:val="center"/>
        <w:rPr>
          <w:rFonts w:ascii="宋体" w:hAnsi="宋体" w:eastAsia="隶书"/>
          <w:color w:val="000000" w:themeColor="text1"/>
          <w:sz w:val="44"/>
          <w:szCs w:val="21"/>
          <w:highlight w:val="none"/>
          <w14:textFill>
            <w14:solidFill>
              <w14:schemeClr w14:val="tx1"/>
            </w14:solidFill>
          </w14:textFill>
        </w:rPr>
      </w:pPr>
    </w:p>
    <w:p>
      <w:pPr>
        <w:autoSpaceDE/>
        <w:autoSpaceDN/>
        <w:spacing w:line="360" w:lineRule="atLeast"/>
        <w:ind w:firstLine="22"/>
        <w:jc w:val="center"/>
        <w:textAlignment w:val="baseline"/>
        <w:rPr>
          <w:rFonts w:eastAsia="宋体"/>
          <w:color w:val="000000" w:themeColor="text1"/>
          <w:szCs w:val="20"/>
          <w:highlight w:val="none"/>
          <w14:textFill>
            <w14:solidFill>
              <w14:schemeClr w14:val="tx1"/>
            </w14:solidFill>
          </w14:textFill>
        </w:rPr>
      </w:pPr>
      <w:r>
        <w:rPr>
          <w:rFonts w:eastAsia="宋体"/>
          <w:b/>
          <w:color w:val="000000" w:themeColor="text1"/>
          <w:szCs w:val="20"/>
          <w:highlight w:val="none"/>
          <w14:textFill>
            <w14:solidFill>
              <w14:schemeClr w14:val="tx1"/>
            </w14:solidFill>
          </w14:textFill>
        </w:rPr>
        <w:br w:type="page"/>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9、配件、备品、备件和专用工具详细清单</w:t>
      </w:r>
    </w:p>
    <w:p>
      <w:pPr>
        <w:autoSpaceDE/>
        <w:autoSpaceDN/>
        <w:snapToGrid w:val="0"/>
        <w:spacing w:line="360" w:lineRule="auto"/>
        <w:jc w:val="both"/>
        <w:rPr>
          <w:rFonts w:eastAsia="宋体"/>
          <w:color w:val="000000" w:themeColor="text1"/>
          <w:kern w:val="2"/>
          <w:szCs w:val="20"/>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785"/>
        <w:gridCol w:w="1966"/>
        <w:gridCol w:w="1319"/>
        <w:gridCol w:w="1072"/>
        <w:gridCol w:w="1078"/>
        <w:gridCol w:w="1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序号</w:t>
            </w: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名称</w:t>
            </w: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型号规格</w:t>
            </w: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制造商</w:t>
            </w: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国别</w:t>
            </w: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产地</w:t>
            </w: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r>
              <w:rPr>
                <w:rFonts w:hint="eastAsia" w:eastAsia="宋体"/>
                <w:color w:val="000000" w:themeColor="text1"/>
                <w:kern w:val="2"/>
                <w:szCs w:val="20"/>
                <w:highlight w:val="none"/>
                <w14:textFill>
                  <w14:solidFill>
                    <w14:schemeClr w14:val="tx1"/>
                  </w14:solidFill>
                </w14:textFill>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8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785"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66"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31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2"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078"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c>
          <w:tcPr>
            <w:tcW w:w="1949" w:type="dxa"/>
            <w:vAlign w:val="center"/>
          </w:tcPr>
          <w:p>
            <w:pPr>
              <w:autoSpaceDE/>
              <w:autoSpaceDN/>
              <w:snapToGrid w:val="0"/>
              <w:jc w:val="center"/>
              <w:rPr>
                <w:rFonts w:eastAsia="宋体"/>
                <w:color w:val="000000" w:themeColor="text1"/>
                <w:kern w:val="2"/>
                <w:szCs w:val="20"/>
                <w:highlight w:val="none"/>
                <w14:textFill>
                  <w14:solidFill>
                    <w14:schemeClr w14:val="tx1"/>
                  </w14:solidFill>
                </w14:textFill>
              </w:rPr>
            </w:pPr>
          </w:p>
        </w:tc>
      </w:tr>
    </w:tbl>
    <w:p>
      <w:pPr>
        <w:autoSpaceDE/>
        <w:autoSpaceDN/>
        <w:snapToGrid w:val="0"/>
        <w:spacing w:line="360" w:lineRule="auto"/>
        <w:jc w:val="both"/>
        <w:rPr>
          <w:rFonts w:eastAsia="宋体"/>
          <w:color w:val="000000" w:themeColor="text1"/>
          <w:kern w:val="2"/>
          <w:szCs w:val="20"/>
          <w:highlight w:val="none"/>
          <w14:textFill>
            <w14:solidFill>
              <w14:schemeClr w14:val="tx1"/>
            </w14:solidFill>
          </w14:textFill>
        </w:rPr>
      </w:pPr>
    </w:p>
    <w:p>
      <w:pPr>
        <w:autoSpaceDE/>
        <w:autoSpaceDN/>
        <w:adjustRightInd/>
        <w:spacing w:line="500" w:lineRule="exact"/>
        <w:jc w:val="both"/>
        <w:rPr>
          <w:rFonts w:ascii="宋体" w:eastAsia="宋体"/>
          <w:color w:val="000000" w:themeColor="text1"/>
          <w:kern w:val="2"/>
          <w:highlight w:val="none"/>
          <w:u w:val="single"/>
          <w14:textFill>
            <w14:solidFill>
              <w14:schemeClr w14:val="tx1"/>
            </w14:solidFill>
          </w14:textFill>
        </w:rPr>
      </w:pPr>
      <w:r>
        <w:rPr>
          <w:rFonts w:hint="eastAsia" w:ascii="宋体" w:eastAsia="宋体"/>
          <w:color w:val="000000" w:themeColor="text1"/>
          <w:kern w:val="2"/>
          <w:highlight w:val="none"/>
          <w14:textFill>
            <w14:solidFill>
              <w14:schemeClr w14:val="tx1"/>
            </w14:solidFill>
          </w14:textFill>
        </w:rPr>
        <w:t>投标人授权代表签字：</w:t>
      </w:r>
      <w:r>
        <w:rPr>
          <w:rFonts w:hint="eastAsia" w:ascii="宋体"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u w:val="single"/>
          <w14:textFill>
            <w14:solidFill>
              <w14:schemeClr w14:val="tx1"/>
            </w14:solidFill>
          </w14:textFill>
        </w:rPr>
      </w:pPr>
      <w:r>
        <w:rPr>
          <w:rFonts w:hint="eastAsia" w:eastAsia="宋体"/>
          <w:color w:val="000000" w:themeColor="text1"/>
          <w:kern w:val="2"/>
          <w:highlight w:val="none"/>
          <w14:textFill>
            <w14:solidFill>
              <w14:schemeClr w14:val="tx1"/>
            </w14:solidFill>
          </w14:textFill>
        </w:rPr>
        <w:t>投标人（公章）：</w:t>
      </w:r>
      <w:r>
        <w:rPr>
          <w:rFonts w:hint="eastAsia" w:eastAsia="宋体"/>
          <w:color w:val="000000" w:themeColor="text1"/>
          <w:kern w:val="2"/>
          <w:highlight w:val="none"/>
          <w:u w:val="single"/>
          <w14:textFill>
            <w14:solidFill>
              <w14:schemeClr w14:val="tx1"/>
            </w14:solidFill>
          </w14:textFill>
        </w:rPr>
        <w:t xml:space="preserve">                    </w:t>
      </w:r>
    </w:p>
    <w:p>
      <w:pPr>
        <w:autoSpaceDE/>
        <w:autoSpaceDN/>
        <w:adjustRightInd/>
        <w:spacing w:line="500" w:lineRule="exact"/>
        <w:jc w:val="both"/>
        <w:rPr>
          <w:rFonts w:eastAsia="宋体"/>
          <w:color w:val="000000" w:themeColor="text1"/>
          <w:kern w:val="2"/>
          <w:highlight w:val="none"/>
          <w14:textFill>
            <w14:solidFill>
              <w14:schemeClr w14:val="tx1"/>
            </w14:solidFill>
          </w14:textFill>
        </w:rPr>
      </w:pPr>
      <w:r>
        <w:rPr>
          <w:rFonts w:hint="eastAsia" w:eastAsia="宋体"/>
          <w:color w:val="000000" w:themeColor="text1"/>
          <w:kern w:val="2"/>
          <w:highlight w:val="none"/>
          <w14:textFill>
            <w14:solidFill>
              <w14:schemeClr w14:val="tx1"/>
            </w14:solidFill>
          </w14:textFill>
        </w:rPr>
        <w:t>日期：  年   月   日</w:t>
      </w:r>
    </w:p>
    <w:p>
      <w:pPr>
        <w:autoSpaceDE/>
        <w:autoSpaceDN/>
        <w:adjustRightInd/>
        <w:jc w:val="center"/>
        <w:rPr>
          <w:rFonts w:eastAsia="宋体"/>
          <w:color w:val="000000" w:themeColor="text1"/>
          <w:kern w:val="2"/>
          <w:highlight w:val="none"/>
          <w14:textFill>
            <w14:solidFill>
              <w14:schemeClr w14:val="tx1"/>
            </w14:solidFill>
          </w14:textFill>
        </w:rPr>
      </w:pPr>
    </w:p>
    <w:p>
      <w:pPr>
        <w:autoSpaceDE/>
        <w:autoSpaceDN/>
        <w:adjustRightInd/>
        <w:jc w:val="center"/>
        <w:rPr>
          <w:rFonts w:eastAsia="宋体"/>
          <w:color w:val="000000" w:themeColor="text1"/>
          <w:kern w:val="2"/>
          <w:szCs w:val="20"/>
          <w:highlight w:val="none"/>
          <w14:textFill>
            <w14:solidFill>
              <w14:schemeClr w14:val="tx1"/>
            </w14:solidFill>
          </w14:textFill>
        </w:rPr>
      </w:pPr>
    </w:p>
    <w:p>
      <w:pPr>
        <w:autoSpaceDE/>
        <w:autoSpaceDN/>
        <w:adjustRightInd/>
        <w:jc w:val="center"/>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Cs w:val="20"/>
          <w:highlight w:val="none"/>
          <w14:textFill>
            <w14:solidFill>
              <w14:schemeClr w14:val="tx1"/>
            </w14:solidFill>
          </w14:textFill>
        </w:rPr>
        <w:br w:type="page"/>
      </w:r>
    </w:p>
    <w:p>
      <w:pPr>
        <w:widowControl/>
        <w:spacing w:line="360" w:lineRule="auto"/>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二、技术响应文件有关表格格式</w:t>
      </w:r>
    </w:p>
    <w:p>
      <w:pPr>
        <w:autoSpaceDE/>
        <w:autoSpaceDN/>
        <w:adjustRightInd/>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spacing w:val="20"/>
          <w:kern w:val="2"/>
          <w:sz w:val="21"/>
          <w:szCs w:val="21"/>
          <w:highlight w:val="none"/>
          <w14:textFill>
            <w14:solidFill>
              <w14:schemeClr w14:val="tx1"/>
            </w14:solidFill>
          </w14:textFill>
        </w:rPr>
        <w:t>1</w:t>
      </w:r>
      <w:r>
        <w:rPr>
          <w:rFonts w:hint="eastAsia" w:ascii="宋体" w:hAnsi="宋体" w:eastAsia="宋体"/>
          <w:b/>
          <w:color w:val="000000" w:themeColor="text1"/>
          <w:kern w:val="2"/>
          <w:sz w:val="21"/>
          <w:szCs w:val="21"/>
          <w:highlight w:val="none"/>
          <w14:textFill>
            <w14:solidFill>
              <w14:schemeClr w14:val="tx1"/>
            </w14:solidFill>
          </w14:textFill>
        </w:rPr>
        <w:t>、项目负责人情况表</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包号：</w:t>
      </w:r>
    </w:p>
    <w:tbl>
      <w:tblPr>
        <w:tblStyle w:val="19"/>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1051"/>
        <w:gridCol w:w="1061"/>
        <w:gridCol w:w="1159"/>
        <w:gridCol w:w="1140"/>
        <w:gridCol w:w="1050"/>
        <w:gridCol w:w="1155"/>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姓名</w:t>
            </w:r>
          </w:p>
        </w:tc>
        <w:tc>
          <w:tcPr>
            <w:tcW w:w="1051"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061"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出生年月</w:t>
            </w:r>
          </w:p>
        </w:tc>
        <w:tc>
          <w:tcPr>
            <w:tcW w:w="1159"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40"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文化程度</w:t>
            </w:r>
          </w:p>
        </w:tc>
        <w:tc>
          <w:tcPr>
            <w:tcW w:w="1050" w:type="dxa"/>
            <w:tcBorders>
              <w:top w:val="single" w:color="auto" w:sz="4" w:space="0"/>
              <w:left w:val="single" w:color="auto" w:sz="4" w:space="0"/>
              <w:bottom w:val="nil"/>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毕业时间</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毕业院校和专业</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从事本类项目工作年限</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15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职业资格</w:t>
            </w:r>
          </w:p>
        </w:tc>
        <w:tc>
          <w:tcPr>
            <w:tcW w:w="2112"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center"/>
              <w:rPr>
                <w:rFonts w:ascii="宋体" w:hAnsi="宋体" w:eastAsia="宋体"/>
                <w:color w:val="000000" w:themeColor="text1"/>
                <w:kern w:val="2"/>
                <w:sz w:val="21"/>
                <w:szCs w:val="21"/>
                <w:highlight w:val="none"/>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技术职称</w:t>
            </w:r>
          </w:p>
        </w:tc>
        <w:tc>
          <w:tcPr>
            <w:tcW w:w="2190"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聘任时间</w:t>
            </w:r>
          </w:p>
        </w:tc>
        <w:tc>
          <w:tcPr>
            <w:tcW w:w="1332"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3" w:hRule="atLeast"/>
        </w:trPr>
        <w:tc>
          <w:tcPr>
            <w:tcW w:w="9102" w:type="dxa"/>
            <w:gridSpan w:val="8"/>
            <w:tcBorders>
              <w:top w:val="single" w:color="auto" w:sz="4" w:space="0"/>
              <w:left w:val="single" w:color="auto" w:sz="4" w:space="0"/>
              <w:bottom w:val="single" w:color="auto" w:sz="4" w:space="0"/>
              <w:right w:val="single" w:color="auto" w:sz="4" w:space="0"/>
            </w:tcBorders>
          </w:tcPr>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主要工作经历：</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主要管理服务项目：</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主要工作特点：</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主要工作业绩：</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胜任本项目负责人的理由：</w:t>
            </w: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hanging="3"/>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7456"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2" name="直接连接符 22"/>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7456;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BnI8IHtAQAA2gMAAA4AAABkcnMvZTJvRG9jLnhtbK1TzW4T&#10;MRC+I/EOlu9kN5EK7SqbHhrKBUEk4AEmtjdryX/yuNnkJXgBJG5w4sidt6E8BmNvmtL2kgN78I49&#10;M9/M93k8v9xZw7Yqovau5dNJzZlywkvtNi3/9PH6xTlnmMBJMN6plu8V8svF82fzITRq5ntvpIqM&#10;QBw2Q2h5n1JoqgpFryzgxAflyNn5aCHRNm4qGWEgdGuqWV2/rAYfZYheKEQ6XY5OfkCMpwD6rtNC&#10;Lb24scqlETUqA4koYa8D8kXptuuUSO+7DlVipuXENJWVipC9zmu1mEOziRB6LQ4twCktPOJkQTsq&#10;eoRaQgJ2E/UTKKtF9Oi7NBHeViORogixmNaPtPnQQ1CFC0mN4Sg6/j9Y8W67ikzLls9mnDmwdOO3&#10;X37+/vztz6+vtN7++M7IQzINARuKvnKreNhhWMXMeddFm//Ehu2KtPujtGqXmKDD6UV9Pn11xpm4&#10;81X3iSFieqO8ZdloudEus4YGtm8xUTEKvQvJx8axoeUXZ7MMBzSCHV09mTYQDXSbkoveaHmtjckZ&#10;GDfrKxPZFvIYlC9TItwHYbnIErAf44prHJBegXztJEv7QPo4ehc8t2CV5MwoekbZIkBoEmhzSiSV&#10;No46yKqOOmZr7eW+yFvO6cpLj4fxzDP1775k3z/Jx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Gcjwge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8480"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3" name="直接连接符 23"/>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68480;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N/tTH3uAQAA2gMAAA4AAABkcnMvZTJvRG9jLnhtbK1TzW4T&#10;MRC+I/EOlu9k060CdJVNDw3lgiAS8AAT25u15D953GzyErwAEjc4ceTO27Q8BmNvmkK55MAevGPP&#10;zDfzfR7PL3fWsK2KqL1r+dlkyplywkvtNi3/+OH62UvOMIGTYLxTLd8r5JeLp0/mQ2hU7XtvpIqM&#10;QBw2Q2h5n1JoqgpFryzgxAflyNn5aCHRNm4qGWEgdGuqejp9Xg0+yhC9UIh0uhyd/IAYTwH0XaeF&#10;WnpxY5VLI2pUBhJRwl4H5IvSbdcpkd51HarETMuJaSorFSF7nddqMYdmEyH0WhxagFNaeMTJgnZU&#10;9Ai1hATsJup/oKwW0aPv0kR4W41EiiLE4mz6SJv3PQRVuJDUGI6i4/+DFW+3q8i0bHl9zpkDSzd+&#10;9/nH7aevv35+ofXu+zdGHpJpCNhQ9JVbxcMOwypmzrsu2vwnNmxXpN0fpVW7xAQd1ufTF7MLUl3c&#10;+6qHxBAxvVbesmy03GiXWUMD2zeYqBiF3ofkY+PY0PKLWT0jOKAR7OjqybSBaKDblFz0RstrbUzO&#10;wLhZX5nItpDHoHyZEuH+FZaLLAH7Ma64xgHpFchXTrK0D6SPo3fBcwtWSc6MomeULQKEJoE2p0RS&#10;aeOog6zqqGO21l7ui7zlnK689HgYzzxTf+5L9sOTX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N/tTH3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2、主要管理、技术人员配备及相关工作经历、职业资格汇总表</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项目名称：</w:t>
      </w:r>
    </w:p>
    <w:p>
      <w:pPr>
        <w:autoSpaceDE/>
        <w:autoSpaceDN/>
        <w:adjustRightInd/>
        <w:spacing w:line="360" w:lineRule="auto"/>
        <w:jc w:val="both"/>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包号：</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750"/>
        <w:gridCol w:w="1080"/>
        <w:gridCol w:w="1080"/>
        <w:gridCol w:w="1080"/>
        <w:gridCol w:w="108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项目组成员姓名</w:t>
            </w:r>
          </w:p>
        </w:tc>
        <w:tc>
          <w:tcPr>
            <w:tcW w:w="75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年龄</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在项目组中的岗位</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学历和毕业时间</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职称及职业资格</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进入本单位时间</w:t>
            </w:r>
          </w:p>
        </w:tc>
        <w:tc>
          <w:tcPr>
            <w:tcW w:w="144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相关工作经历</w:t>
            </w:r>
          </w:p>
        </w:tc>
        <w:tc>
          <w:tcPr>
            <w:tcW w:w="1080"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w:t>
            </w:r>
          </w:p>
        </w:tc>
        <w:tc>
          <w:tcPr>
            <w:tcW w:w="75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44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3600"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4" name="直接连接符 24"/>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3600;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PeE/Z/tAQAA2gMAAA4AAABkcnMvZTJvRG9jLnhtbK1TzW4T&#10;MRC+I/EOlu9kNxGFdpVNDw3lgiAS8AAT25u15D953GzyErwAEjc4ceTO27Q8BmNvmkK55MAevGPP&#10;zDfzfR7PL3fWsK2KqL1r+XRSc6ac8FK7Tcs/frh+ds4ZJnASjHeq5XuF/HLx9Ml8CI2a+d4bqSIj&#10;EIfNEFrepxSaqkLRKws48UE5cnY+Wki0jZtKRhgI3ZpqVtcvqsFHGaIXCpFOl6OTHxDjKYC+67RQ&#10;Sy9urHJpRI3KQCJK2OuAfFG67Tol0ruuQ5WYaTkxTWWlImSv81ot5tBsIoRei0MLcEoLjzhZ0I6K&#10;HqGWkIDdRP0PlNUievRdmghvq5FIUYRYTOtH2rzvIajChaTGcBQd/x+seLtdRaZly2fPOXNg6cbv&#10;Pv+4/fT1188vtN59/8bIQzINARuKvnKreNhhWMXMeddFm//Ehu2KtPujtGqXmKDD6UV9Pn15xpm4&#10;91UPiSFieq28ZdloudEus4YGtm8wUTEKvQ/Jx8axoeUXZ7MMBzSCHV09mTYQDXSbkoveaHmtjckZ&#10;GDfrKxPZFvIYlC9TIty/wnKRJWA/xhXXOCC9AvnKSZb2gfRx9C54bsEqyZlR9IyyRYDQJNDmlEgq&#10;bRx1kFUddczW2st9kbec05WXHg/jmWfqz33JfniS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94T9n+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4624"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26" name="直接连接符 26"/>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4624;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EYHR2zuAQAA2gMAAA4AAABkcnMvZTJvRG9jLnhtbK1TzW4T&#10;MRC+I/EOlu9kt0EpdJVNDw3lgiAS8AAT25u15D953GzyErwAEjc4ceTO27Q8BmNvmkK55MAevGPP&#10;zDfzfR7PL3fWsK2KqL1r+dmk5kw54aV2m5Z//HD97CVnmMBJMN6plu8V8svF0yfzITRq6ntvpIqM&#10;QBw2Q2h5n1JoqgpFryzgxAflyNn5aCHRNm4qGWEgdGuqaV2fV4OPMkQvFCKdLkcnPyDGUwB912mh&#10;ll7cWOXSiBqVgUSUsNcB+aJ023VKpHddhyox03JimspKRche57VazKHZRAi9FocW4JQWHnGyoB0V&#10;PUItIQG7ifofKKtF9Oi7NBHeViORogixOKsfafO+h6AKF5Iaw1F0/H+w4u12FZmWLZ+ec+bA0o3f&#10;ff5x++nrr59faL37/o2Rh2QaAjYUfeVW8bDDsIqZ866LNv+JDdsVafdHadUuMUGH0+f1i9kFqS7u&#10;fdVDYoiYXitvWTZabrTLrKGB7RtMVIxC70PysXFsaPnFbDojOKAR7OjqybSBaKDblFz0RstrbUzO&#10;wLhZX5nItpDHoHyZEuH+FZaLLAH7Ma64xgHpFchXTrK0D6SPo3fBcwtWSc6MomeULQKEJoE2p0RS&#10;aeOog6zqqGO21l7ui7zlnK689HgYzzxTf+5L9sOTX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EYHR2z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after="120" w:afterLines="50"/>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after="120" w:afterLines="50"/>
        <w:jc w:val="center"/>
        <w:rPr>
          <w:rFonts w:eastAsia="宋体"/>
          <w:b/>
          <w:color w:val="000000" w:themeColor="text1"/>
          <w:kern w:val="2"/>
          <w:sz w:val="21"/>
          <w:szCs w:val="21"/>
          <w:highlight w:val="none"/>
          <w14:textFill>
            <w14:solidFill>
              <w14:schemeClr w14:val="tx1"/>
            </w14:solidFill>
          </w14:textFill>
        </w:rPr>
      </w:pPr>
      <w:r>
        <w:rPr>
          <w:rFonts w:hint="eastAsia" w:eastAsia="宋体"/>
          <w:b/>
          <w:color w:val="000000" w:themeColor="text1"/>
          <w:kern w:val="2"/>
          <w:sz w:val="21"/>
          <w:szCs w:val="21"/>
          <w:highlight w:val="none"/>
          <w14:textFill>
            <w14:solidFill>
              <w14:schemeClr w14:val="tx1"/>
            </w14:solidFill>
          </w14:textFill>
        </w:rPr>
        <w:t>3、投标单位基本情况表</w:t>
      </w:r>
    </w:p>
    <w:tbl>
      <w:tblPr>
        <w:tblStyle w:val="1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135"/>
        <w:gridCol w:w="1150"/>
        <w:gridCol w:w="181"/>
        <w:gridCol w:w="704"/>
        <w:gridCol w:w="659"/>
        <w:gridCol w:w="618"/>
        <w:gridCol w:w="541"/>
        <w:gridCol w:w="400"/>
        <w:gridCol w:w="1039"/>
        <w:gridCol w:w="37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单位名称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单位地址</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成立时间</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8"/>
                <w:szCs w:val="28"/>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注册资金</w:t>
            </w:r>
          </w:p>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（万元）</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税务登记属地</w:t>
            </w:r>
          </w:p>
        </w:tc>
        <w:tc>
          <w:tcPr>
            <w:tcW w:w="3170" w:type="dxa"/>
            <w:gridSpan w:val="4"/>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7"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行政负责人</w:t>
            </w:r>
          </w:p>
        </w:tc>
        <w:tc>
          <w:tcPr>
            <w:tcW w:w="3635"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资质情况</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ind w:left="-90" w:leftChars="-52" w:hanging="35" w:hangingChars="17"/>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资质名称</w:t>
            </w: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颁发部门</w:t>
            </w: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资质等级</w:t>
            </w: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资质编号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228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bCs/>
                <w:color w:val="000000" w:themeColor="text1"/>
                <w:kern w:val="2"/>
                <w:sz w:val="21"/>
                <w:highlight w:val="none"/>
                <w14:textFill>
                  <w14:solidFill>
                    <w14:schemeClr w14:val="tx1"/>
                  </w14:solidFill>
                </w14:textFill>
              </w:rPr>
            </w:pPr>
          </w:p>
        </w:tc>
        <w:tc>
          <w:tcPr>
            <w:tcW w:w="2703" w:type="dxa"/>
            <w:gridSpan w:val="5"/>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39"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655"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restart"/>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从事的人数（人）</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3829" w:type="dxa"/>
            <w:gridSpan w:val="5"/>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职称等级（人）</w:t>
            </w:r>
          </w:p>
        </w:tc>
        <w:tc>
          <w:tcPr>
            <w:tcW w:w="4253" w:type="dxa"/>
            <w:gridSpan w:val="6"/>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执业资格（人）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高级</w:t>
            </w:r>
          </w:p>
        </w:tc>
        <w:tc>
          <w:tcPr>
            <w:tcW w:w="1331"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中级</w:t>
            </w:r>
          </w:p>
        </w:tc>
        <w:tc>
          <w:tcPr>
            <w:tcW w:w="1363"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初级</w:t>
            </w:r>
          </w:p>
        </w:tc>
        <w:tc>
          <w:tcPr>
            <w:tcW w:w="1559" w:type="dxa"/>
            <w:gridSpan w:val="3"/>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autoSpaceDN/>
              <w:adjustRightInd/>
              <w:ind w:right="31" w:rightChars="13" w:firstLine="18" w:firstLineChars="9"/>
              <w:jc w:val="center"/>
              <w:rPr>
                <w:rFonts w:ascii="宋体" w:hAnsi="宋体" w:eastAsia="宋体" w:cs="宋体"/>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78"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s="宋体"/>
                <w:color w:val="000000" w:themeColor="text1"/>
                <w:kern w:val="2"/>
                <w:sz w:val="21"/>
                <w:highlight w:val="none"/>
                <w14:textFill>
                  <w14:solidFill>
                    <w14:schemeClr w14:val="tx1"/>
                  </w14:solidFill>
                </w14:textFill>
              </w:rPr>
            </w:pPr>
          </w:p>
        </w:tc>
        <w:tc>
          <w:tcPr>
            <w:tcW w:w="1135" w:type="dxa"/>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331"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363"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559" w:type="dxa"/>
            <w:gridSpan w:val="3"/>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autoSpaceDN/>
              <w:snapToGrid w:val="0"/>
              <w:jc w:val="center"/>
              <w:rPr>
                <w:rFonts w:ascii="宋体" w:hAnsi="宋体" w:eastAsia="宋体"/>
                <w:bCs/>
                <w:color w:val="000000" w:themeColor="text1"/>
                <w:kern w:val="2"/>
                <w:sz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278" w:type="dxa"/>
            <w:tcBorders>
              <w:top w:val="single" w:color="auto" w:sz="4" w:space="0"/>
              <w:left w:val="single" w:color="auto" w:sz="4" w:space="0"/>
              <w:bottom w:val="single" w:color="auto" w:sz="4" w:space="0"/>
              <w:right w:val="single" w:color="auto" w:sz="4" w:space="0"/>
            </w:tcBorders>
            <w:vAlign w:val="center"/>
          </w:tcPr>
          <w:p>
            <w:pPr>
              <w:autoSpaceDE/>
              <w:autoSpaceDN/>
              <w:adjustRightInd/>
              <w:jc w:val="center"/>
              <w:rPr>
                <w:rFonts w:ascii="宋体" w:hAnsi="宋体" w:eastAsia="宋体" w:cs="宋体"/>
                <w:color w:val="000000" w:themeColor="text1"/>
                <w:kern w:val="2"/>
                <w:sz w:val="21"/>
                <w:highlight w:val="none"/>
                <w14:textFill>
                  <w14:solidFill>
                    <w14:schemeClr w14:val="tx1"/>
                  </w14:solidFill>
                </w14:textFill>
              </w:rPr>
            </w:pPr>
            <w:r>
              <w:rPr>
                <w:rFonts w:hint="eastAsia" w:ascii="宋体" w:hAnsi="宋体" w:eastAsia="宋体" w:cs="宋体"/>
                <w:color w:val="000000" w:themeColor="text1"/>
                <w:kern w:val="2"/>
                <w:sz w:val="21"/>
                <w:highlight w:val="none"/>
                <w14:textFill>
                  <w14:solidFill>
                    <w14:schemeClr w14:val="tx1"/>
                  </w14:solidFill>
                </w14:textFill>
              </w:rPr>
              <w:t>其他具有竞争力的说明</w:t>
            </w:r>
          </w:p>
        </w:tc>
        <w:tc>
          <w:tcPr>
            <w:tcW w:w="8082" w:type="dxa"/>
            <w:gridSpan w:val="11"/>
            <w:tcBorders>
              <w:top w:val="single" w:color="auto" w:sz="4" w:space="0"/>
              <w:left w:val="single" w:color="auto" w:sz="4" w:space="0"/>
              <w:bottom w:val="single" w:color="auto" w:sz="4" w:space="0"/>
              <w:right w:val="single" w:color="auto" w:sz="4" w:space="0"/>
            </w:tcBorders>
            <w:vAlign w:val="center"/>
          </w:tcPr>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snapToGrid w:val="0"/>
              <w:jc w:val="both"/>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5648"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5648;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Csd56PtAQAA2gMAAA4AAABkcnMvZTJvRG9jLnhtbK1TzW4T&#10;MRC+I/EOlu9kN5EK7SqbHhrKBUEk4AEmtjdryX/yuNnkJXgBJG5w4sidt6E8BmNvmtL2kgN78I49&#10;M9/M93k8v9xZw7Yqovau5dNJzZlywkvtNi3/9PH6xTlnmMBJMN6plu8V8svF82fzITRq5ntvpIqM&#10;QBw2Q2h5n1JoqgpFryzgxAflyNn5aCHRNm4qGWEgdGuqWV2/rAYfZYheKEQ6XY5OfkCMpwD6rtNC&#10;Lb24scqlETUqA4koYa8D8kXptuuUSO+7DlVipuXENJWVipC9zmu1mEOziRB6LQ4twCktPOJkQTsq&#10;eoRaQgJ2E/UTKKtF9Oi7NBHeViORogixmNaPtPnQQ1CFC0mN4Sg6/j9Y8W67ikzLls/o3h1YuvHb&#10;Lz9/f/7259dXWm9/fGfkIZmGgA1FX7lVPOwwrGLmvOuizX9iw3ZF2v1RWrVLTNDh9KI+n74640zc&#10;+ar7xBAxvVHesmy03GiXWUMD27eYqBiF3oXkY+PY0PKLs1mGAxrBjq6eTBuIBrpNyUVvtLzWxuQM&#10;jJv1lYlsC3kMypcpEe6DsFxkCdiPccU1DkivQL52kqV9IH0cvQueW7BKcmYUPaNsESA0CbQ5JZJK&#10;G0cdZFVHHbO19nJf5C3ndOWlx8N45pn6d1+y75/k4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Kx3no+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6672"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0" name="直接连接符 30"/>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6672;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L8VkDftAQAA2gMAAA4AAABkcnMvZTJvRG9jLnhtbK1TzW4T&#10;MRC+I/EOlu9kt6kCdJVNDw3lgiAS8AAT25u15D953GzyErwAEjc4ceTO27Q8BmNvmkK55MAevGPP&#10;zDfzfR7PL3fWsK2KqL1r+dmk5kw54aV2m5Z//HD97CVnmMBJMN6plu8V8svF0yfzITRq6ntvpIqM&#10;QBw2Q2h5n1JoqgpFryzgxAflyNn5aCHRNm4qGWEgdGuqaV0/rwYfZYheKEQ6XY5OfkCMpwD6rtNC&#10;Lb24scqlETUqA4koYa8D8kXptuuUSO+6DlVipuXENJWVipC9zmu1mEOziRB6LQ4twCktPOJkQTsq&#10;eoRaQgJ2E/U/UFaL6NF3aSK8rUYiRRFicVY/0uZ9D0EVLiQ1hqPo+P9gxdvtKjItW35OkjiwdON3&#10;n3/cfvr66+cXWu++f2PkIZmGgA1FX7lVPOwwrGLmvOuizX9iw3ZF2v1RWrVLTNDh9Lx+MbugEuLe&#10;Vz0khojptfKWZaPlRrvMGhrYvsFExSj0PiQfG8eGll/MpjOCAxrBjq6eTBuIBrpNyUVvtLzWxuQM&#10;jJv1lYlsC3kMypcpEe5fYbnIErAf44prHJBegXzlJEv7QPo4ehc8t2CV5MwoekbZIkBoEmhzSiSV&#10;No46yKqOOmZr7eW+yFvO6cpLj4fxzDP1575kPzzJ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Ss2s1gAAAAkBAAAPAAAAAAAAAAEAIAAAACIAAABkcnMvZG93bnJldi54bWxQSwECFAAUAAAACACH&#10;TuJAvxWQN+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日期：年月日</w:t>
      </w:r>
    </w:p>
    <w:p>
      <w:pPr>
        <w:autoSpaceDE/>
        <w:autoSpaceDN/>
        <w:adjustRightInd/>
        <w:spacing w:after="120" w:afterLines="50"/>
        <w:jc w:val="center"/>
        <w:rPr>
          <w:rFonts w:eastAsia="宋体"/>
          <w:b/>
          <w:color w:val="000000" w:themeColor="text1"/>
          <w:kern w:val="2"/>
          <w:sz w:val="21"/>
          <w:szCs w:val="21"/>
          <w:highlight w:val="none"/>
          <w14:textFill>
            <w14:solidFill>
              <w14:schemeClr w14:val="tx1"/>
            </w14:solidFill>
          </w14:textFill>
        </w:rPr>
      </w:pPr>
      <w:r>
        <w:rPr>
          <w:rFonts w:ascii="宋体" w:hAnsi="宋体" w:eastAsia="宋体"/>
          <w:color w:val="000000" w:themeColor="text1"/>
          <w:sz w:val="21"/>
          <w:szCs w:val="21"/>
          <w:highlight w:val="none"/>
          <w14:textFill>
            <w14:solidFill>
              <w14:schemeClr w14:val="tx1"/>
            </w14:solidFill>
          </w14:textFill>
        </w:rPr>
        <w:br w:type="page"/>
      </w:r>
      <w:r>
        <w:rPr>
          <w:rFonts w:hint="eastAsia" w:eastAsia="宋体"/>
          <w:b/>
          <w:color w:val="000000" w:themeColor="text1"/>
          <w:kern w:val="2"/>
          <w:sz w:val="21"/>
          <w:szCs w:val="21"/>
          <w:highlight w:val="none"/>
          <w14:textFill>
            <w14:solidFill>
              <w14:schemeClr w14:val="tx1"/>
            </w14:solidFill>
          </w14:textFill>
        </w:rPr>
        <w:t>4、</w:t>
      </w:r>
      <w:r>
        <w:rPr>
          <w:rFonts w:eastAsia="宋体"/>
          <w:b/>
          <w:color w:val="000000" w:themeColor="text1"/>
          <w:kern w:val="2"/>
          <w:sz w:val="21"/>
          <w:szCs w:val="21"/>
          <w:highlight w:val="none"/>
          <w14:textFill>
            <w14:solidFill>
              <w14:schemeClr w14:val="tx1"/>
            </w14:solidFill>
          </w14:textFill>
        </w:rPr>
        <w:t>技术规格响应/偏离表格式</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投标人在投标文件技术部分中必须按下表的格式编制“技术规格响应/偏离表”。“技术规格条款号”一列填入招标文件第</w:t>
      </w:r>
      <w:r>
        <w:rPr>
          <w:rFonts w:hint="eastAsia" w:eastAsia="宋体"/>
          <w:color w:val="000000" w:themeColor="text1"/>
          <w:szCs w:val="20"/>
          <w:highlight w:val="none"/>
          <w14:textFill>
            <w14:solidFill>
              <w14:schemeClr w14:val="tx1"/>
            </w14:solidFill>
          </w14:textFill>
        </w:rPr>
        <w:t>四</w:t>
      </w:r>
      <w:r>
        <w:rPr>
          <w:rFonts w:eastAsia="宋体"/>
          <w:color w:val="000000" w:themeColor="text1"/>
          <w:szCs w:val="20"/>
          <w:highlight w:val="none"/>
          <w14:textFill>
            <w14:solidFill>
              <w14:schemeClr w14:val="tx1"/>
            </w14:solidFill>
          </w14:textFill>
        </w:rPr>
        <w:t>章 “</w:t>
      </w:r>
      <w:r>
        <w:rPr>
          <w:rFonts w:hint="eastAsia" w:eastAsia="宋体"/>
          <w:color w:val="000000" w:themeColor="text1"/>
          <w:szCs w:val="20"/>
          <w:highlight w:val="none"/>
          <w14:textFill>
            <w14:solidFill>
              <w14:schemeClr w14:val="tx1"/>
            </w14:solidFill>
          </w14:textFill>
        </w:rPr>
        <w:t>项目需求</w:t>
      </w:r>
      <w:r>
        <w:rPr>
          <w:rFonts w:eastAsia="宋体"/>
          <w:color w:val="000000" w:themeColor="text1"/>
          <w:szCs w:val="20"/>
          <w:highlight w:val="none"/>
          <w14:textFill>
            <w14:solidFill>
              <w14:schemeClr w14:val="tx1"/>
            </w14:solidFill>
          </w14:textFill>
        </w:rPr>
        <w:t>”中“详细技术要求”的各条款号；“招标文件要求技术规格”一列填入各条款所对应的详细技术要求（从招标文件中复制）；“投标产品技术规格”一列详细填入与各条款技术要求相对应的技术指标，应涵盖技术要求所涉及到的全部指标；“响应/偏离”一列中，依据投标产品技术规格与招标文件所要求的技术规格之间的差别，分别填入“响应”、“正偏离”或“负偏离”。</w:t>
      </w:r>
      <w:r>
        <w:rPr>
          <w:rFonts w:eastAsia="宋体"/>
          <w:b/>
          <w:color w:val="000000" w:themeColor="text1"/>
          <w:szCs w:val="20"/>
          <w:highlight w:val="none"/>
          <w14:textFill>
            <w14:solidFill>
              <w14:schemeClr w14:val="tx1"/>
            </w14:solidFill>
          </w14:textFill>
        </w:rPr>
        <w:t>投标人必须根据所投标的产品如实填写，不得简单复制招标文件要求的技术规格作为其投标产品技术规格。</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投标人可在本“技术规格响应/偏离表”之外编制技术规格说明书，以更详细地描述投标产品的特点和性能。</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 xml:space="preserve">投标人名称：_________________ 招标编号：_________________ </w:t>
      </w:r>
    </w:p>
    <w:p>
      <w:pPr>
        <w:autoSpaceDE/>
        <w:autoSpaceDN/>
        <w:spacing w:line="360" w:lineRule="atLeast"/>
        <w:ind w:firstLine="482"/>
        <w:jc w:val="both"/>
        <w:textAlignment w:val="baseline"/>
        <w:rPr>
          <w:rFonts w:eastAsia="宋体"/>
          <w:color w:val="000000" w:themeColor="text1"/>
          <w:szCs w:val="20"/>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598"/>
        <w:gridCol w:w="3448"/>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技术规格条款号</w:t>
            </w:r>
          </w:p>
        </w:tc>
        <w:tc>
          <w:tcPr>
            <w:tcW w:w="459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招标文件要求技术规格</w:t>
            </w:r>
          </w:p>
        </w:tc>
        <w:tc>
          <w:tcPr>
            <w:tcW w:w="344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投标产品技术规格</w:t>
            </w:r>
          </w:p>
        </w:tc>
        <w:tc>
          <w:tcPr>
            <w:tcW w:w="998" w:type="dxa"/>
            <w:vAlign w:val="center"/>
          </w:tcPr>
          <w:p>
            <w:pPr>
              <w:autoSpaceDE/>
              <w:autoSpaceDN/>
              <w:spacing w:line="360" w:lineRule="atLeast"/>
              <w:jc w:val="center"/>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正偏离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4598" w:type="dxa"/>
          </w:tcPr>
          <w:p>
            <w:pPr>
              <w:autoSpaceDE/>
              <w:autoSpaceDN/>
              <w:spacing w:line="360" w:lineRule="atLeast"/>
              <w:jc w:val="both"/>
              <w:textAlignment w:val="baseline"/>
              <w:rPr>
                <w:rFonts w:eastAsia="宋体"/>
                <w:color w:val="000000" w:themeColor="text1"/>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vAlign w:val="center"/>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w:t>
            </w:r>
          </w:p>
        </w:tc>
        <w:tc>
          <w:tcPr>
            <w:tcW w:w="45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344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c>
          <w:tcPr>
            <w:tcW w:w="998" w:type="dxa"/>
          </w:tcPr>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tc>
      </w:tr>
    </w:tbl>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r>
        <w:rPr>
          <w:rFonts w:eastAsia="宋体"/>
          <w:color w:val="000000" w:themeColor="text1"/>
          <w:szCs w:val="20"/>
          <w:highlight w:val="none"/>
          <w14:textFill>
            <w14:solidFill>
              <w14:schemeClr w14:val="tx1"/>
            </w14:solidFill>
          </w14:textFill>
        </w:rPr>
        <w:t>注：上表中填写的内容为示例。</w:t>
      </w:r>
    </w:p>
    <w:p>
      <w:pPr>
        <w:autoSpaceDE/>
        <w:autoSpaceDN/>
        <w:spacing w:line="360" w:lineRule="atLeast"/>
        <w:jc w:val="both"/>
        <w:textAlignment w:val="baseline"/>
        <w:rPr>
          <w:rFonts w:eastAsia="宋体"/>
          <w:color w:val="000000" w:themeColor="text1"/>
          <w:szCs w:val="20"/>
          <w:highlight w:val="none"/>
          <w14:textFill>
            <w14:solidFill>
              <w14:schemeClr w14:val="tx1"/>
            </w14:solidFill>
          </w14:textFill>
        </w:rPr>
      </w:pPr>
    </w:p>
    <w:p>
      <w:pPr>
        <w:autoSpaceDE/>
        <w:autoSpaceDN/>
        <w:adjustRightInd/>
        <w:jc w:val="both"/>
        <w:rPr>
          <w:rFonts w:ascii="宋体" w:hAnsi="宋体" w:eastAsia="宋体"/>
          <w:color w:val="000000" w:themeColor="text1"/>
          <w:sz w:val="21"/>
          <w:szCs w:val="21"/>
          <w:highlight w:val="none"/>
          <w14:textFill>
            <w14:solidFill>
              <w14:schemeClr w14:val="tx1"/>
            </w14:solidFill>
          </w14:textFill>
        </w:rPr>
      </w:pPr>
    </w:p>
    <w:p>
      <w:pPr>
        <w:autoSpaceDE/>
        <w:autoSpaceDN/>
        <w:adjustRightInd/>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三、相关证明文件格式</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kern w:val="2"/>
          <w:sz w:val="21"/>
          <w:szCs w:val="21"/>
          <w:highlight w:val="none"/>
          <w14:textFill>
            <w14:solidFill>
              <w14:schemeClr w14:val="tx1"/>
            </w14:solidFill>
          </w14:textFill>
        </w:rPr>
        <w:t>1、投标人基本情况简介格式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（一）基本情况：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1、单位名称：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2、地址：</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3：邮编：</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4、电话/传真：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5、成立日期或注册日期：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6、行业类型：</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（二）基本经济指标（到上年度12月31日止）：</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1、实收资本：</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2、资产总额：</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3、负债总额：</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4、营业收入：</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5、净利润：</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6、上交税收：</w:t>
      </w:r>
    </w:p>
    <w:p>
      <w:pPr>
        <w:autoSpaceDE/>
        <w:autoSpaceDN/>
        <w:adjustRightInd/>
        <w:spacing w:line="360" w:lineRule="auto"/>
        <w:jc w:val="both"/>
        <w:rPr>
          <w:rFonts w:ascii="宋体" w:hAnsi="宋体" w:eastAsia="宋体"/>
          <w:color w:val="000000" w:themeColor="text1"/>
          <w:kern w:val="2"/>
          <w:sz w:val="21"/>
          <w:szCs w:val="21"/>
          <w:highlight w:val="none"/>
          <w:u w:val="singl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7、在册人数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（三）其他情况：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1、专业人员分类及人数：</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2、企业资质证书情况：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3、近三年（2017年10月至今）内因违法违规受到行业及相关机构通报批评以上处理的情况：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4、其他需要说明的情况：</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我方承诺上述情况是真实、准确的，我方同意根据招标人进一步要求出示有关资料予以证实。</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69504"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32" name="直接连接符 32"/>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69504;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A6WKsTtAQAA2gMAAA4AAABkcnMvZTJvRG9jLnhtbK1TzW4T&#10;MRC+I/EOlu9kN0GFdpVNDw3lgiAS8AAT25u15D953GzyErwAEjc4ceTO27Q8BmNvmkK55MAevGPP&#10;zDfzfR7PL3fWsK2KqL1r+XRSc6ac8FK7Tcs/frh+ds4ZJnASjHeq5XuF/HLx9Ml8CI2a+d4bqSIj&#10;EIfNEFrepxSaqkLRKws48UE5cnY+Wki0jZtKRhgI3ZpqVtcvqsFHGaIXCpFOl6OTHxDjKYC+67RQ&#10;Sy9urHJpRI3KQCJK2OuAfFG67Tol0ruuQ5WYaTkxTWWlImSv81ot5tBsIoRei0MLcEoLjzhZ0I6K&#10;HqGWkIDdRP0PlNUievRdmghvq5FIUYRYTOtH2rzvIajChaTGcBQd/x+seLtdRaZly5/POHNg6cbv&#10;Pv+4/fT1188vtN59/8bIQzINARuKvnKreNhhWMXMeddFm//Ehu2KtPujtGqXmKDD6UV9Pn15xpm4&#10;91UPiSFieq28ZdloudEus4YGtm8wUTEKvQ/Jx8axoeUXZ7MMBzSCHV09mTYQDXSbkoveaHmtjckZ&#10;GDfrKxPZFvIYlC9TIty/wnKRJWA/xhXXOCC9AvnKSZb2gfRx9C54bsEqyZlR9IyyRYDQJNDmlEgq&#10;bRx1kFUddczW2st9kbec05WXHg/jmWfqz33JfniS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DpYqxO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0528"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4" name="直接连接符 34"/>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0528;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AudmSPuAQAA2gMAAA4AAABkcnMvZTJvRG9jLnhtbK1TvY4T&#10;MRDukXgHyz3ZvRwBbpXNFReOBkEk4AEmtjdryX/y+LLJS/ACSHRQUdLzNhyPwdiby8HRpGAL79gz&#10;8818n8fzy501bKsiau9afjapOVNOeKndpuUf3l8/ecEZJnASjHeq5XuF/HLx+NF8CI2a+t4bqSIj&#10;EIfNEFrepxSaqkLRKws48UE5cnY+Wki0jZtKRhgI3ZpqWtfPqsFHGaIXCpFOl6OTHxDjKYC+67RQ&#10;Sy9urHJpRI3KQCJK2OuAfFG67Tol0tuuQ5WYaTkxTWWlImSv81ot5tBsIoRei0MLcEoLDzhZ0I6K&#10;HqGWkIDdRP0PlNUievRdmghvq5FIUYRYnNUPtHnXQ1CFC0mN4Sg6/j9Y8Wa7ikzLlp8/5cyBpRu/&#10;/fT958cvv358pvX221dGHpJpCNhQ9JVbxcMOwypmzrsu2vwnNmxXpN0fpVW7xAQdTs/r57MLUl3c&#10;+ar7xBAxvVLesmy03GiXWUMD29eYqBiF3oXkY+PY0PKL2XRGcEAj2NHVk2kD0UC3KbnojZbX2pic&#10;gXGzvjKRbSGPQfkyJcL9KywXWQL2Y1xxjQPSK5AvnWRpH0gfR++C5xaskpwZRc8oWwQITQJtTomk&#10;0sZRB1nVUcdsrb3cF3nLOV156fEwnnmm/tyX7Psnuf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AudmSP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00" w:lineRule="exact"/>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autoSpaceDE/>
        <w:autoSpaceDN/>
        <w:adjustRightInd/>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ascii="宋体" w:hAnsi="宋体" w:eastAsia="宋体"/>
          <w:b/>
          <w:color w:val="000000" w:themeColor="text1"/>
          <w:kern w:val="2"/>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2、法定代表人授权书格式</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bookmarkStart w:id="38" w:name="OLE_LINK4"/>
      <w:bookmarkStart w:id="39" w:name="OLE_LINK3"/>
      <w:bookmarkStart w:id="40" w:name="OLE_LINK2"/>
      <w:bookmarkStart w:id="41" w:name="OLE_LINK17"/>
      <w:bookmarkStart w:id="42" w:name="OLE_LINK19"/>
      <w:bookmarkStart w:id="43" w:name="OLE_LINK12"/>
      <w:bookmarkStart w:id="44" w:name="OLE_LINK10"/>
      <w:bookmarkStart w:id="45" w:name="OLE_LINK6"/>
      <w:bookmarkStart w:id="46" w:name="OLE_LINK9"/>
      <w:bookmarkStart w:id="47" w:name="OLE_LINK16"/>
      <w:bookmarkStart w:id="48" w:name="OLE_LINK5"/>
      <w:bookmarkStart w:id="49" w:name="OLE_LINK8"/>
      <w:bookmarkStart w:id="50" w:name="OLE_LINK15"/>
      <w:bookmarkStart w:id="51" w:name="OLE_LINK7"/>
      <w:bookmarkStart w:id="52" w:name="OLE_LINK11"/>
      <w:bookmarkStart w:id="53" w:name="OLE_LINK14"/>
      <w:bookmarkStart w:id="54" w:name="OLE_LINK13"/>
      <w:bookmarkStart w:id="55" w:name="OLE_LINK20"/>
      <w:bookmarkStart w:id="56" w:name="OLE_LINK18"/>
      <w:bookmarkStart w:id="57" w:name="OLE_LINK21"/>
      <w:r>
        <w:rPr>
          <w:rFonts w:hint="eastAsia" w:ascii="宋体" w:hAnsi="宋体" w:eastAsia="宋体"/>
          <w:color w:val="000000" w:themeColor="text1"/>
          <w:kern w:val="2"/>
          <w:sz w:val="21"/>
          <w:szCs w:val="21"/>
          <w:highlight w:val="none"/>
          <w14:textFill>
            <w14:solidFill>
              <w14:schemeClr w14:val="tx1"/>
            </w14:solidFill>
          </w14:textFill>
        </w:rPr>
        <w:t>致：</w:t>
      </w:r>
      <w:r>
        <w:rPr>
          <w:rFonts w:hint="eastAsia" w:ascii="宋体" w:hAnsi="宋体" w:eastAsia="宋体"/>
          <w:color w:val="000000" w:themeColor="text1"/>
          <w:kern w:val="2"/>
          <w:sz w:val="21"/>
          <w:szCs w:val="21"/>
          <w:highlight w:val="none"/>
          <w:u w:val="single"/>
          <w14:textFill>
            <w14:solidFill>
              <w14:schemeClr w14:val="tx1"/>
            </w14:solidFill>
          </w14:textFill>
        </w:rPr>
        <w:t>上海银鑫建设咨询有限公司</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我______</w:t>
      </w:r>
      <w:r>
        <w:rPr>
          <w:rFonts w:hint="eastAsia" w:ascii="宋体" w:hAnsi="宋体" w:eastAsia="宋体"/>
          <w:color w:val="000000" w:themeColor="text1"/>
          <w:kern w:val="2"/>
          <w:sz w:val="21"/>
          <w:szCs w:val="21"/>
          <w:highlight w:val="none"/>
          <w:u w:val="single"/>
          <w14:textFill>
            <w14:solidFill>
              <w14:schemeClr w14:val="tx1"/>
            </w14:solidFill>
          </w14:textFill>
        </w:rPr>
        <w:t>_     _</w:t>
      </w:r>
      <w:r>
        <w:rPr>
          <w:rFonts w:hint="eastAsia" w:ascii="宋体" w:hAnsi="宋体" w:eastAsia="宋体"/>
          <w:color w:val="000000" w:themeColor="text1"/>
          <w:kern w:val="2"/>
          <w:sz w:val="21"/>
          <w:szCs w:val="21"/>
          <w:highlight w:val="none"/>
          <w14:textFill>
            <w14:solidFill>
              <w14:schemeClr w14:val="tx1"/>
            </w14:solidFill>
          </w14:textFill>
        </w:rPr>
        <w:t>_（姓名）系______</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_        _</w:t>
      </w:r>
      <w:r>
        <w:rPr>
          <w:rFonts w:hint="eastAsia" w:ascii="宋体" w:hAnsi="宋体" w:eastAsia="宋体"/>
          <w:color w:val="000000" w:themeColor="text1"/>
          <w:kern w:val="2"/>
          <w:sz w:val="21"/>
          <w:szCs w:val="21"/>
          <w:highlight w:val="none"/>
          <w14:textFill>
            <w14:solidFill>
              <w14:schemeClr w14:val="tx1"/>
            </w14:solidFill>
          </w14:textFill>
        </w:rPr>
        <w:t xml:space="preserve">_（投标人名称）的法定代表人，现授权委托本单位在职职工 </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（姓名，职务）以我方的名义参加贵司</w:t>
      </w:r>
      <w:r>
        <w:rPr>
          <w:rFonts w:hint="eastAsia" w:ascii="宋体" w:hAnsi="宋体" w:eastAsia="宋体"/>
          <w:color w:val="000000" w:themeColor="text1"/>
          <w:kern w:val="2"/>
          <w:sz w:val="21"/>
          <w:szCs w:val="21"/>
          <w:highlight w:val="none"/>
          <w:u w:val="single"/>
          <w14:textFill>
            <w14:solidFill>
              <w14:schemeClr w14:val="tx1"/>
            </w14:solidFill>
          </w14:textFill>
        </w:rPr>
        <w:t>______________________</w:t>
      </w:r>
      <w:r>
        <w:rPr>
          <w:rFonts w:hint="eastAsia" w:ascii="宋体" w:hAnsi="宋体" w:eastAsia="宋体"/>
          <w:color w:val="000000" w:themeColor="text1"/>
          <w:kern w:val="2"/>
          <w:sz w:val="21"/>
          <w:szCs w:val="21"/>
          <w:highlight w:val="none"/>
          <w14:textFill>
            <w14:solidFill>
              <w14:schemeClr w14:val="tx1"/>
            </w14:solidFill>
          </w14:textFill>
        </w:rPr>
        <w:t>项目的投标活动，并代表我方全权办理针对上述项目的投标、开标、投标文件澄清、签约等一切具体事务和签署相关文件。</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我方对被授权人的签名事项负全部责任。</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贵单位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pPr>
        <w:autoSpaceDE/>
        <w:autoSpaceDN/>
        <w:adjustRightInd/>
        <w:snapToGrid w:val="0"/>
        <w:spacing w:before="120" w:beforeLines="50" w:after="50"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被授权人无转委托权，特此委托。</w:t>
      </w:r>
    </w:p>
    <w:tbl>
      <w:tblPr>
        <w:tblStyle w:val="1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4" w:hRule="atLeast"/>
        </w:trPr>
        <w:tc>
          <w:tcPr>
            <w:tcW w:w="8414" w:type="dxa"/>
            <w:tcBorders>
              <w:top w:val="single" w:color="auto" w:sz="4" w:space="0"/>
              <w:left w:val="single" w:color="auto" w:sz="4" w:space="0"/>
              <w:bottom w:val="single" w:color="auto" w:sz="4" w:space="0"/>
              <w:right w:val="single" w:color="auto" w:sz="4" w:space="0"/>
            </w:tcBorders>
            <w:vAlign w:val="center"/>
          </w:tcPr>
          <w:p>
            <w:pPr>
              <w:autoSpaceDE/>
              <w:autoSpaceDN/>
              <w:adjustRightInd/>
              <w:spacing w:line="360" w:lineRule="auto"/>
              <w:ind w:firstLine="420" w:firstLineChars="200"/>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在此粘贴被授权人身份证正面、反面复印件</w:t>
            </w:r>
          </w:p>
        </w:tc>
      </w:tr>
    </w:tbl>
    <w:p>
      <w:pPr>
        <w:autoSpaceDE/>
        <w:autoSpaceDN/>
        <w:adjustRightInd/>
        <w:spacing w:line="360" w:lineRule="auto"/>
        <w:jc w:val="both"/>
        <w:rPr>
          <w:rFonts w:ascii="宋体" w:eastAsia="宋体"/>
          <w:color w:val="000000" w:themeColor="text1"/>
          <w:kern w:val="2"/>
          <w:sz w:val="21"/>
          <w:szCs w:val="21"/>
          <w:highlight w:val="none"/>
          <w14:textFill>
            <w14:solidFill>
              <w14:schemeClr w14:val="tx1"/>
            </w14:solidFill>
          </w14:textFill>
        </w:rPr>
      </w:pPr>
    </w:p>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bookmarkStart w:id="58" w:name="OLE_LINK1"/>
      <w:r>
        <w:rPr>
          <w:rFonts w:eastAsia="宋体"/>
          <w:color w:val="000000" w:themeColor="text1"/>
          <w:kern w:val="2"/>
          <w:sz w:val="21"/>
          <w:szCs w:val="21"/>
          <w:highlight w:val="none"/>
          <w14:textFill>
            <w14:solidFill>
              <w14:schemeClr w14:val="tx1"/>
            </w14:solidFill>
          </w14:textFill>
        </w:rPr>
        <w:t>委托人名称（公章）：                     受托人（</w:t>
      </w:r>
      <w:r>
        <w:rPr>
          <w:rFonts w:hint="eastAsia" w:eastAsia="宋体"/>
          <w:color w:val="000000" w:themeColor="text1"/>
          <w:kern w:val="2"/>
          <w:sz w:val="21"/>
          <w:szCs w:val="21"/>
          <w:highlight w:val="none"/>
          <w14:textFill>
            <w14:solidFill>
              <w14:schemeClr w14:val="tx1"/>
            </w14:solidFill>
          </w14:textFill>
        </w:rPr>
        <w:t>签名或盖章</w:t>
      </w:r>
      <w:r>
        <w:rPr>
          <w:rFonts w:eastAsia="宋体"/>
          <w:color w:val="000000" w:themeColor="text1"/>
          <w:kern w:val="2"/>
          <w:sz w:val="21"/>
          <w:szCs w:val="21"/>
          <w:highlight w:val="none"/>
          <w14:textFill>
            <w14:solidFill>
              <w14:schemeClr w14:val="tx1"/>
            </w14:solidFill>
          </w14:textFill>
        </w:rPr>
        <w:t>）：</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委托人注册地/营业地：                   住所：</w:t>
      </w:r>
    </w:p>
    <w:p>
      <w:pPr>
        <w:autoSpaceDE/>
        <w:autoSpaceDN/>
        <w:adjustRightInd/>
        <w:spacing w:line="360" w:lineRule="auto"/>
        <w:ind w:firstLine="420" w:firstLineChars="200"/>
        <w:jc w:val="both"/>
        <w:rPr>
          <w:rFonts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委托人法定代表人（签名或盖章）：        身份证号码：</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邮政编码：                              邮政编码：</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电话：                                  电话：</w:t>
      </w:r>
    </w:p>
    <w:p>
      <w:pPr>
        <w:autoSpaceDE/>
        <w:autoSpaceDN/>
        <w:adjustRightInd/>
        <w:spacing w:line="360" w:lineRule="auto"/>
        <w:ind w:firstLine="420" w:firstLineChars="200"/>
        <w:jc w:val="both"/>
        <w:rPr>
          <w:rFonts w:eastAsia="宋体"/>
          <w:color w:val="000000" w:themeColor="text1"/>
          <w:kern w:val="2"/>
          <w:sz w:val="21"/>
          <w:szCs w:val="21"/>
          <w:highlight w:val="none"/>
          <w:u w:val="singl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传真：                                  传真：</w:t>
      </w:r>
    </w:p>
    <w:p>
      <w:pPr>
        <w:autoSpaceDE/>
        <w:autoSpaceDN/>
        <w:adjustRightInd/>
        <w:spacing w:line="360" w:lineRule="auto"/>
        <w:ind w:firstLine="420" w:firstLineChars="200"/>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szCs w:val="21"/>
          <w:highlight w:val="none"/>
          <w14:textFill>
            <w14:solidFill>
              <w14:schemeClr w14:val="tx1"/>
            </w14:solidFill>
          </w14:textFill>
        </w:rPr>
        <w:t>日期：                                  日期：</w:t>
      </w:r>
      <w:bookmarkEnd w:id="58"/>
    </w:p>
    <w:p>
      <w:pPr>
        <w:autoSpaceDE/>
        <w:autoSpaceDN/>
        <w:adjustRightInd/>
        <w:snapToGrid w:val="0"/>
        <w:spacing w:line="360" w:lineRule="auto"/>
        <w:jc w:val="center"/>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kern w:val="2"/>
          <w:sz w:val="21"/>
          <w:szCs w:val="21"/>
          <w:highlight w:val="none"/>
          <w14:textFill>
            <w14:solidFill>
              <w14:schemeClr w14:val="tx1"/>
            </w14:solidFill>
          </w14:textFill>
        </w:rPr>
        <w:t>3、同类或类似项目业绩：投标人近年承接的与本项目类似项目一览表格式</w:t>
      </w:r>
    </w:p>
    <w:p>
      <w:pPr>
        <w:pStyle w:val="9"/>
        <w:spacing w:line="360" w:lineRule="auto"/>
        <w:rPr>
          <w:rFonts w:ascii="宋体" w:hAnsi="宋体"/>
          <w:color w:val="000000" w:themeColor="text1"/>
          <w:szCs w:val="21"/>
          <w:highlight w:val="none"/>
          <w14:textFill>
            <w14:solidFill>
              <w14:schemeClr w14:val="tx1"/>
            </w14:solidFill>
          </w14:textFill>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720"/>
        <w:gridCol w:w="1139"/>
        <w:gridCol w:w="1139"/>
        <w:gridCol w:w="1139"/>
        <w:gridCol w:w="1230"/>
        <w:gridCol w:w="9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序号</w:t>
            </w:r>
          </w:p>
        </w:tc>
        <w:tc>
          <w:tcPr>
            <w:tcW w:w="720" w:type="dxa"/>
            <w:vMerge w:val="restart"/>
            <w:tcBorders>
              <w:top w:val="single" w:color="auto" w:sz="4" w:space="0"/>
              <w:left w:val="single" w:color="auto" w:sz="4" w:space="0"/>
              <w:bottom w:val="single" w:color="auto" w:sz="4" w:space="0"/>
              <w:right w:val="single" w:color="000000"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年份</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项目名称</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采购内容</w:t>
            </w:r>
          </w:p>
        </w:tc>
        <w:tc>
          <w:tcPr>
            <w:tcW w:w="1139" w:type="dxa"/>
            <w:vMerge w:val="restart"/>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供货时间</w:t>
            </w:r>
          </w:p>
        </w:tc>
        <w:tc>
          <w:tcPr>
            <w:tcW w:w="3210" w:type="dxa"/>
            <w:gridSpan w:val="3"/>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业主情况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71"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720" w:type="dxa"/>
            <w:vMerge w:val="continue"/>
            <w:tcBorders>
              <w:top w:val="single" w:color="auto" w:sz="4" w:space="0"/>
              <w:left w:val="single" w:color="auto" w:sz="4" w:space="0"/>
              <w:bottom w:val="single" w:color="auto" w:sz="4" w:space="0"/>
              <w:right w:val="single" w:color="000000"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139" w:type="dxa"/>
            <w:vMerge w:val="continue"/>
            <w:tcBorders>
              <w:top w:val="single" w:color="auto" w:sz="4" w:space="0"/>
              <w:left w:val="single" w:color="auto" w:sz="4" w:space="0"/>
              <w:bottom w:val="single" w:color="auto" w:sz="4" w:space="0"/>
              <w:right w:val="single" w:color="auto" w:sz="4" w:space="0"/>
            </w:tcBorders>
            <w:vAlign w:val="center"/>
          </w:tcPr>
          <w:p>
            <w:pPr>
              <w:widowControl/>
              <w:autoSpaceDE/>
              <w:autoSpaceDN/>
              <w:adjustRightInd/>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单位名称</w:t>
            </w:r>
          </w:p>
        </w:tc>
        <w:tc>
          <w:tcPr>
            <w:tcW w:w="900" w:type="dxa"/>
            <w:tcBorders>
              <w:top w:val="single" w:color="auto" w:sz="4" w:space="0"/>
              <w:left w:val="single" w:color="auto" w:sz="4" w:space="0"/>
              <w:bottom w:val="single" w:color="auto" w:sz="4" w:space="0"/>
              <w:right w:val="single" w:color="auto" w:sz="4" w:space="0"/>
            </w:tcBorders>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经办人</w:t>
            </w:r>
          </w:p>
        </w:tc>
        <w:tc>
          <w:tcPr>
            <w:tcW w:w="1080" w:type="dxa"/>
            <w:tcBorders>
              <w:top w:val="single" w:color="auto" w:sz="4" w:space="0"/>
              <w:left w:val="single" w:color="auto" w:sz="4" w:space="0"/>
              <w:bottom w:val="single" w:color="auto" w:sz="4" w:space="0"/>
              <w:right w:val="single" w:color="auto" w:sz="4" w:space="0"/>
            </w:tcBorders>
            <w:vAlign w:val="center"/>
          </w:tcPr>
          <w:p>
            <w:pPr>
              <w:spacing w:before="120" w:after="120"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1</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2</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3</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5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4</w:t>
            </w:r>
          </w:p>
        </w:tc>
        <w:tc>
          <w:tcPr>
            <w:tcW w:w="720" w:type="dxa"/>
            <w:tcBorders>
              <w:top w:val="single" w:color="auto" w:sz="4" w:space="0"/>
              <w:left w:val="single" w:color="auto" w:sz="4" w:space="0"/>
              <w:bottom w:val="single" w:color="auto" w:sz="4" w:space="0"/>
              <w:right w:val="single" w:color="000000" w:sz="4" w:space="0"/>
            </w:tcBorders>
            <w:vAlign w:val="center"/>
          </w:tcPr>
          <w:p>
            <w:pPr>
              <w:spacing w:line="360" w:lineRule="auto"/>
              <w:jc w:val="center"/>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1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23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olor w:val="000000" w:themeColor="text1"/>
                <w:kern w:val="2"/>
                <w:sz w:val="21"/>
                <w:szCs w:val="21"/>
                <w:highlight w:val="none"/>
                <w14:textFill>
                  <w14:solidFill>
                    <w14:schemeClr w14:val="tx1"/>
                  </w14:solidFill>
                </w14:textFill>
              </w:rPr>
            </w:pPr>
          </w:p>
        </w:tc>
      </w:tr>
    </w:tbl>
    <w:p>
      <w:pPr>
        <w:autoSpaceDE/>
        <w:autoSpaceDN/>
        <w:adjustRightInd/>
        <w:spacing w:line="360" w:lineRule="auto"/>
        <w:ind w:right="4759" w:rightChars="198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附：类似项目的委托合同复印件，复印合同首页和有合同双方盖章的尾页即可。</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1552" behindDoc="0" locked="0" layoutInCell="0" allowOverlap="1">
                <wp:simplePos x="0" y="0"/>
                <wp:positionH relativeFrom="column">
                  <wp:posOffset>1520825</wp:posOffset>
                </wp:positionH>
                <wp:positionV relativeFrom="paragraph">
                  <wp:posOffset>180340</wp:posOffset>
                </wp:positionV>
                <wp:extent cx="1908175"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19.75pt;margin-top:14.2pt;height:0pt;width:150.25pt;z-index:251671552;mso-width-relative:page;mso-height-relative:page;" filled="f" stroked="t" coordsize="21600,21600" o:allowincell="f" o:gfxdata="UEsDBAoAAAAAAIdO4kAAAAAAAAAAAAAAAAAEAAAAZHJzL1BLAwQUAAAACACHTuJAtVMTC9YAAAAJ&#10;AQAADwAAAGRycy9kb3ducmV2LnhtbE2PT0/DMAzF70h8h8hIXCaWrNvQKE13AHrjwgBx9RrTVjRO&#10;12R/4NNjxAFutt/T8+8V65Pv1YHG2AW2MJsaUMR1cB03Fl6eq6sVqJiQHfaBycInRViX52cF5i4c&#10;+YkOm9QoCeGYo4U2pSHXOtYteYzTMBCL9h5Gj0nWsdFuxKOE+15nxlxrjx3LhxYHumup/tjsvYVY&#10;vdKu+prUE/M2bwJlu/vHB7T28mJmbkElOqU/M/zgCzqUwrQNe3ZR9Ray+c1SrDKsFqDEsFwYKbf9&#10;Peiy0P8blN9QSwMEFAAAAAgAh07iQM24Jd/tAQAA2gMAAA4AAABkcnMvZTJvRG9jLnhtbK1TzW4T&#10;MRC+I/EOlu9kN0GFdpVNDw3lgiAS8AAT25u15D953GzyErwAEjc4ceTO27Q8BmNvmkK55MAevGPP&#10;zDfzfR7PL3fWsK2KqL1r+XRSc6ac8FK7Tcs/frh+ds4ZJnASjHeq5XuF/HLx9Ml8CI2a+d4bqSIj&#10;EIfNEFrepxSaqkLRKws48UE5cnY+Wki0jZtKRhgI3ZpqVtcvqsFHGaIXCpFOl6OTHxDjKYC+67RQ&#10;Sy9urHJpRI3KQCJK2OuAfFG67Tol0ruuQ5WYaTkxTWWlImSv81ot5tBsIoRei0MLcEoLjzhZ0I6K&#10;HqGWkIDdRP0PlNUievRdmghvq5FIUYRYTOtH2rzvIajChaTGcBQd/x+seLtdRaZly5+fcebA0o3f&#10;ff5x++nrr59faL37/o2Rh2QaAjYUfeVW8bDDsIqZ866LNv+JDdsVafdHadUuMUGH04v6fPqSSoh7&#10;X/WQGCKm18pblo2WG+0ya2hg+wYTFaPQ+5B8bBwbWn5xNstwQCPY0dWTaQPRQLcpueiNltfamJyB&#10;cbO+MpFtIY9B+TIlwv0rLBdZAvZjXHGNA9IrkK+cZGkfSB9H74LnFqySnBlFzyhbBAhNAm1OiaTS&#10;xlEHWdVRx2ytvdwXecs5XXnp8TCeeab+3Jfshye5+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1&#10;UxML1gAAAAkBAAAPAAAAAAAAAAEAIAAAACIAAABkcnMvZG93bnJldi54bWxQSwECFAAUAAAACACH&#10;TuJAzbgl3+0BAADaAwAADgAAAAAAAAABACAAAAAlAQAAZHJzL2Uyb0RvYy54bWxQSwUGAAAAAAYA&#10;BgBZAQAAhAU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投标人授权代表签字：</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eastAsia="宋体"/>
          <w:color w:val="000000" w:themeColor="text1"/>
          <w:kern w:val="2"/>
          <w:sz w:val="21"/>
          <w:highlight w:val="none"/>
          <w14:textFill>
            <w14:solidFill>
              <w14:schemeClr w14:val="tx1"/>
            </w14:solidFill>
          </w14:textFill>
        </w:rPr>
        <mc:AlternateContent>
          <mc:Choice Requires="wps">
            <w:drawing>
              <wp:anchor distT="0" distB="0" distL="114300" distR="114300" simplePos="0" relativeHeight="251672576" behindDoc="0" locked="0" layoutInCell="0" allowOverlap="1">
                <wp:simplePos x="0" y="0"/>
                <wp:positionH relativeFrom="column">
                  <wp:posOffset>1141095</wp:posOffset>
                </wp:positionH>
                <wp:positionV relativeFrom="paragraph">
                  <wp:posOffset>180340</wp:posOffset>
                </wp:positionV>
                <wp:extent cx="2307590" cy="0"/>
                <wp:effectExtent l="0" t="0" r="0" b="0"/>
                <wp:wrapNone/>
                <wp:docPr id="36" name="直接连接符 36"/>
                <wp:cNvGraphicFramePr/>
                <a:graphic xmlns:a="http://schemas.openxmlformats.org/drawingml/2006/main">
                  <a:graphicData uri="http://schemas.microsoft.com/office/word/2010/wordprocessingShape">
                    <wps:wsp>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89.85pt;margin-top:14.2pt;height:0pt;width:181.7pt;z-index:251672576;mso-width-relative:page;mso-height-relative:page;" filled="f" stroked="t" coordsize="21600,21600" o:allowincell="f" o:gfxdata="UEsDBAoAAAAAAIdO4kAAAAAAAAAAAAAAAAAEAAAAZHJzL1BLAwQUAAAACACHTuJAtUrNrNYAAAAJ&#10;AQAADwAAAGRycy9kb3ducmV2LnhtbE2PPU/DQAyGdyT+w8lILBW9S1poCbl0ALKxtIBY3cQkETlf&#10;mrt+wK/HiAHG1370+nG+OrleHWgMnWcLydSAIq583XFj4eW5vFqCChG5xt4zWfikAKvi/CzHrPZH&#10;XtNhExslJRwytNDGOGRah6olh2HqB2LZvfvRYZQ4Nroe8SjlrtepMTfaYcdyocWB7luqPjZ7ZyGU&#10;r7QrvybVxLzNGk/p7uHpEa29vEjMHahIp/gHw4++qEMhTlu/5zqoXvLidiGohXQ5ByXA9XyWgNr+&#10;DnSR6/8fFN9QSwMEFAAAAAgAh07iQFFZnSnuAQAA2gMAAA4AAABkcnMvZTJvRG9jLnhtbK1TzW4T&#10;MRC+I/EOlu9kt6lS6CqbHhrKBUEk4AEmtjdryX/yuNnkJXgBJG5w4sidt6E8BmNvmkK55MAevGPP&#10;zDfzfR7Pr3bWsK2KqL1r+dmk5kw54aV2m5Z/eH/z7AVnmMBJMN6plu8V8qvF0yfzITRq6ntvpIqM&#10;QBw2Q2h5n1JoqgpFryzgxAflyNn5aCHRNm4qGWEgdGuqaV1fVIOPMkQvFCKdLkcnPyDGUwB912mh&#10;ll7cWuXSiBqVgUSUsNcB+aJ023VKpLddhyox03JimspKRche57VazKHZRAi9FocW4JQWHnGyoB0V&#10;PUItIQG7jfofKKtF9Oi7NBHeViORogixOKsfafOuh6AKF5Iaw1F0/H+w4s12FZmWLT+/4MyBpRu/&#10;+/T958cvv358pvXu21dGHpJpCNhQ9LVbxcMOwypmzrsu2vwnNmxXpN0fpVW7xAQdTs/r57NLUl3c&#10;+6qHxBAxvVLesmy03GiXWUMD29eYqBiF3ofkY+PY0PLL2XRGcEAj2NHVk2kD0UC3KbnojZY32pic&#10;gXGzvjaRbSGPQfkyJcL9KywXWQL2Y1xxjQPSK5AvnWRpH0gfR++C5xaskpwZRc8oWwQITQJtTomk&#10;0sZRB1nVUcdsrb3cF3nLOV156fEwnnmm/tyX7Icnuf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UrNrNYAAAAJAQAADwAAAAAAAAABACAAAAAiAAAAZHJzL2Rvd25yZXYueG1sUEsBAhQAFAAAAAgA&#10;h07iQFFZnSnuAQAA2gMAAA4AAAAAAAAAAQAgAAAAJQEAAGRycy9lMm9Eb2MueG1sUEsFBgAAAAAG&#10;AAYAWQEAAIUFAAAAAA==&#10;">
                <v:fill on="f" focussize="0,0"/>
                <v:stroke color="#000000" joinstyle="round"/>
                <v:imagedata o:title=""/>
                <o:lock v:ext="edit" aspectratio="f"/>
              </v:line>
            </w:pict>
          </mc:Fallback>
        </mc:AlternateContent>
      </w:r>
      <w:r>
        <w:rPr>
          <w:rFonts w:hint="eastAsia" w:ascii="宋体" w:hAnsi="宋体" w:eastAsia="宋体"/>
          <w:color w:val="000000" w:themeColor="text1"/>
          <w:kern w:val="2"/>
          <w:sz w:val="21"/>
          <w:szCs w:val="21"/>
          <w:highlight w:val="none"/>
          <w14:textFill>
            <w14:solidFill>
              <w14:schemeClr w14:val="tx1"/>
            </w14:solidFill>
          </w14:textFill>
        </w:rPr>
        <w:t>投标人（公章）：</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宋体" w:hAnsi="宋体" w:eastAsia="宋体"/>
          <w:color w:val="000000" w:themeColor="text1"/>
          <w:kern w:val="2"/>
          <w:sz w:val="21"/>
          <w:szCs w:val="21"/>
          <w:highlight w:val="none"/>
          <w14:textFill>
            <w14:solidFill>
              <w14:schemeClr w14:val="tx1"/>
            </w14:solidFill>
          </w14:textFill>
        </w:rPr>
        <w:t>日期：</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年</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月</w:t>
      </w:r>
      <w:r>
        <w:rPr>
          <w:rFonts w:hint="eastAsia" w:ascii="宋体" w:hAnsi="宋体" w:eastAsia="宋体"/>
          <w:color w:val="000000" w:themeColor="text1"/>
          <w:kern w:val="2"/>
          <w:sz w:val="21"/>
          <w:szCs w:val="21"/>
          <w:highlight w:val="none"/>
          <w:u w:val="single"/>
          <w14:textFill>
            <w14:solidFill>
              <w14:schemeClr w14:val="tx1"/>
            </w14:solidFill>
          </w14:textFill>
        </w:rPr>
        <w:t xml:space="preserve">      </w:t>
      </w:r>
      <w:r>
        <w:rPr>
          <w:rFonts w:hint="eastAsia" w:ascii="宋体" w:hAnsi="宋体" w:eastAsia="宋体"/>
          <w:color w:val="000000" w:themeColor="text1"/>
          <w:kern w:val="2"/>
          <w:sz w:val="21"/>
          <w:szCs w:val="21"/>
          <w:highlight w:val="none"/>
          <w14:textFill>
            <w14:solidFill>
              <w14:schemeClr w14:val="tx1"/>
            </w14:solidFill>
          </w14:textFill>
        </w:rPr>
        <w:t>日</w:t>
      </w:r>
    </w:p>
    <w:p>
      <w:pPr>
        <w:pStyle w:val="17"/>
        <w:spacing w:line="360" w:lineRule="auto"/>
        <w:ind w:left="422" w:hanging="422"/>
        <w:jc w:val="center"/>
        <w:rPr>
          <w:rFonts w:ascii="宋体" w:hAnsi="宋体"/>
          <w:b/>
          <w:color w:val="000000" w:themeColor="text1"/>
          <w:szCs w:val="21"/>
          <w:highlight w:val="none"/>
          <w14:textFill>
            <w14:solidFill>
              <w14:schemeClr w14:val="tx1"/>
            </w14:solidFill>
          </w14:textFill>
        </w:rPr>
      </w:pPr>
    </w:p>
    <w:p>
      <w:pPr>
        <w:autoSpaceDE/>
        <w:autoSpaceDN/>
        <w:adjustRightInd/>
        <w:snapToGrid w:val="0"/>
        <w:spacing w:line="360" w:lineRule="auto"/>
        <w:jc w:val="center"/>
        <w:rPr>
          <w:rFonts w:ascii="宋体" w:hAnsi="宋体" w:eastAsia="宋体" w:cs="Arial"/>
          <w:b/>
          <w:color w:val="000000" w:themeColor="text1"/>
          <w:sz w:val="21"/>
          <w:szCs w:val="21"/>
          <w:highlight w:val="none"/>
          <w14:textFill>
            <w14:solidFill>
              <w14:schemeClr w14:val="tx1"/>
            </w14:solidFill>
          </w14:textFill>
        </w:rPr>
      </w:pPr>
      <w:r>
        <w:rPr>
          <w:rFonts w:hint="eastAsia" w:ascii="宋体" w:hAnsi="宋体" w:eastAsia="宋体"/>
          <w:color w:val="000000" w:themeColor="text1"/>
          <w:sz w:val="21"/>
          <w:szCs w:val="21"/>
          <w:highlight w:val="none"/>
          <w:u w:val="singl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4</w:t>
      </w:r>
      <w:r>
        <w:rPr>
          <w:rFonts w:hint="eastAsia" w:ascii="宋体" w:hAnsi="宋体" w:eastAsia="宋体"/>
          <w:b/>
          <w:color w:val="000000" w:themeColor="text1"/>
          <w:kern w:val="2"/>
          <w:sz w:val="21"/>
          <w:szCs w:val="21"/>
          <w:highlight w:val="none"/>
          <w14:textFill>
            <w14:solidFill>
              <w14:schemeClr w14:val="tx1"/>
            </w14:solidFill>
          </w14:textFill>
        </w:rPr>
        <w:t>、</w:t>
      </w:r>
      <w:r>
        <w:rPr>
          <w:rFonts w:hint="eastAsia" w:ascii="宋体" w:hAnsi="宋体" w:eastAsia="宋体" w:cs="Arial"/>
          <w:b/>
          <w:color w:val="000000" w:themeColor="text1"/>
          <w:sz w:val="21"/>
          <w:szCs w:val="21"/>
          <w:highlight w:val="none"/>
          <w14:textFill>
            <w14:solidFill>
              <w14:schemeClr w14:val="tx1"/>
            </w14:solidFill>
          </w14:textFill>
        </w:rPr>
        <w:t>中小企业声明函</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本公司郑重声明，根据《政府采购促进中小企业发展暂行办法》（财库[2011]181号）的规定，本公司为______（请填写：中型、小型、微型）企业。即，本公司同时满足以下条件：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1.根据《工业和信息化部、国家统计局、国家发展和改革委员会、财政部关于印发中小企业划型标准规定的通知》（工信部联企业[2011]300号）规定的划分标准，本公司为______（请填写：中型、小型、微型）企业。</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2.本公司参加______单位的______项目采购活动，提供本企业制造的货物，由本企业承担工程、提供服务，或者提供其他______（请填写：中型、小型、微型）企业制造的货物。本条所称货物不包括使用大型企业注册商标的货物。</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本公司对上述声明的真实性负责。如有虚假，将依法承担相应责任。</w:t>
      </w:r>
    </w:p>
    <w:p>
      <w:pPr>
        <w:widowControl/>
        <w:autoSpaceDE/>
        <w:autoSpaceDN/>
        <w:adjustRightInd/>
        <w:spacing w:before="100" w:beforeAutospacing="1" w:after="100" w:afterAutospacing="1" w:line="360" w:lineRule="auto"/>
        <w:ind w:left="4440" w:leftChars="185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企业名称（盖章）：　　　　　　　　　</w:t>
      </w:r>
    </w:p>
    <w:p>
      <w:pPr>
        <w:widowControl/>
        <w:autoSpaceDE/>
        <w:autoSpaceDN/>
        <w:adjustRightInd/>
        <w:spacing w:before="100" w:beforeAutospacing="1" w:after="100" w:afterAutospacing="1" w:line="360" w:lineRule="auto"/>
        <w:ind w:left="4440" w:leftChars="185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日　　　　　　期：</w:t>
      </w: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firstLine="420" w:firstLineChars="200"/>
        <w:jc w:val="both"/>
        <w:rPr>
          <w:rFonts w:eastAsia="宋体"/>
          <w:color w:val="000000" w:themeColor="text1"/>
          <w:kern w:val="2"/>
          <w:sz w:val="21"/>
          <w:highlight w:val="none"/>
          <w14:textFill>
            <w14:solidFill>
              <w14:schemeClr w14:val="tx1"/>
            </w14:solidFill>
          </w14:textFill>
        </w:rPr>
      </w:pP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ascii="宋体" w:hAnsi="宋体" w:eastAsia="宋体"/>
          <w:b/>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5、营业执照、基本账户开户许可证（或基本账户网上备案截图）</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（复印件加盖公章）</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t>6、保证金递交凭证</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（保证金须从基本账户汇出，提供递交凭证复印件加盖公章，如：汇款凭证、银行汇票等）</w:t>
      </w:r>
    </w:p>
    <w:p>
      <w:pPr>
        <w:widowControl/>
        <w:autoSpaceDE/>
        <w:autoSpaceDN/>
        <w:adjustRightInd/>
        <w:spacing w:before="100" w:beforeAutospacing="1" w:after="100" w:afterAutospacing="1" w:line="360" w:lineRule="auto"/>
        <w:jc w:val="center"/>
        <w:rPr>
          <w:rFonts w:ascii="宋体" w:hAnsi="宋体" w:eastAsia="宋体"/>
          <w:b/>
          <w:color w:val="000000" w:themeColor="text1"/>
          <w:sz w:val="21"/>
          <w:szCs w:val="21"/>
          <w:highlight w:val="none"/>
          <w14:textFill>
            <w14:solidFill>
              <w14:schemeClr w14:val="tx1"/>
            </w14:solidFill>
          </w14:textFill>
        </w:rPr>
      </w:pPr>
      <w:r>
        <w:rPr>
          <w:rFonts w:ascii="宋体" w:hAnsi="宋体" w:eastAsia="宋体"/>
          <w:b/>
          <w:color w:val="000000" w:themeColor="text1"/>
          <w:sz w:val="21"/>
          <w:szCs w:val="21"/>
          <w:highlight w:val="none"/>
          <w14:textFill>
            <w14:solidFill>
              <w14:schemeClr w14:val="tx1"/>
            </w14:solidFill>
          </w14:textFill>
        </w:rPr>
        <w:br w:type="page"/>
      </w:r>
      <w:r>
        <w:rPr>
          <w:rFonts w:hint="eastAsia" w:ascii="宋体" w:hAnsi="宋体" w:eastAsia="宋体"/>
          <w:b/>
          <w:color w:val="000000" w:themeColor="text1"/>
          <w:sz w:val="21"/>
          <w:szCs w:val="21"/>
          <w:highlight w:val="none"/>
          <w14:textFill>
            <w14:solidFill>
              <w14:schemeClr w14:val="tx1"/>
            </w14:solidFill>
          </w14:textFill>
        </w:rPr>
        <w:t>7、财务状况报告，依法缴纳税收和社会保障资金的相关材料</w:t>
      </w:r>
    </w:p>
    <w:p>
      <w:pPr>
        <w:widowControl/>
        <w:autoSpaceDE/>
        <w:autoSpaceDN/>
        <w:adjustRightInd/>
        <w:spacing w:before="100" w:beforeAutospacing="1" w:after="100" w:afterAutospacing="1" w:line="360" w:lineRule="auto"/>
        <w:jc w:val="center"/>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（复印件加盖公章）</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（1）财务报告：</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（2）缴纳税收证明：</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（3）缴纳社保资金证明：</w:t>
      </w: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sz w:val="21"/>
          <w:szCs w:val="21"/>
          <w:highlight w:val="none"/>
          <w14:textFill>
            <w14:solidFill>
              <w14:schemeClr w14:val="tx1"/>
            </w14:solidFill>
          </w14:textFill>
        </w:rPr>
      </w:pPr>
    </w:p>
    <w:p>
      <w:pPr>
        <w:widowControl/>
        <w:autoSpaceDE/>
        <w:autoSpaceDN/>
        <w:adjustRightInd/>
        <w:rPr>
          <w:rFonts w:ascii="宋体" w:hAnsi="宋体" w:eastAsia="宋体"/>
          <w:b/>
          <w:color w:val="000000" w:themeColor="text1"/>
          <w:kern w:val="2"/>
          <w:sz w:val="21"/>
          <w:szCs w:val="21"/>
          <w:highlight w:val="none"/>
          <w14:textFill>
            <w14:solidFill>
              <w14:schemeClr w14:val="tx1"/>
            </w14:solidFill>
          </w14:textFill>
        </w:rPr>
      </w:pPr>
      <w:r>
        <w:rPr>
          <w:rFonts w:hint="eastAsia" w:ascii="宋体" w:hAnsi="宋体" w:eastAsia="宋体"/>
          <w:b/>
          <w:color w:val="000000" w:themeColor="text1"/>
          <w:sz w:val="21"/>
          <w:szCs w:val="21"/>
          <w:highlight w:val="none"/>
          <w14:textFill>
            <w14:solidFill>
              <w14:schemeClr w14:val="tx1"/>
            </w14:solidFill>
          </w14:textFill>
        </w:rPr>
        <w:br w:type="page"/>
      </w:r>
    </w:p>
    <w:p>
      <w:pPr>
        <w:autoSpaceDE/>
        <w:autoSpaceDN/>
        <w:adjustRightInd/>
        <w:jc w:val="center"/>
        <w:rPr>
          <w:rFonts w:eastAsia="宋体"/>
          <w:b/>
          <w:color w:val="000000" w:themeColor="text1"/>
          <w:kern w:val="2"/>
          <w:sz w:val="21"/>
          <w:szCs w:val="21"/>
          <w:highlight w:val="none"/>
          <w14:textFill>
            <w14:solidFill>
              <w14:schemeClr w14:val="tx1"/>
            </w14:solidFill>
          </w14:textFill>
        </w:rPr>
      </w:pPr>
      <w:r>
        <w:rPr>
          <w:rFonts w:hint="eastAsia" w:ascii="宋体" w:eastAsia="宋体"/>
          <w:b/>
          <w:color w:val="000000" w:themeColor="text1"/>
          <w:kern w:val="2"/>
          <w:sz w:val="21"/>
          <w:szCs w:val="21"/>
          <w:highlight w:val="none"/>
          <w14:textFill>
            <w14:solidFill>
              <w14:schemeClr w14:val="tx1"/>
            </w14:solidFill>
          </w14:textFill>
        </w:rPr>
        <w:t xml:space="preserve">第七章    </w:t>
      </w:r>
      <w:r>
        <w:rPr>
          <w:rFonts w:hint="eastAsia" w:eastAsia="宋体"/>
          <w:b/>
          <w:color w:val="000000" w:themeColor="text1"/>
          <w:kern w:val="2"/>
          <w:sz w:val="21"/>
          <w:szCs w:val="21"/>
          <w:highlight w:val="none"/>
          <w14:textFill>
            <w14:solidFill>
              <w14:schemeClr w14:val="tx1"/>
            </w14:solidFill>
          </w14:textFill>
        </w:rPr>
        <w:t>合同格式</w:t>
      </w:r>
    </w:p>
    <w:p>
      <w:pPr>
        <w:wordWrap w:val="0"/>
        <w:autoSpaceDE/>
        <w:autoSpaceDN/>
        <w:adjustRightInd/>
        <w:spacing w:line="280" w:lineRule="exact"/>
        <w:jc w:val="right"/>
        <w:rPr>
          <w:rFonts w:ascii="黑体" w:hAnsi="华文中宋" w:eastAsia="黑体"/>
          <w:color w:val="000000" w:themeColor="text1"/>
          <w:kern w:val="2"/>
          <w:sz w:val="22"/>
          <w:szCs w:val="22"/>
          <w:highlight w:val="none"/>
          <w14:textFill>
            <w14:solidFill>
              <w14:schemeClr w14:val="tx1"/>
            </w14:solidFill>
          </w14:textFill>
        </w:rPr>
      </w:pPr>
    </w:p>
    <w:p>
      <w:pPr>
        <w:wordWrap w:val="0"/>
        <w:autoSpaceDE/>
        <w:autoSpaceDN/>
        <w:adjustRightInd/>
        <w:spacing w:line="280" w:lineRule="exact"/>
        <w:jc w:val="right"/>
        <w:rPr>
          <w:rFonts w:ascii="黑体" w:hAnsi="华文中宋" w:eastAsia="黑体"/>
          <w:color w:val="000000" w:themeColor="text1"/>
          <w:kern w:val="2"/>
          <w:sz w:val="22"/>
          <w:szCs w:val="22"/>
          <w:highlight w:val="none"/>
          <w14:textFill>
            <w14:solidFill>
              <w14:schemeClr w14:val="tx1"/>
            </w14:solidFill>
          </w14:textFill>
        </w:rPr>
      </w:pPr>
      <w:r>
        <w:rPr>
          <w:rFonts w:hint="eastAsia" w:ascii="黑体" w:hAnsi="华文中宋" w:eastAsia="黑体"/>
          <w:color w:val="000000" w:themeColor="text1"/>
          <w:kern w:val="2"/>
          <w:sz w:val="22"/>
          <w:szCs w:val="22"/>
          <w:highlight w:val="none"/>
          <w14:textFill>
            <w14:solidFill>
              <w14:schemeClr w14:val="tx1"/>
            </w14:solidFill>
          </w14:textFill>
        </w:rPr>
        <w:t>合同编号：复法合资字[2020]  号</w:t>
      </w: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right="403"/>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center"/>
        <w:rPr>
          <w:rFonts w:ascii="华文中宋" w:hAnsi="华文中宋" w:eastAsia="华文中宋"/>
          <w:color w:val="000000" w:themeColor="text1"/>
          <w:spacing w:val="40"/>
          <w:kern w:val="2"/>
          <w:sz w:val="84"/>
          <w:szCs w:val="84"/>
          <w:highlight w:val="none"/>
          <w14:textFill>
            <w14:solidFill>
              <w14:schemeClr w14:val="tx1"/>
            </w14:solidFill>
          </w14:textFill>
        </w:rPr>
      </w:pPr>
      <w:r>
        <w:rPr>
          <w:rFonts w:hint="eastAsia" w:ascii="华文中宋" w:hAnsi="华文中宋" w:eastAsia="华文中宋"/>
          <w:color w:val="000000" w:themeColor="text1"/>
          <w:spacing w:val="40"/>
          <w:kern w:val="2"/>
          <w:sz w:val="84"/>
          <w:szCs w:val="84"/>
          <w:highlight w:val="none"/>
          <w14:textFill>
            <w14:solidFill>
              <w14:schemeClr w14:val="tx1"/>
            </w14:solidFill>
          </w14:textFill>
        </w:rPr>
        <w:t>买卖合同</w:t>
      </w:r>
    </w:p>
    <w:p>
      <w:pPr>
        <w:autoSpaceDE/>
        <w:autoSpaceDN/>
        <w:adjustRightInd/>
        <w:spacing w:line="200" w:lineRule="exact"/>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甲方：</w:t>
      </w:r>
      <w:r>
        <w:rPr>
          <w:rFonts w:hint="eastAsia" w:ascii="华文中宋" w:hAnsi="华文中宋" w:eastAsia="华文中宋"/>
          <w:b/>
          <w:color w:val="000000" w:themeColor="text1"/>
          <w:spacing w:val="110"/>
          <w:kern w:val="2"/>
          <w:sz w:val="28"/>
          <w:szCs w:val="28"/>
          <w:highlight w:val="none"/>
          <w14:textFill>
            <w14:solidFill>
              <w14:schemeClr w14:val="tx1"/>
            </w14:solidFill>
          </w14:textFill>
        </w:rPr>
        <w:t>复旦大学</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住所：上海市邯郸路220号</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法定代表人：</w:t>
      </w:r>
      <w:r>
        <w:rPr>
          <w:rFonts w:hint="eastAsia" w:ascii="华文中宋" w:hAnsi="华文中宋" w:eastAsia="华文中宋"/>
          <w:b/>
          <w:color w:val="000000" w:themeColor="text1"/>
          <w:spacing w:val="30"/>
          <w:kern w:val="2"/>
          <w:sz w:val="28"/>
          <w:szCs w:val="28"/>
          <w:highlight w:val="none"/>
          <w14:textFill>
            <w14:solidFill>
              <w14:schemeClr w14:val="tx1"/>
            </w14:solidFill>
          </w14:textFill>
        </w:rPr>
        <w:t>许宁生</w:t>
      </w:r>
    </w:p>
    <w:p>
      <w:pPr>
        <w:autoSpaceDE/>
        <w:autoSpaceDN/>
        <w:adjustRightInd/>
        <w:spacing w:line="360" w:lineRule="auto"/>
        <w:jc w:val="both"/>
        <w:rPr>
          <w:rFonts w:ascii="华文中宋" w:hAnsi="华文中宋" w:eastAsia="华文中宋"/>
          <w:color w:val="000000" w:themeColor="text1"/>
          <w:kern w:val="2"/>
          <w:sz w:val="28"/>
          <w:szCs w:val="28"/>
          <w:highlight w:val="none"/>
          <w14:textFill>
            <w14:solidFill>
              <w14:schemeClr w14:val="tx1"/>
            </w14:solidFill>
          </w14:textFill>
        </w:rPr>
      </w:pPr>
    </w:p>
    <w:p>
      <w:pPr>
        <w:autoSpaceDE/>
        <w:autoSpaceDN/>
        <w:adjustRightInd/>
        <w:spacing w:line="360" w:lineRule="auto"/>
        <w:jc w:val="both"/>
        <w:rPr>
          <w:rFonts w:ascii="华文中宋" w:hAnsi="华文中宋" w:eastAsia="华文中宋"/>
          <w:color w:val="000000" w:themeColor="text1"/>
          <w:kern w:val="2"/>
          <w:sz w:val="28"/>
          <w:szCs w:val="28"/>
          <w:highlight w:val="none"/>
          <w14:textFill>
            <w14:solidFill>
              <w14:schemeClr w14:val="tx1"/>
            </w14:solidFill>
          </w14:textFill>
        </w:rPr>
      </w:pP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乙方：</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住所：</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ind w:firstLine="1962" w:firstLineChars="700"/>
        <w:jc w:val="both"/>
        <w:rPr>
          <w:rFonts w:ascii="华文中宋" w:hAnsi="华文中宋" w:eastAsia="华文中宋"/>
          <w:b/>
          <w:color w:val="000000" w:themeColor="text1"/>
          <w:kern w:val="2"/>
          <w:sz w:val="28"/>
          <w:szCs w:val="28"/>
          <w:highlight w:val="none"/>
          <w14:textFill>
            <w14:solidFill>
              <w14:schemeClr w14:val="tx1"/>
            </w14:solidFill>
          </w14:textFill>
        </w:rPr>
      </w:pPr>
      <w:r>
        <w:rPr>
          <w:rFonts w:hint="eastAsia" w:ascii="华文中宋" w:hAnsi="华文中宋" w:eastAsia="华文中宋"/>
          <w:b/>
          <w:color w:val="000000" w:themeColor="text1"/>
          <w:kern w:val="2"/>
          <w:sz w:val="28"/>
          <w:szCs w:val="28"/>
          <w:highlight w:val="none"/>
          <w14:textFill>
            <w14:solidFill>
              <w14:schemeClr w14:val="tx1"/>
            </w14:solidFill>
          </w14:textFill>
        </w:rPr>
        <w:t>法定代表人：</w:t>
      </w:r>
      <w:r>
        <w:rPr>
          <w:rFonts w:ascii="华文中宋" w:hAnsi="华文中宋" w:eastAsia="华文中宋"/>
          <w:b/>
          <w:color w:val="000000" w:themeColor="text1"/>
          <w:kern w:val="2"/>
          <w:sz w:val="28"/>
          <w:szCs w:val="28"/>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甲乙双方就</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购销事宜进行了协商，在平等自愿的基础上达成一致。现为约明双方权利义务，根据《中华人民共和国合同法》等相关法律的规定，订立合同如下，以昭信守：</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第一条  甲方向乙方采购</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（品名）（以下统称“产品”，产品具体描述见附件一），总价为人民币</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w:t>
      </w:r>
      <w:r>
        <w:rPr>
          <w:rFonts w:ascii="宋体" w:hAnsi="宋体" w:eastAsia="宋体" w:cs="Arial"/>
          <w:color w:val="000000" w:themeColor="text1"/>
          <w:sz w:val="21"/>
          <w:szCs w:val="21"/>
          <w:highlight w:val="none"/>
          <w14:textFill>
            <w14:solidFill>
              <w14:schemeClr w14:val="tx1"/>
            </w14:solidFill>
          </w14:textFill>
        </w:rPr>
        <w:t>¥</w:t>
      </w:r>
      <w:r>
        <w:rPr>
          <w:rFonts w:hint="eastAsia" w:ascii="宋体" w:hAnsi="宋体" w:eastAsia="宋体" w:cs="Arial"/>
          <w:color w:val="000000" w:themeColor="text1"/>
          <w:sz w:val="21"/>
          <w:szCs w:val="21"/>
          <w:highlight w:val="none"/>
          <w14:textFill>
            <w14:solidFill>
              <w14:schemeClr w14:val="tx1"/>
            </w14:solidFill>
          </w14:textFill>
        </w:rPr>
        <w:t xml:space="preserve"> </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作出的其他承诺，原厂产品质量标准，国家、地方和行业标准及规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第三条  甲方应在本合同生效后十个工作日内，向乙方支付相当于总价</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%的货款</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元，在产品全部验收合格后十个工作日内，向乙方支付相当于总价  %的货款</w:t>
      </w:r>
      <w:r>
        <w:rPr>
          <w:rFonts w:ascii="宋体" w:hAnsi="宋体" w:eastAsia="宋体" w:cs="Arial"/>
          <w:color w:val="000000" w:themeColor="text1"/>
          <w:sz w:val="21"/>
          <w:szCs w:val="21"/>
          <w:highlight w:val="none"/>
          <w14:textFill>
            <w14:solidFill>
              <w14:schemeClr w14:val="tx1"/>
            </w14:solidFill>
          </w14:textFill>
        </w:rPr>
        <w:t xml:space="preserve">        </w:t>
      </w:r>
      <w:r>
        <w:rPr>
          <w:rFonts w:hint="eastAsia" w:ascii="宋体" w:hAnsi="宋体" w:eastAsia="宋体" w:cs="Arial"/>
          <w:color w:val="000000" w:themeColor="text1"/>
          <w:sz w:val="21"/>
          <w:szCs w:val="21"/>
          <w:highlight w:val="none"/>
          <w14:textFill>
            <w14:solidFill>
              <w14:schemeClr w14:val="tx1"/>
            </w14:solidFill>
          </w14:textFill>
        </w:rPr>
        <w:t>元。</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甲方根据乙方开具的足额合法发票向乙方指定银行账户支付前款约定的货款。</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第四条  乙方应在</w:t>
      </w:r>
      <w:r>
        <w:rPr>
          <w:rFonts w:ascii="宋体" w:hAnsi="宋体" w:eastAsia="宋体" w:cs="Arial"/>
          <w:color w:val="000000" w:themeColor="text1"/>
          <w:sz w:val="21"/>
          <w:szCs w:val="21"/>
          <w:highlight w:val="none"/>
          <w14:textFill>
            <w14:solidFill>
              <w14:schemeClr w14:val="tx1"/>
            </w14:solidFill>
          </w14:textFill>
        </w:rPr>
        <w:t xml:space="preserve">    年  月  日</w:t>
      </w:r>
      <w:r>
        <w:rPr>
          <w:rFonts w:hint="eastAsia" w:ascii="宋体" w:hAnsi="宋体" w:eastAsia="宋体" w:cs="Arial"/>
          <w:color w:val="000000" w:themeColor="text1"/>
          <w:sz w:val="21"/>
          <w:szCs w:val="21"/>
          <w:highlight w:val="none"/>
          <w14:textFill>
            <w14:solidFill>
              <w14:schemeClr w14:val="tx1"/>
            </w14:solidFill>
          </w14:textFill>
        </w:rPr>
        <w:t>前将产品运抵复旦大学       ，向甲方交付产品。乙方向甲方交付产品前，产品毁损、灭失的风险由乙方承担。</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第五条  乙方应采用通用的，或者双方约定的方式包装、运输其向甲方交付的产品，并承担产品的包装、运输及保险费用。</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第六条  甲方应在乙方交付产品后  个工作日内，根据本合同第二条的约定组织验收。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甲方没有及时组织验收的，自乙方交付产品后届满  个工作日起视为验收合格。</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第七条  产品验收合格后的  个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第八条  甲方指定的联系渠道是：</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通讯地址：上海市杨浦区邯郸路220号复旦大学（200433）</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电话/传真：021-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电子信箱：     @fudan.edu.cn</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乙方指定的联系渠道是：</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通讯地址：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电话/传真：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 xml:space="preserve">电子信箱：          </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第九条  甲方逾期履行本合同第三条约定的付款义务的，每逾期一天应按相当于未付货款金额0.5‰的标准，向乙方支付违约金。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乙方未按约履行本合同第七条约定的保修义务的，每逾期一天应按相当于产品维修项目价格金额三倍的标准，向甲方支付违约金。</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一方直接解除本合同的，应及时以书面形式通知相对方，并提供相应的证明。双方应在解除本合同后向权利人返还与本合同项下条款相关且已发生转移的财产，并积极消除因解除合同带来的不利影响。</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第十二条  双方就本合同项下条款内容及相关内容发生争议的，可以友好协商解决；协商解决不成，一方可以根据中华人民共和国法律向上海市杨浦区人民法院提起诉讼。</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第十三条  双方就本合同其余条款约定内容外，同时约定下列内容：</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本条约定内容与本合同其余条款约定内容不相一致处，以本条约定为准。</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第十四条  本合同应作为一个整体被加以解释，各条款约定内容不因顺序排列的先后而产生法律效力的差异。</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本合同生效后，双方可以在平等自愿的基础上协商一致，就本合同项下条款约定内容或其它未尽事宜订立补充协议。补充协议条款约定内容具有不低于本合同项下条款约定内容的法律效力。</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双方订立一份或者多份补充协议，且补充协议与本合同之间、各补充协议之间就同一内容约定不相一致的，以生效时间列为最后的补充协议条款约定为准。</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未经相对方同意，一方将本合同项下条款内容全部或者部分转让给第三人的，相对方可以解除本合同，转让方承担违约责任。</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第十五条  本合同由甲乙双方于     年  月  日在上海市杨浦区邯郸路220号签订，自双方签字盖章后生效。</w:t>
      </w:r>
    </w:p>
    <w:p>
      <w:pPr>
        <w:widowControl/>
        <w:autoSpaceDE/>
        <w:autoSpaceDN/>
        <w:adjustRightInd/>
        <w:spacing w:before="100" w:beforeAutospacing="1" w:after="100" w:afterAutospacing="1" w:line="360" w:lineRule="auto"/>
        <w:ind w:firstLine="420"/>
        <w:rPr>
          <w:rFonts w:ascii="宋体" w:hAnsi="宋体" w:eastAsia="宋体" w:cs="Arial"/>
          <w:color w:val="000000" w:themeColor="text1"/>
          <w:sz w:val="21"/>
          <w:szCs w:val="21"/>
          <w:highlight w:val="none"/>
          <w14:textFill>
            <w14:solidFill>
              <w14:schemeClr w14:val="tx1"/>
            </w14:solidFill>
          </w14:textFill>
        </w:rPr>
      </w:pPr>
      <w:r>
        <w:rPr>
          <w:rFonts w:hint="eastAsia" w:ascii="宋体" w:hAnsi="宋体" w:eastAsia="宋体" w:cs="Arial"/>
          <w:color w:val="000000" w:themeColor="text1"/>
          <w:sz w:val="21"/>
          <w:szCs w:val="21"/>
          <w:highlight w:val="none"/>
          <w14:textFill>
            <w14:solidFill>
              <w14:schemeClr w14:val="tx1"/>
            </w14:solidFill>
          </w14:textFill>
        </w:rPr>
        <w:t>合同文本壹式肆份，双方各执贰份，各份合同文本具有同等法律效力。</w:t>
      </w:r>
    </w:p>
    <w:p>
      <w:pPr>
        <w:autoSpaceDE/>
        <w:autoSpaceDN/>
        <w:adjustRightInd/>
        <w:spacing w:line="360" w:lineRule="auto"/>
        <w:ind w:left="630" w:hanging="630" w:hangingChars="30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ind w:left="630" w:hanging="630" w:hangingChars="300"/>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甲方（盖章）：</w:t>
      </w:r>
      <w:r>
        <w:rPr>
          <w:rFonts w:hint="eastAsia" w:ascii="黑体" w:eastAsia="黑体"/>
          <w:color w:val="000000" w:themeColor="text1"/>
          <w:spacing w:val="40"/>
          <w:kern w:val="2"/>
          <w:highlight w:val="none"/>
          <w14:textFill>
            <w14:solidFill>
              <w14:schemeClr w14:val="tx1"/>
            </w14:solidFill>
          </w14:textFill>
        </w:rPr>
        <w:t>复旦大学</w:t>
      </w: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授权代表（签字）：</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乙方（盖章）：</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600" w:lineRule="exact"/>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授权代表（签字）：</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r>
        <w:rPr>
          <w:rFonts w:ascii="宋体" w:hAnsi="宋体" w:eastAsia="宋体"/>
          <w:color w:val="000000" w:themeColor="text1"/>
          <w:kern w:val="2"/>
          <w:sz w:val="21"/>
          <w:highlight w:val="none"/>
          <w14:textFill>
            <w14:solidFill>
              <w14:schemeClr w14:val="tx1"/>
            </w14:solidFill>
          </w14:textFill>
        </w:rPr>
        <w:br w:type="page"/>
      </w:r>
      <w:r>
        <w:rPr>
          <w:rFonts w:hint="eastAsia" w:ascii="黑体" w:hAnsi="宋体" w:eastAsia="黑体"/>
          <w:color w:val="000000" w:themeColor="text1"/>
          <w:kern w:val="2"/>
          <w:highlight w:val="none"/>
          <w14:textFill>
            <w14:solidFill>
              <w14:schemeClr w14:val="tx1"/>
            </w14:solidFill>
          </w14:textFill>
        </w:rPr>
        <w:t>附件一</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center"/>
        <w:rPr>
          <w:rFonts w:ascii="华文中宋" w:hAnsi="华文中宋" w:eastAsia="华文中宋"/>
          <w:b/>
          <w:color w:val="000000" w:themeColor="text1"/>
          <w:spacing w:val="60"/>
          <w:kern w:val="2"/>
          <w:sz w:val="28"/>
          <w:szCs w:val="28"/>
          <w:highlight w:val="none"/>
          <w14:textFill>
            <w14:solidFill>
              <w14:schemeClr w14:val="tx1"/>
            </w14:solidFill>
          </w14:textFill>
        </w:rPr>
      </w:pPr>
      <w:r>
        <w:rPr>
          <w:rFonts w:hint="eastAsia" w:ascii="华文中宋" w:hAnsi="华文中宋" w:eastAsia="华文中宋"/>
          <w:b/>
          <w:color w:val="000000" w:themeColor="text1"/>
          <w:spacing w:val="60"/>
          <w:kern w:val="2"/>
          <w:sz w:val="28"/>
          <w:szCs w:val="28"/>
          <w:highlight w:val="none"/>
          <w14:textFill>
            <w14:solidFill>
              <w14:schemeClr w14:val="tx1"/>
            </w14:solidFill>
          </w14:textFill>
        </w:rPr>
        <w:t>产品清</w:t>
      </w:r>
      <w:r>
        <w:rPr>
          <w:rFonts w:hint="eastAsia" w:ascii="华文中宋" w:hAnsi="华文中宋" w:eastAsia="华文中宋"/>
          <w:b/>
          <w:color w:val="000000" w:themeColor="text1"/>
          <w:kern w:val="2"/>
          <w:sz w:val="28"/>
          <w:szCs w:val="28"/>
          <w:highlight w:val="none"/>
          <w14:textFill>
            <w14:solidFill>
              <w14:schemeClr w14:val="tx1"/>
            </w14:solidFill>
          </w14:textFill>
        </w:rPr>
        <w:t>单</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甲方（买受人）：复旦大学</w:t>
      </w:r>
    </w:p>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乙方（出卖人）：</w:t>
      </w:r>
      <w:r>
        <w:rPr>
          <w:rFonts w:hint="eastAsia" w:ascii="华文中宋" w:hAnsi="华文中宋" w:eastAsia="华文中宋"/>
          <w:color w:val="000000" w:themeColor="text1"/>
          <w:kern w:val="2"/>
          <w:highlight w:val="none"/>
          <w:u w:val="single"/>
          <w14:textFill>
            <w14:solidFill>
              <w14:schemeClr w14:val="tx1"/>
            </w14:solidFill>
          </w14:textFill>
        </w:rPr>
        <w:t xml:space="preserve">         </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9"/>
        <w:gridCol w:w="776"/>
        <w:gridCol w:w="757"/>
        <w:gridCol w:w="291"/>
        <w:gridCol w:w="969"/>
        <w:gridCol w:w="822"/>
        <w:gridCol w:w="1043"/>
        <w:gridCol w:w="1086"/>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609"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 xml:space="preserve">品 名 </w:t>
            </w:r>
          </w:p>
        </w:tc>
        <w:tc>
          <w:tcPr>
            <w:tcW w:w="1533" w:type="dxa"/>
            <w:gridSpan w:val="2"/>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规格/型号</w:t>
            </w:r>
          </w:p>
        </w:tc>
        <w:tc>
          <w:tcPr>
            <w:tcW w:w="1260" w:type="dxa"/>
            <w:gridSpan w:val="2"/>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生产厂家</w:t>
            </w:r>
          </w:p>
        </w:tc>
        <w:tc>
          <w:tcPr>
            <w:tcW w:w="822"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数 量</w:t>
            </w:r>
          </w:p>
        </w:tc>
        <w:tc>
          <w:tcPr>
            <w:tcW w:w="1043"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单位</w:t>
            </w:r>
          </w:p>
        </w:tc>
        <w:tc>
          <w:tcPr>
            <w:tcW w:w="1086"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单 价</w:t>
            </w:r>
          </w:p>
        </w:tc>
        <w:tc>
          <w:tcPr>
            <w:tcW w:w="1169" w:type="dxa"/>
          </w:tcPr>
          <w:p>
            <w:pPr>
              <w:autoSpaceDE/>
              <w:autoSpaceDN/>
              <w:adjustRightInd/>
              <w:spacing w:line="360" w:lineRule="auto"/>
              <w:jc w:val="center"/>
              <w:rPr>
                <w:rFonts w:ascii="华文中宋" w:hAnsi="华文中宋" w:eastAsia="华文中宋"/>
                <w:color w:val="000000" w:themeColor="text1"/>
                <w:kern w:val="2"/>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总 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533" w:type="dxa"/>
            <w:gridSpan w:val="2"/>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260" w:type="dxa"/>
            <w:gridSpan w:val="2"/>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822"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43"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086"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c>
          <w:tcPr>
            <w:tcW w:w="1169" w:type="dxa"/>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09" w:type="dxa"/>
          </w:tcPr>
          <w:p>
            <w:pPr>
              <w:autoSpaceDE/>
              <w:autoSpaceDN/>
              <w:adjustRightInd/>
              <w:spacing w:line="360" w:lineRule="auto"/>
              <w:jc w:val="center"/>
              <w:rPr>
                <w:rFonts w:ascii="宋体" w:hAnsi="宋体" w:eastAsia="宋体"/>
                <w:color w:val="000000" w:themeColor="text1"/>
                <w:kern w:val="2"/>
                <w:sz w:val="21"/>
                <w:szCs w:val="21"/>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合计总价</w:t>
            </w:r>
          </w:p>
        </w:tc>
        <w:tc>
          <w:tcPr>
            <w:tcW w:w="776" w:type="dxa"/>
          </w:tcPr>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p>
        </w:tc>
        <w:tc>
          <w:tcPr>
            <w:tcW w:w="1048" w:type="dxa"/>
            <w:gridSpan w:val="2"/>
          </w:tcPr>
          <w:p>
            <w:pPr>
              <w:autoSpaceDE/>
              <w:autoSpaceDN/>
              <w:adjustRightInd/>
              <w:spacing w:line="360" w:lineRule="auto"/>
              <w:jc w:val="both"/>
              <w:rPr>
                <w:rFonts w:ascii="华文中宋" w:hAnsi="华文中宋" w:eastAsia="华文中宋"/>
                <w:color w:val="000000" w:themeColor="text1"/>
                <w:kern w:val="2"/>
                <w:highlight w:val="none"/>
                <w14:textFill>
                  <w14:solidFill>
                    <w14:schemeClr w14:val="tx1"/>
                  </w14:solidFill>
                </w14:textFill>
              </w:rPr>
            </w:pPr>
          </w:p>
        </w:tc>
        <w:tc>
          <w:tcPr>
            <w:tcW w:w="5089" w:type="dxa"/>
            <w:gridSpan w:val="5"/>
          </w:tcPr>
          <w:p>
            <w:pPr>
              <w:autoSpaceDE/>
              <w:autoSpaceDN/>
              <w:adjustRightInd/>
              <w:spacing w:line="360" w:lineRule="auto"/>
              <w:jc w:val="both"/>
              <w:rPr>
                <w:rFonts w:ascii="宋体" w:hAnsi="宋体" w:eastAsia="宋体"/>
                <w:color w:val="000000" w:themeColor="text1"/>
                <w:kern w:val="2"/>
                <w:sz w:val="21"/>
                <w:szCs w:val="21"/>
                <w:highlight w:val="none"/>
                <w14:textFill>
                  <w14:solidFill>
                    <w14:schemeClr w14:val="tx1"/>
                  </w14:solidFill>
                </w14:textFill>
              </w:rPr>
            </w:pPr>
            <w:r>
              <w:rPr>
                <w:rFonts w:hint="eastAsia" w:ascii="华文中宋" w:hAnsi="华文中宋" w:eastAsia="华文中宋"/>
                <w:color w:val="000000" w:themeColor="text1"/>
                <w:kern w:val="2"/>
                <w:highlight w:val="none"/>
                <w14:textFill>
                  <w14:solidFill>
                    <w14:schemeClr w14:val="tx1"/>
                  </w14:solidFill>
                </w14:textFill>
              </w:rPr>
              <w:t>￥       元</w:t>
            </w:r>
          </w:p>
        </w:tc>
      </w:tr>
    </w:tbl>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left="617" w:leftChars="257" w:firstLine="3660" w:firstLineChars="1525"/>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甲方（买受人）：复旦大学</w:t>
      </w:r>
    </w:p>
    <w:p>
      <w:pPr>
        <w:autoSpaceDE/>
        <w:autoSpaceDN/>
        <w:adjustRightInd/>
        <w:spacing w:line="360" w:lineRule="auto"/>
        <w:jc w:val="right"/>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u w:val="single"/>
          <w14:textFill>
            <w14:solidFill>
              <w14:schemeClr w14:val="tx1"/>
            </w14:solidFill>
          </w14:textFill>
        </w:rPr>
        <w:t xml:space="preserve">                          </w:t>
      </w:r>
      <w:r>
        <w:rPr>
          <w:rFonts w:hint="eastAsia" w:ascii="黑体" w:eastAsia="黑体"/>
          <w:color w:val="000000" w:themeColor="text1"/>
          <w:kern w:val="2"/>
          <w:highlight w:val="none"/>
          <w14:textFill>
            <w14:solidFill>
              <w14:schemeClr w14:val="tx1"/>
            </w14:solidFill>
          </w14:textFill>
        </w:rPr>
        <w:t>（盖章）</w:t>
      </w: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jc w:val="both"/>
        <w:rPr>
          <w:rFonts w:ascii="宋体" w:hAnsi="宋体" w:eastAsia="宋体"/>
          <w:color w:val="000000" w:themeColor="text1"/>
          <w:kern w:val="2"/>
          <w:sz w:val="21"/>
          <w:highlight w:val="none"/>
          <w14:textFill>
            <w14:solidFill>
              <w14:schemeClr w14:val="tx1"/>
            </w14:solidFill>
          </w14:textFill>
        </w:rPr>
      </w:pPr>
    </w:p>
    <w:p>
      <w:pPr>
        <w:autoSpaceDE/>
        <w:autoSpaceDN/>
        <w:adjustRightInd/>
        <w:spacing w:line="360" w:lineRule="auto"/>
        <w:ind w:left="617" w:leftChars="257" w:firstLine="3660" w:firstLineChars="1525"/>
        <w:jc w:val="both"/>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14:textFill>
            <w14:solidFill>
              <w14:schemeClr w14:val="tx1"/>
            </w14:solidFill>
          </w14:textFill>
        </w:rPr>
        <w:t>乙方（出卖人）：</w:t>
      </w:r>
      <w:r>
        <w:rPr>
          <w:rFonts w:hint="eastAsia" w:ascii="黑体" w:eastAsia="黑体"/>
          <w:color w:val="000000" w:themeColor="text1"/>
          <w:kern w:val="2"/>
          <w:highlight w:val="none"/>
          <w:u w:val="single"/>
          <w14:textFill>
            <w14:solidFill>
              <w14:schemeClr w14:val="tx1"/>
            </w14:solidFill>
          </w14:textFill>
        </w:rPr>
        <w:t xml:space="preserve">           </w:t>
      </w:r>
    </w:p>
    <w:p>
      <w:pPr>
        <w:autoSpaceDE/>
        <w:autoSpaceDN/>
        <w:adjustRightInd/>
        <w:spacing w:line="360" w:lineRule="auto"/>
        <w:jc w:val="right"/>
        <w:rPr>
          <w:rFonts w:ascii="黑体" w:eastAsia="黑体"/>
          <w:color w:val="000000" w:themeColor="text1"/>
          <w:kern w:val="2"/>
          <w:highlight w:val="none"/>
          <w14:textFill>
            <w14:solidFill>
              <w14:schemeClr w14:val="tx1"/>
            </w14:solidFill>
          </w14:textFill>
        </w:rPr>
      </w:pPr>
      <w:r>
        <w:rPr>
          <w:rFonts w:hint="eastAsia" w:ascii="黑体" w:eastAsia="黑体"/>
          <w:color w:val="000000" w:themeColor="text1"/>
          <w:kern w:val="2"/>
          <w:highlight w:val="none"/>
          <w:u w:val="single"/>
          <w14:textFill>
            <w14:solidFill>
              <w14:schemeClr w14:val="tx1"/>
            </w14:solidFill>
          </w14:textFill>
        </w:rPr>
        <w:t xml:space="preserve">                          </w:t>
      </w:r>
      <w:r>
        <w:rPr>
          <w:rFonts w:hint="eastAsia" w:ascii="黑体" w:eastAsia="黑体"/>
          <w:color w:val="000000" w:themeColor="text1"/>
          <w:kern w:val="2"/>
          <w:highlight w:val="none"/>
          <w14:textFill>
            <w14:solidFill>
              <w14:schemeClr w14:val="tx1"/>
            </w14:solidFill>
          </w14:textFill>
        </w:rPr>
        <w:t>（盖章）</w:t>
      </w:r>
    </w:p>
    <w:p>
      <w:pPr>
        <w:autoSpaceDE/>
        <w:autoSpaceDN/>
        <w:adjustRightInd/>
        <w:jc w:val="center"/>
        <w:rPr>
          <w:rFonts w:ascii="微软雅黑" w:hAnsi="微软雅黑" w:eastAsia="微软雅黑"/>
          <w:color w:val="000000" w:themeColor="text1"/>
          <w:kern w:val="2"/>
          <w:highlight w:val="none"/>
          <w14:textFill>
            <w14:solidFill>
              <w14:schemeClr w14:val="tx1"/>
            </w14:solidFill>
          </w14:textFill>
        </w:rPr>
      </w:pPr>
      <w:r>
        <w:rPr>
          <w:rFonts w:ascii="宋体" w:eastAsia="宋体"/>
          <w:bCs/>
          <w:iCs/>
          <w:color w:val="000000" w:themeColor="text1"/>
          <w:kern w:val="2"/>
          <w:sz w:val="21"/>
          <w:highlight w:val="none"/>
          <w14:textFill>
            <w14:solidFill>
              <w14:schemeClr w14:val="tx1"/>
            </w14:solidFill>
          </w14:textFill>
        </w:rPr>
        <w:br w:type="page"/>
      </w:r>
      <w:r>
        <w:rPr>
          <w:rFonts w:hint="eastAsia" w:ascii="仿宋" w:hAnsi="仿宋" w:eastAsia="仿宋" w:cs="仿宋"/>
          <w:color w:val="000000" w:themeColor="text1"/>
          <w:kern w:val="2"/>
          <w:sz w:val="44"/>
          <w:szCs w:val="44"/>
          <w:highlight w:val="none"/>
          <w14:textFill>
            <w14:solidFill>
              <w14:schemeClr w14:val="tx1"/>
            </w14:solidFill>
          </w14:textFill>
        </w:rPr>
        <w:t>中 标 通 知 书 样 式</w:t>
      </w:r>
    </w:p>
    <w:p>
      <w:pPr>
        <w:autoSpaceDE/>
        <w:autoSpaceDN/>
        <w:adjustRightInd/>
        <w:jc w:val="center"/>
        <w:rPr>
          <w:rFonts w:ascii="等线" w:hAnsi="等线" w:eastAsia="等线"/>
          <w:color w:val="000000" w:themeColor="text1"/>
          <w:kern w:val="2"/>
          <w:sz w:val="21"/>
          <w:szCs w:val="21"/>
          <w:highlight w:val="none"/>
          <w14:textFill>
            <w14:solidFill>
              <w14:schemeClr w14:val="tx1"/>
            </w14:solidFill>
          </w14:textFill>
        </w:rPr>
      </w:pPr>
    </w:p>
    <w:tbl>
      <w:tblPr>
        <w:tblStyle w:val="19"/>
        <w:tblW w:w="87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5"/>
        <w:gridCol w:w="6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774" w:type="dxa"/>
            <w:gridSpan w:val="2"/>
            <w:tcBorders>
              <w:top w:val="single" w:color="auto" w:sz="12" w:space="0"/>
              <w:bottom w:val="nil"/>
            </w:tcBorders>
            <w:vAlign w:val="bottom"/>
          </w:tcPr>
          <w:p>
            <w:pPr>
              <w:autoSpaceDE/>
              <w:autoSpaceDN/>
              <w:adjustRightInd/>
              <w:spacing w:line="720" w:lineRule="exact"/>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u w:val="single"/>
                <w14:textFill>
                  <w14:solidFill>
                    <w14:schemeClr w14:val="tx1"/>
                  </w14:solidFill>
                </w14:textFill>
              </w:rPr>
              <w:t>（中标单位名称）：</w:t>
            </w:r>
          </w:p>
          <w:p>
            <w:pPr>
              <w:autoSpaceDE/>
              <w:autoSpaceDN/>
              <w:adjustRightInd/>
              <w:spacing w:line="720" w:lineRule="exact"/>
              <w:ind w:firstLine="600"/>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我单位</w:t>
            </w:r>
            <w:r>
              <w:rPr>
                <w:rFonts w:hint="eastAsia" w:ascii="仿宋" w:hAnsi="仿宋" w:eastAsia="仿宋"/>
                <w:color w:val="000000" w:themeColor="text1"/>
                <w:kern w:val="2"/>
                <w:sz w:val="32"/>
                <w:szCs w:val="32"/>
                <w:highlight w:val="none"/>
                <w:u w:val="single"/>
                <w14:textFill>
                  <w14:solidFill>
                    <w14:schemeClr w14:val="tx1"/>
                  </w14:solidFill>
                </w14:textFill>
              </w:rPr>
              <w:t>（项目名称）（项目编号）</w:t>
            </w:r>
            <w:r>
              <w:rPr>
                <w:rFonts w:hint="eastAsia" w:ascii="仿宋" w:hAnsi="仿宋" w:eastAsia="仿宋"/>
                <w:color w:val="000000" w:themeColor="text1"/>
                <w:kern w:val="2"/>
                <w:sz w:val="32"/>
                <w:szCs w:val="32"/>
                <w:highlight w:val="none"/>
                <w14:textFill>
                  <w14:solidFill>
                    <w14:schemeClr w14:val="tx1"/>
                  </w14:solidFill>
                </w14:textFill>
              </w:rPr>
              <w:t>项目，经评审确定贵司为中标单位，中标金额：</w:t>
            </w:r>
            <w:r>
              <w:rPr>
                <w:rFonts w:hint="eastAsia" w:ascii="宋体" w:hAnsi="宋体" w:eastAsia="宋体" w:cs="宋体"/>
                <w:color w:val="000000" w:themeColor="text1"/>
                <w:kern w:val="2"/>
                <w:sz w:val="32"/>
                <w:szCs w:val="32"/>
                <w:highlight w:val="none"/>
                <w:u w:val="single"/>
                <w14:textFill>
                  <w14:solidFill>
                    <w14:schemeClr w14:val="tx1"/>
                  </w14:solidFill>
                </w14:textFill>
              </w:rPr>
              <w:t>（中标金额数字及大写）</w:t>
            </w:r>
            <w:r>
              <w:rPr>
                <w:rFonts w:hint="eastAsia" w:ascii="仿宋" w:hAnsi="仿宋" w:eastAsia="仿宋"/>
                <w:color w:val="000000" w:themeColor="text1"/>
                <w:kern w:val="2"/>
                <w:sz w:val="32"/>
                <w:szCs w:val="32"/>
                <w:highlight w:val="none"/>
                <w14:textFill>
                  <w14:solidFill>
                    <w14:schemeClr w14:val="tx1"/>
                  </w14:solidFill>
                </w14:textFill>
              </w:rPr>
              <w:t>。</w:t>
            </w:r>
          </w:p>
          <w:p>
            <w:pPr>
              <w:autoSpaceDE/>
              <w:autoSpaceDN/>
              <w:adjustRightInd/>
              <w:spacing w:line="720" w:lineRule="exact"/>
              <w:ind w:firstLine="600"/>
              <w:jc w:val="both"/>
              <w:rPr>
                <w:rFonts w:ascii="仿宋" w:hAnsi="仿宋" w:eastAsia="仿宋"/>
                <w:b/>
                <w:color w:val="000000" w:themeColor="text1"/>
                <w:kern w:val="2"/>
                <w:sz w:val="30"/>
                <w:szCs w:val="30"/>
                <w:highlight w:val="none"/>
                <w14:textFill>
                  <w14:solidFill>
                    <w14:schemeClr w14:val="tx1"/>
                  </w14:solidFill>
                </w14:textFill>
              </w:rPr>
            </w:pPr>
            <w:r>
              <w:rPr>
                <w:rFonts w:hint="eastAsia" w:ascii="仿宋" w:hAnsi="仿宋" w:eastAsia="仿宋"/>
                <w:b/>
                <w:color w:val="000000" w:themeColor="text1"/>
                <w:kern w:val="2"/>
                <w:sz w:val="32"/>
                <w:szCs w:val="32"/>
                <w:highlight w:val="none"/>
                <w14:textFill>
                  <w14:solidFill>
                    <w14:schemeClr w14:val="tx1"/>
                  </w14:solidFill>
                </w14:textFill>
              </w:rPr>
              <w:t>请你单位在中标通知书发出之日起</w:t>
            </w:r>
            <w:r>
              <w:rPr>
                <w:rFonts w:hint="eastAsia" w:ascii="仿宋" w:hAnsi="仿宋" w:eastAsia="仿宋"/>
                <w:b/>
                <w:color w:val="000000" w:themeColor="text1"/>
                <w:kern w:val="2"/>
                <w:sz w:val="32"/>
                <w:szCs w:val="32"/>
                <w:highlight w:val="none"/>
                <w:u w:val="single"/>
                <w14:textFill>
                  <w14:solidFill>
                    <w14:schemeClr w14:val="tx1"/>
                  </w14:solidFill>
                </w14:textFill>
              </w:rPr>
              <w:t>三十日内</w:t>
            </w:r>
            <w:r>
              <w:rPr>
                <w:rFonts w:hint="eastAsia" w:ascii="仿宋" w:hAnsi="仿宋" w:eastAsia="仿宋"/>
                <w:b/>
                <w:color w:val="000000" w:themeColor="text1"/>
                <w:kern w:val="2"/>
                <w:sz w:val="32"/>
                <w:szCs w:val="32"/>
                <w:highlight w:val="none"/>
                <w14:textFill>
                  <w14:solidFill>
                    <w14:schemeClr w14:val="tx1"/>
                  </w14:solidFill>
                </w14:textFill>
              </w:rPr>
              <w:t>与采购单位签订合同。</w:t>
            </w: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p>
          <w:p>
            <w:pPr>
              <w:wordWrap w:val="0"/>
              <w:autoSpaceDE/>
              <w:autoSpaceDN/>
              <w:adjustRightInd/>
              <w:ind w:firstLine="600"/>
              <w:jc w:val="both"/>
              <w:rPr>
                <w:rFonts w:ascii="仿宋" w:hAnsi="仿宋" w:eastAsia="仿宋"/>
                <w:color w:val="000000" w:themeColor="text1"/>
                <w:kern w:val="2"/>
                <w:sz w:val="30"/>
                <w:szCs w:val="30"/>
                <w:highlight w:val="none"/>
                <w14:textFill>
                  <w14:solidFill>
                    <w14:schemeClr w14:val="tx1"/>
                  </w14:solidFill>
                </w14:textFill>
              </w:rPr>
            </w:pPr>
            <w:r>
              <w:rPr>
                <w:rFonts w:ascii="仿宋" w:hAnsi="仿宋" w:eastAsia="仿宋"/>
                <w:color w:val="000000" w:themeColor="text1"/>
                <w:kern w:val="2"/>
                <w:sz w:val="30"/>
                <w:szCs w:val="30"/>
                <w:highlight w:val="none"/>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2395" w:type="dxa"/>
            <w:tcBorders>
              <w:top w:val="nil"/>
              <w:bottom w:val="single" w:color="auto" w:sz="6" w:space="0"/>
              <w:right w:val="nil"/>
            </w:tcBorders>
          </w:tcPr>
          <w:p>
            <w:pPr>
              <w:autoSpaceDE/>
              <w:autoSpaceDN/>
              <w:adjustRightInd/>
              <w:jc w:val="both"/>
              <w:rPr>
                <w:rFonts w:ascii="仿宋" w:hAnsi="仿宋" w:eastAsia="仿宋"/>
                <w:color w:val="000000" w:themeColor="text1"/>
                <w:kern w:val="2"/>
                <w:sz w:val="30"/>
                <w:szCs w:val="30"/>
                <w:highlight w:val="none"/>
                <w14:textFill>
                  <w14:solidFill>
                    <w14:schemeClr w14:val="tx1"/>
                  </w14:solidFill>
                </w14:textFill>
              </w:rPr>
            </w:pPr>
          </w:p>
        </w:tc>
        <w:tc>
          <w:tcPr>
            <w:tcW w:w="6379" w:type="dxa"/>
            <w:tcBorders>
              <w:top w:val="nil"/>
              <w:left w:val="nil"/>
              <w:bottom w:val="single" w:color="auto" w:sz="6" w:space="0"/>
            </w:tcBorders>
          </w:tcPr>
          <w:p>
            <w:pPr>
              <w:autoSpaceDE/>
              <w:autoSpaceDN/>
              <w:adjustRightInd/>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采购单位：复旦大学</w:t>
            </w:r>
          </w:p>
          <w:p>
            <w:pPr>
              <w:wordWrap w:val="0"/>
              <w:autoSpaceDE/>
              <w:autoSpaceDN/>
              <w:adjustRightInd/>
              <w:jc w:val="both"/>
              <w:rPr>
                <w:rFonts w:ascii="仿宋" w:hAnsi="仿宋" w:eastAsia="仿宋"/>
                <w:color w:val="000000" w:themeColor="text1"/>
                <w:kern w:val="2"/>
                <w:sz w:val="32"/>
                <w:szCs w:val="32"/>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招标代理：上海银鑫建设咨询有限公司</w:t>
            </w:r>
          </w:p>
          <w:p>
            <w:pPr>
              <w:wordWrap w:val="0"/>
              <w:autoSpaceDE/>
              <w:autoSpaceDN/>
              <w:adjustRightInd/>
              <w:jc w:val="both"/>
              <w:rPr>
                <w:rFonts w:ascii="仿宋" w:hAnsi="仿宋" w:eastAsia="仿宋"/>
                <w:color w:val="000000" w:themeColor="text1"/>
                <w:kern w:val="2"/>
                <w:sz w:val="30"/>
                <w:szCs w:val="30"/>
                <w:highlight w:val="none"/>
                <w14:textFill>
                  <w14:solidFill>
                    <w14:schemeClr w14:val="tx1"/>
                  </w14:solidFill>
                </w14:textFill>
              </w:rPr>
            </w:pPr>
            <w:r>
              <w:rPr>
                <w:rFonts w:hint="eastAsia" w:ascii="仿宋" w:hAnsi="仿宋" w:eastAsia="仿宋"/>
                <w:color w:val="000000" w:themeColor="text1"/>
                <w:kern w:val="2"/>
                <w:sz w:val="32"/>
                <w:szCs w:val="32"/>
                <w:highlight w:val="none"/>
                <w14:textFill>
                  <w14:solidFill>
                    <w14:schemeClr w14:val="tx1"/>
                  </w14:solidFill>
                </w14:textFill>
              </w:rPr>
              <w:t>日    期：</w:t>
            </w:r>
            <w:r>
              <w:rPr>
                <w:rFonts w:hint="eastAsia" w:ascii="仿宋" w:hAnsi="仿宋" w:eastAsia="仿宋"/>
                <w:color w:val="000000" w:themeColor="text1"/>
                <w:kern w:val="2"/>
                <w:sz w:val="32"/>
                <w:szCs w:val="32"/>
                <w:highlight w:val="none"/>
                <w:u w:val="single"/>
                <w14:textFill>
                  <w14:solidFill>
                    <w14:schemeClr w14:val="tx1"/>
                  </w14:solidFill>
                </w14:textFill>
              </w:rPr>
              <w:t>2020年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 w:hRule="atLeast"/>
          <w:jc w:val="center"/>
        </w:trPr>
        <w:tc>
          <w:tcPr>
            <w:tcW w:w="8774" w:type="dxa"/>
            <w:gridSpan w:val="2"/>
            <w:tcBorders>
              <w:top w:val="single" w:color="auto" w:sz="6" w:space="0"/>
              <w:bottom w:val="single" w:color="auto" w:sz="12" w:space="0"/>
            </w:tcBorders>
          </w:tcPr>
          <w:p>
            <w:pPr>
              <w:autoSpaceDE/>
              <w:autoSpaceDN/>
              <w:adjustRightInd/>
              <w:rPr>
                <w:rFonts w:ascii="仿宋" w:hAnsi="仿宋" w:eastAsia="仿宋"/>
                <w:color w:val="000000" w:themeColor="text1"/>
                <w:kern w:val="2"/>
                <w:sz w:val="21"/>
                <w:szCs w:val="21"/>
                <w:highlight w:val="none"/>
                <w14:textFill>
                  <w14:solidFill>
                    <w14:schemeClr w14:val="tx1"/>
                  </w14:solidFill>
                </w14:textFill>
              </w:rPr>
            </w:pPr>
            <w:r>
              <w:rPr>
                <w:rFonts w:hint="eastAsia" w:ascii="仿宋" w:hAnsi="仿宋" w:eastAsia="仿宋"/>
                <w:color w:val="000000" w:themeColor="text1"/>
                <w:kern w:val="2"/>
                <w:sz w:val="21"/>
                <w:szCs w:val="21"/>
                <w:highlight w:val="none"/>
                <w14:textFill>
                  <w14:solidFill>
                    <w14:schemeClr w14:val="tx1"/>
                  </w14:solidFill>
                </w14:textFill>
              </w:rPr>
              <w:t>注：本项目已在财政部备案    是（</w:t>
            </w:r>
            <w:r>
              <w:rPr>
                <w:rFonts w:hint="eastAsia" w:ascii="宋体" w:hAnsi="宋体" w:eastAsia="宋体"/>
                <w:color w:val="000000" w:themeColor="text1"/>
                <w:kern w:val="2"/>
                <w:sz w:val="21"/>
                <w:szCs w:val="21"/>
                <w:highlight w:val="none"/>
                <w14:textFill>
                  <w14:solidFill>
                    <w14:schemeClr w14:val="tx1"/>
                  </w14:solidFill>
                </w14:textFill>
              </w:rPr>
              <w:t xml:space="preserve"> </w:t>
            </w:r>
            <w:r>
              <w:rPr>
                <w:rFonts w:hint="eastAsia" w:ascii="仿宋" w:hAnsi="仿宋" w:eastAsia="仿宋"/>
                <w:color w:val="000000" w:themeColor="text1"/>
                <w:kern w:val="2"/>
                <w:sz w:val="21"/>
                <w:szCs w:val="21"/>
                <w:highlight w:val="none"/>
                <w14:textFill>
                  <w14:solidFill>
                    <w14:schemeClr w14:val="tx1"/>
                  </w14:solidFill>
                </w14:textFill>
              </w:rPr>
              <w:t>）      否（ ）</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sectPr>
      <w:footerReference r:id="rId8" w:type="first"/>
      <w:headerReference r:id="rId7"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59264"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4" name="Text Box 1"/>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4</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494.45pt;margin-top:781.9pt;height:11pt;width:13pt;mso-position-horizontal-relative:page;mso-position-vertical-relative:page;z-index:-251657216;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Azjn7x+QEAAAMEAAAOAAAAZHJzL2Uyb0RvYy54bWyt&#10;U8FuEzEQvSPxD5bvZJMCBVbZVKVREVIpSC0fMPF6sxZrjxk72S1fz9hOQimXHrhYY3v85r034+XF&#10;ZAex1xQMukYuZnMptFPYGrdt5Pf761fvpQgRXAsDOt3IBx3kxerli+Xoa32GPQ6tJsEgLtSjb2Qf&#10;o6+rKqheWwgz9NrxZYdkIfKWtlVLMDK6Haqz+fy8GpFaT6h0CHy6LpfygEjPAcSuM0qvUe2sdrGg&#10;kh4gsqTQGx/kKrPtOq3i164LOoqhkaw05pWLcLxJa7VaQr0l8L1RBwrwHApPNFkwjoueoNYQQezI&#10;/ANljSIM2MWZQlsVIdkRVrGYP/Hmrgevsxa2OviT6eH/warb/TcSpm3kGykcWG74vZ6i+IiTWCR3&#10;Rh9qTrrznBYnPuaZyUqDv0H1IwiHVz24rb4kwrHX0DK7/LJ69LTghASyGb9gy2VgFzEDTR3ZZB2b&#10;IRidO/Nw6kyiolLJ87eLOd8ovlq8/vCOY+ZWQX187CnETxqtSEEjiRufwWF/E2JJPaakWg6vzTDk&#10;5g/urwPGTCeZfOJbmMdpMx3M2GD7wDIIyyzxT+KgR/olxchz1MjwcwekpRg+O7YiDd0xoGOwOQbg&#10;FD9tZJSihFexDOfOk9n2jFzMdnjJdnUmS0m+FhYHnjwb2YzDHKfhe7zPWX/+7u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a9rWNoAAAAOAQAADwAAAAAAAAABACAAAAAiAAAAZHJzL2Rvd25yZXYu&#10;eG1sUEsBAhQAFAAAAAgAh07iQDOOfvH5AQAAAwQAAA4AAAAAAAAAAQAgAAAAKQEAAGRycy9lMm9E&#10;b2MueG1sUEsFBgAAAAAGAAYAWQEAAJQFAAAA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4</w:t>
                    </w:r>
                    <w:r>
                      <w:rPr>
                        <w:rFonts w:ascii="Times New Roman" w:cs="Times New Roman" w:eastAsiaTheme="minorEastAsia"/>
                        <w:sz w:val="18"/>
                        <w:szCs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61312"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13</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494.45pt;margin-top:781.9pt;height:11pt;width:13pt;mso-position-horizontal-relative:page;mso-position-vertical-relative:page;z-index:-251655168;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BemlXw+gEAAAMEAAAOAAAAZHJzL2Uyb0RvYy54bWyt&#10;U01v2zAMvQ/YfxB0X5ykWLcZcYquQYcB3QfQ7gcwshwLs0SNUmJnv36UHKddd+lhF4GiqMf3nqjV&#10;1WA7cdAUDLpKLmZzKbRTWBu3q+SPh9s376UIEVwNHTpdyaMO8mr9+tWq96VeYotdrUkwiAtl7yvZ&#10;xujLogiq1RbCDL12fNggWYi8pV1RE/SMbrtiOZ9fFj1S7QmVDoGzm/FQnhDpJYDYNEbpDaq91S6O&#10;qKQ7iCwptMYHuc5sm0ar+K1pgo6iqyQrjXnlJhxv01qsV1DuCHxr1IkCvITCM00WjOOmZ6gNRBB7&#10;Mv9AWaMIAzZxptAWo5DsCKtYzJ95c9+C11kLWx382fTw/2DV18N3Eqau5IUUDiw/+IMeoviIg1gm&#10;d3ofSi6691wWB07zzGSlwd+h+hmEw5sW3E5fE2HfaqiZ3SLdLJ5cHXFCAtn2X7DmNrCPmIGGhmyy&#10;js0QjM4vczy/TKKiUsvLt4s5nyg+Wlx8eMdx6gDldNlTiJ80WpGCShI/fAaHw12IY+lUkno5vDVd&#10;x3koO/dXgjFTJpNPfEfmcdgOXJ0UbbE+sgzCcZb4J3HQIv2Wouc5qmT4tQfSUnSfHVuRhm4KaAq2&#10;UwBO8dVKRinG8CaOw7n3ZHYtI49mO7xmuxqTpTyyOPHk2chmnOY4Dd/Tfa56/Lv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va1jaAAAADgEAAA8AAAAAAAAAAQAgAAAAIgAAAGRycy9kb3ducmV2&#10;LnhtbFBLAQIUABQAAAAIAIdO4kBemlXw+gEAAAMEAAAOAAAAAAAAAAEAIAAAACkBAABkcnMvZTJv&#10;RG9jLnhtbFBLBQYAAAAABgAGAFkBAACVBQAAA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13</w:t>
                    </w:r>
                    <w:r>
                      <w:rPr>
                        <w:rFonts w:ascii="Times New Roman" w:cs="Times New Roman" w:eastAsiaTheme="minorEastAsia"/>
                        <w:sz w:val="18"/>
                        <w:szCs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18"/>
        <w:szCs w:val="18"/>
      </w:rPr>
    </w:pPr>
    <w:r>
      <mc:AlternateContent>
        <mc:Choice Requires="wps">
          <w:drawing>
            <wp:anchor distT="0" distB="0" distL="114300" distR="114300" simplePos="0" relativeHeight="251663360" behindDoc="1" locked="0" layoutInCell="0" allowOverlap="1">
              <wp:simplePos x="0" y="0"/>
              <wp:positionH relativeFrom="page">
                <wp:posOffset>6279515</wp:posOffset>
              </wp:positionH>
              <wp:positionV relativeFrom="page">
                <wp:posOffset>10200640</wp:posOffset>
              </wp:positionV>
              <wp:extent cx="165100" cy="139700"/>
              <wp:effectExtent l="0" t="0" r="0"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21</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94.45pt;margin-top:803.2pt;height:11pt;width:13pt;mso-position-horizontal-relative:page;mso-position-vertical-relative:page;z-index:-251653120;mso-width-relative:page;mso-height-relative:page;" filled="f" stroked="f" coordsize="21600,21600" o:allowincell="f" o:gfxdata="UEsDBAoAAAAAAIdO4kAAAAAAAAAAAAAAAAAEAAAAZHJzL1BLAwQUAAAACACHTuJApFAvVNkAAAAO&#10;AQAADwAAAGRycy9kb3ducmV2LnhtbE2PT0+EMBDF7yZ+h2ZMvLktG0IAKRtj9GRiZPHgsdAuNEun&#10;SLt//PYOJz3Oe7+8ea/aXd3EzmYJ1qOEZCOAGey9tjhI+GxfH3JgISrUavJoJPyYALv69qZSpfYX&#10;bMx5HwdGIRhKJWGMcS45D/1onAobPxsk7+AXpyKdy8D1oi4U7ia+FSLjTlmkD6OazfNo+uP+5CQ8&#10;fWHzYr/fu4/m0Ni2LQS+ZUcp7+8S8Qgsmmv8g2GtT9Whpk6dP6EObJJQ5HlBKBmZyFJgKyKSlLRu&#10;1bZ5Cryu+P8Z9S9QSwMEFAAAAAgAh07iQKsTk7L6AQAAAwQAAA4AAABkcnMvZTJvRG9jLnhtbK1T&#10;TW/bMAy9D9h/EHRfnKRYtxlxiq5BhwHdB9DuBzCyHAuzRI1SYme/fpQcp1136WEXgaKox/eeqNXV&#10;YDtx0BQMukouZnMptFNYG7er5I+H2zfvpQgRXA0dOl3Jow7yav361ar3pV5ii12tSTCIC2XvK9nG&#10;6MuiCKrVFsIMvXZ82CBZiLylXVET9Ixuu2I5n18WPVLtCZUOgbOb8VCeEOklgNg0RukNqr3VLo6o&#10;pDuILCm0xge5zmybRqv4rWmCjqKrJCuNeeUmHG/TWqxXUO4IfGvUiQK8hMIzTRaM46ZnqA1EEHsy&#10;/0BZowgDNnGm0BajkOwIq1jMn3lz34LXWQtbHfzZ9PD/YNXXw3cSpq7kUgoHlh/8QQ9RfMRBXCR3&#10;eh9KLrr3XBYHTvPMZKXB36H6GYTDmxbcTl8TYd9qqJndIt0snlwdcUIC2fZfsOY2sI+YgYaGbLKO&#10;zRCMzi9zPL9MoqJSy8u3izmfKD5aXHx4x3HqAOV02VOInzRakYJKEj98BofDXYhj6VSSejm8NV3H&#10;eSg791eCMVMmk098R+Zx2A5cnRRtsT6yDMJxlvgncdAi/Zai5zmqZPi1B9JSdJ8dW5GGbgpoCrZT&#10;AE7x1UpGKcbwJo7Dufdkdi0jj2Y7vGa7GpOlPLI48eTZyGac5jgN39N9rnr8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FAvVNkAAAAOAQAADwAAAAAAAAABACAAAAAiAAAAZHJzL2Rvd25yZXYu&#10;eG1sUEsBAhQAFAAAAAgAh07iQKsTk7L6AQAAAwQAAA4AAAAAAAAAAQAgAAAAKAEAAGRycy9lMm9E&#10;b2MueG1sUEsFBgAAAAAGAAYAWQEAAJQFAAAA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21</w:t>
                    </w:r>
                    <w:r>
                      <w:rPr>
                        <w:rFonts w:ascii="Times New Roman" w:cs="Times New Roman" w:eastAsiaTheme="minorEastAsia"/>
                        <w:sz w:val="18"/>
                        <w:szCs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insoku w:val="0"/>
      <w:overflowPunct w:val="0"/>
      <w:spacing w:before="0" w:line="14" w:lineRule="auto"/>
      <w:ind w:left="0"/>
      <w:rPr>
        <w:rFonts w:ascii="Times New Roman" w:cs="Times New Roman" w:eastAsiaTheme="minorEastAsia"/>
        <w:sz w:val="20"/>
        <w:szCs w:val="20"/>
      </w:rPr>
    </w:pPr>
    <w:r>
      <mc:AlternateContent>
        <mc:Choice Requires="wps">
          <w:drawing>
            <wp:anchor distT="0" distB="0" distL="114300" distR="114300" simplePos="0" relativeHeight="251665408" behindDoc="1" locked="0" layoutInCell="0" allowOverlap="1">
              <wp:simplePos x="0" y="0"/>
              <wp:positionH relativeFrom="page">
                <wp:posOffset>6279515</wp:posOffset>
              </wp:positionH>
              <wp:positionV relativeFrom="page">
                <wp:posOffset>9930130</wp:posOffset>
              </wp:positionV>
              <wp:extent cx="165100" cy="139700"/>
              <wp:effectExtent l="0" t="0" r="0" b="0"/>
              <wp:wrapNone/>
              <wp:docPr id="1" name="Text Box 4"/>
              <wp:cNvGraphicFramePr/>
              <a:graphic xmlns:a="http://schemas.openxmlformats.org/drawingml/2006/main">
                <a:graphicData uri="http://schemas.microsoft.com/office/word/2010/wordprocessingShape">
                  <wps:wsp>
                    <wps:cNvSpPr txBox="1">
                      <a:spLocks noChangeArrowheads="1"/>
                    </wps:cNvSpPr>
                    <wps:spPr bwMode="auto">
                      <a:xfrm>
                        <a:off x="0" y="0"/>
                        <a:ext cx="165100" cy="139700"/>
                      </a:xfrm>
                      <a:prstGeom prst="rect">
                        <a:avLst/>
                      </a:prstGeom>
                      <a:noFill/>
                      <a:ln>
                        <a:noFill/>
                      </a:ln>
                    </wps:spPr>
                    <wps:txbx>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31</w:t>
                          </w:r>
                          <w:r>
                            <w:rPr>
                              <w:rFonts w:ascii="Times New Roman" w:cs="Times New Roman" w:eastAsiaTheme="minorEastAsia"/>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94.45pt;margin-top:781.9pt;height:11pt;width:13pt;mso-position-horizontal-relative:page;mso-position-vertical-relative:page;z-index:-251651072;mso-width-relative:page;mso-height-relative:page;" filled="f" stroked="f" coordsize="21600,21600" o:allowincell="f" o:gfxdata="UEsDBAoAAAAAAIdO4kAAAAAAAAAAAAAAAAAEAAAAZHJzL1BLAwQUAAAACACHTuJApa9rWNoAAAAO&#10;AQAADwAAAGRycy9kb3ducmV2LnhtbE2PzU7DMBCE70i8g7VI3KgdoJET4lQIwQkJkYYDRydxE6vx&#10;OsTuD2/P5lSOO/NpdqbYnN3IjmYO1qOCZCWAGWx9Z7FX8FW/3UlgIWrs9OjRKPg1ATbl9VWh886f&#10;sDLHbewZhWDItYIhxinnPLSDcTqs/GSQvJ2fnY50zj3vZn2icDfyeyFS7rRF+jDoybwMpt1vD07B&#10;8zdWr/bno/msdpWt60zge7pX6vYmEU/AojnHCwxLfaoOJXVq/AG7wEYFmZQZoWSs0wcasSAieSSt&#10;WTS5lsDLgv+fUf4BUEsDBBQAAAAIAIdO4kBTJtNj+gEAAAMEAAAOAAAAZHJzL2Uyb0RvYy54bWyt&#10;U01v2zAMvQ/YfxB0X5x0W7cZcYquQYcB3QfQ7gcwshwLs0SNVGJ3v36UnaRdd+lhF4GiqMf3nqjl&#10;xeA7tbfEDkOlF7O5VjYYrF3YVvrH3fWr91pxglBDh8FW+t6yvli9fLHsY2nPsMWutqQEJHDZx0q3&#10;KcWyKNi01gPPMNoghw2ShyRb2hY1QS/ovivO5vPzokeqI6GxzJJdT4f6gEjPAcSmccau0ey8DWlC&#10;JdtBEkncush6NbJtGmvSt6Zhm1RXaVGaxlWaSLzJa7FaQrkliK0zBwrwHApPNHlwQZqeoNaQQO3I&#10;/QPlnSFkbNLMoC8mIaMjomIxf+LNbQvRjlrEao4n0/n/wZqv+++kXC2ToFUALw9+Z4ekPuKg3mR3&#10;+silFN1GKUuDpHNlVsrxBs1PVgGvWghbe0mEfWuhFnaLfLN4dHXC4Qyy6b9gLW1gl3AEGhryGVDM&#10;UIIuL3N/eplMxeSW528XczkxcrR4/eGdxLkDlMfLkTh9suhVDipN8vAjOOxvOE2lx5LcK+C16zrJ&#10;Q9mFvxKCmTMj+cx3Yp6GzSDVWdEG63uRQTjNkvwkCVqk31r1MkeV5l87IKtV9zmIFXnojgEdg80x&#10;gGDkaqWTVlN4labh3EVy21aQJ7MDXopdjRulPLA48JTZGM04zHEevsf7serh767+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va1jaAAAADgEAAA8AAAAAAAAAAQAgAAAAIgAAAGRycy9kb3ducmV2&#10;LnhtbFBLAQIUABQAAAAIAIdO4kBTJtNj+gEAAAMEAAAOAAAAAAAAAAEAIAAAACkBAABkcnMvZTJv&#10;RG9jLnhtbFBLBQYAAAAABgAGAFkBAACVBQAAAAA=&#10;">
              <v:fill on="f" focussize="0,0"/>
              <v:stroke on="f"/>
              <v:imagedata o:title=""/>
              <o:lock v:ext="edit" aspectratio="f"/>
              <v:textbox inset="0mm,0mm,0mm,0mm">
                <w:txbxContent>
                  <w:p>
                    <w:pPr>
                      <w:pStyle w:val="11"/>
                      <w:kinsoku w:val="0"/>
                      <w:overflowPunct w:val="0"/>
                      <w:spacing w:before="0" w:line="204" w:lineRule="exact"/>
                      <w:ind w:left="40"/>
                      <w:rPr>
                        <w:rFonts w:ascii="Times New Roman" w:cs="Times New Roman" w:eastAsiaTheme="minorEastAsia"/>
                        <w:sz w:val="18"/>
                        <w:szCs w:val="18"/>
                      </w:rPr>
                    </w:pPr>
                    <w:r>
                      <w:rPr>
                        <w:rFonts w:ascii="Times New Roman" w:cs="Times New Roman" w:eastAsiaTheme="minorEastAsia"/>
                        <w:sz w:val="18"/>
                        <w:szCs w:val="18"/>
                      </w:rPr>
                      <w:fldChar w:fldCharType="begin"/>
                    </w:r>
                    <w:r>
                      <w:rPr>
                        <w:rFonts w:ascii="Times New Roman" w:cs="Times New Roman" w:eastAsiaTheme="minorEastAsia"/>
                        <w:sz w:val="18"/>
                        <w:szCs w:val="18"/>
                      </w:rPr>
                      <w:instrText xml:space="preserve"> PAGE </w:instrText>
                    </w:r>
                    <w:r>
                      <w:rPr>
                        <w:rFonts w:ascii="Times New Roman" w:cs="Times New Roman" w:eastAsiaTheme="minorEastAsia"/>
                        <w:sz w:val="18"/>
                        <w:szCs w:val="18"/>
                      </w:rPr>
                      <w:fldChar w:fldCharType="separate"/>
                    </w:r>
                    <w:r>
                      <w:rPr>
                        <w:rFonts w:ascii="Times New Roman" w:cs="Times New Roman" w:eastAsiaTheme="minorEastAsia"/>
                        <w:sz w:val="18"/>
                        <w:szCs w:val="18"/>
                      </w:rPr>
                      <w:t>31</w:t>
                    </w:r>
                    <w:r>
                      <w:rPr>
                        <w:rFonts w:ascii="Times New Roman" w:cs="Times New Roman" w:eastAsiaTheme="minorEastAsia"/>
                        <w:sz w:val="18"/>
                        <w:szCs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eastAsia="宋体"/>
        <w:kern w:val="2"/>
        <w:sz w:val="18"/>
        <w:szCs w:val="18"/>
      </w:rPr>
    </w:pPr>
    <w:r>
      <w:rPr>
        <w:rFonts w:hint="eastAsia" w:eastAsia="宋体"/>
        <w:sz w:val="18"/>
        <w:szCs w:val="21"/>
      </w:rPr>
      <w:t xml:space="preserve">第 </w:t>
    </w:r>
    <w:r>
      <w:rPr>
        <w:rFonts w:eastAsia="宋体"/>
        <w:sz w:val="18"/>
        <w:szCs w:val="21"/>
      </w:rPr>
      <w:fldChar w:fldCharType="begin"/>
    </w:r>
    <w:r>
      <w:rPr>
        <w:rFonts w:eastAsia="宋体"/>
        <w:sz w:val="18"/>
        <w:szCs w:val="21"/>
      </w:rPr>
      <w:instrText xml:space="preserve"> PAGE </w:instrText>
    </w:r>
    <w:r>
      <w:rPr>
        <w:rFonts w:eastAsia="宋体"/>
        <w:sz w:val="18"/>
        <w:szCs w:val="21"/>
      </w:rPr>
      <w:fldChar w:fldCharType="separate"/>
    </w:r>
    <w:r>
      <w:rPr>
        <w:rFonts w:eastAsia="宋体"/>
        <w:sz w:val="18"/>
        <w:szCs w:val="21"/>
      </w:rPr>
      <w:t>51</w:t>
    </w:r>
    <w:r>
      <w:rPr>
        <w:rFonts w:eastAsia="宋体"/>
        <w:sz w:val="18"/>
        <w:szCs w:val="21"/>
      </w:rPr>
      <w:fldChar w:fldCharType="end"/>
    </w:r>
    <w:r>
      <w:rPr>
        <w:rFonts w:hint="eastAsia" w:eastAsia="宋体"/>
        <w:sz w:val="18"/>
        <w:szCs w:val="21"/>
      </w:rPr>
      <w:t xml:space="preserve"> 页 共 </w:t>
    </w:r>
    <w:r>
      <w:rPr>
        <w:rFonts w:eastAsia="宋体"/>
        <w:sz w:val="18"/>
        <w:szCs w:val="21"/>
      </w:rPr>
      <w:fldChar w:fldCharType="begin"/>
    </w:r>
    <w:r>
      <w:rPr>
        <w:rFonts w:eastAsia="宋体"/>
        <w:sz w:val="18"/>
        <w:szCs w:val="21"/>
      </w:rPr>
      <w:instrText xml:space="preserve"> NUMPAGES </w:instrText>
    </w:r>
    <w:r>
      <w:rPr>
        <w:rFonts w:eastAsia="宋体"/>
        <w:sz w:val="18"/>
        <w:szCs w:val="21"/>
      </w:rPr>
      <w:fldChar w:fldCharType="separate"/>
    </w:r>
    <w:r>
      <w:rPr>
        <w:rFonts w:eastAsia="宋体"/>
        <w:sz w:val="18"/>
        <w:szCs w:val="21"/>
      </w:rPr>
      <w:t>57</w:t>
    </w:r>
    <w:r>
      <w:rPr>
        <w:rFonts w:eastAsia="宋体"/>
        <w:sz w:val="18"/>
        <w:szCs w:val="21"/>
      </w:rPr>
      <w:fldChar w:fldCharType="end"/>
    </w:r>
    <w:r>
      <w:rPr>
        <w:rFonts w:hint="eastAsia" w:eastAsia="宋体"/>
        <w:sz w:val="18"/>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autoSpaceDN/>
      <w:adjustRightInd/>
      <w:jc w:val="both"/>
      <w:rPr>
        <w:rFonts w:eastAsia="宋体"/>
        <w:kern w:val="2"/>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9F42"/>
    <w:multiLevelType w:val="multilevel"/>
    <w:tmpl w:val="04529F42"/>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D125058"/>
    <w:multiLevelType w:val="multilevel"/>
    <w:tmpl w:val="3D125058"/>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D8D3916"/>
    <w:multiLevelType w:val="multilevel"/>
    <w:tmpl w:val="5D8D3916"/>
    <w:lvl w:ilvl="0" w:tentative="0">
      <w:start w:val="1"/>
      <w:numFmt w:val="japaneseCounting"/>
      <w:lvlText w:val="%1、"/>
      <w:lvlJc w:val="left"/>
      <w:pPr>
        <w:ind w:left="537" w:hanging="420"/>
      </w:pPr>
      <w:rPr>
        <w:rFonts w:hint="default"/>
      </w:rPr>
    </w:lvl>
    <w:lvl w:ilvl="1" w:tentative="0">
      <w:start w:val="1"/>
      <w:numFmt w:val="lowerLetter"/>
      <w:lvlText w:val="%2)"/>
      <w:lvlJc w:val="left"/>
      <w:pPr>
        <w:ind w:left="957" w:hanging="420"/>
      </w:pPr>
    </w:lvl>
    <w:lvl w:ilvl="2" w:tentative="0">
      <w:start w:val="1"/>
      <w:numFmt w:val="lowerRoman"/>
      <w:lvlText w:val="%3."/>
      <w:lvlJc w:val="right"/>
      <w:pPr>
        <w:ind w:left="1377" w:hanging="420"/>
      </w:pPr>
    </w:lvl>
    <w:lvl w:ilvl="3" w:tentative="0">
      <w:start w:val="1"/>
      <w:numFmt w:val="decimal"/>
      <w:lvlText w:val="%4."/>
      <w:lvlJc w:val="left"/>
      <w:pPr>
        <w:ind w:left="1797" w:hanging="420"/>
      </w:pPr>
    </w:lvl>
    <w:lvl w:ilvl="4" w:tentative="0">
      <w:start w:val="1"/>
      <w:numFmt w:val="lowerLetter"/>
      <w:lvlText w:val="%5)"/>
      <w:lvlJc w:val="left"/>
      <w:pPr>
        <w:ind w:left="2217" w:hanging="420"/>
      </w:pPr>
    </w:lvl>
    <w:lvl w:ilvl="5" w:tentative="0">
      <w:start w:val="1"/>
      <w:numFmt w:val="lowerRoman"/>
      <w:lvlText w:val="%6."/>
      <w:lvlJc w:val="right"/>
      <w:pPr>
        <w:ind w:left="2637" w:hanging="420"/>
      </w:pPr>
    </w:lvl>
    <w:lvl w:ilvl="6" w:tentative="0">
      <w:start w:val="1"/>
      <w:numFmt w:val="decimal"/>
      <w:lvlText w:val="%7."/>
      <w:lvlJc w:val="left"/>
      <w:pPr>
        <w:ind w:left="3057" w:hanging="420"/>
      </w:pPr>
    </w:lvl>
    <w:lvl w:ilvl="7" w:tentative="0">
      <w:start w:val="1"/>
      <w:numFmt w:val="lowerLetter"/>
      <w:lvlText w:val="%8)"/>
      <w:lvlJc w:val="left"/>
      <w:pPr>
        <w:ind w:left="3477" w:hanging="420"/>
      </w:pPr>
    </w:lvl>
    <w:lvl w:ilvl="8" w:tentative="0">
      <w:start w:val="1"/>
      <w:numFmt w:val="lowerRoman"/>
      <w:lvlText w:val="%9."/>
      <w:lvlJc w:val="right"/>
      <w:pPr>
        <w:ind w:left="3897" w:hanging="420"/>
      </w:pPr>
    </w:lvl>
  </w:abstractNum>
  <w:abstractNum w:abstractNumId="3">
    <w:nsid w:val="76A2084A"/>
    <w:multiLevelType w:val="multilevel"/>
    <w:tmpl w:val="76A2084A"/>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BAE226E"/>
    <w:multiLevelType w:val="multilevel"/>
    <w:tmpl w:val="7BAE226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doNotCompress"/>
  <w:doNotValidateAgainstSchema/>
  <w:doNotDemarcateInvalidXml/>
  <w:compat>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818"/>
    <w:rsid w:val="000F1A9B"/>
    <w:rsid w:val="000F5541"/>
    <w:rsid w:val="00176C4A"/>
    <w:rsid w:val="00202971"/>
    <w:rsid w:val="00224C56"/>
    <w:rsid w:val="00301CCF"/>
    <w:rsid w:val="00310EDD"/>
    <w:rsid w:val="003233D2"/>
    <w:rsid w:val="003745A9"/>
    <w:rsid w:val="00385B41"/>
    <w:rsid w:val="0039133C"/>
    <w:rsid w:val="004846D0"/>
    <w:rsid w:val="0049755B"/>
    <w:rsid w:val="004C6F0A"/>
    <w:rsid w:val="005065EB"/>
    <w:rsid w:val="005A2A83"/>
    <w:rsid w:val="00603DEA"/>
    <w:rsid w:val="006908B6"/>
    <w:rsid w:val="00703C4B"/>
    <w:rsid w:val="0072764A"/>
    <w:rsid w:val="00746CDA"/>
    <w:rsid w:val="00854716"/>
    <w:rsid w:val="008819EF"/>
    <w:rsid w:val="0090253C"/>
    <w:rsid w:val="009101CF"/>
    <w:rsid w:val="00921048"/>
    <w:rsid w:val="009A38EC"/>
    <w:rsid w:val="009B4EBE"/>
    <w:rsid w:val="009D40A6"/>
    <w:rsid w:val="00A03EE9"/>
    <w:rsid w:val="00B55308"/>
    <w:rsid w:val="00BD5C46"/>
    <w:rsid w:val="00C35756"/>
    <w:rsid w:val="00C544ED"/>
    <w:rsid w:val="00C90EAE"/>
    <w:rsid w:val="00CB5DBA"/>
    <w:rsid w:val="00D566DF"/>
    <w:rsid w:val="00D6380C"/>
    <w:rsid w:val="00D663C5"/>
    <w:rsid w:val="00DE5A38"/>
    <w:rsid w:val="00E340E5"/>
    <w:rsid w:val="00E36243"/>
    <w:rsid w:val="00ED538D"/>
    <w:rsid w:val="00F05313"/>
    <w:rsid w:val="00F47818"/>
    <w:rsid w:val="00FC2291"/>
    <w:rsid w:val="00FD3515"/>
    <w:rsid w:val="0F074530"/>
    <w:rsid w:val="48CB438B"/>
    <w:rsid w:val="4BD45280"/>
    <w:rsid w:val="4CE078CD"/>
    <w:rsid w:val="600A436F"/>
    <w:rsid w:val="73EE6B3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Times New Roman" w:hAnsi="Times New Roman" w:cs="Times New Roman" w:eastAsiaTheme="minorEastAsia"/>
      <w:sz w:val="24"/>
      <w:szCs w:val="24"/>
      <w:lang w:val="en-US" w:eastAsia="zh-CN" w:bidi="ar-SA"/>
    </w:rPr>
  </w:style>
  <w:style w:type="paragraph" w:styleId="2">
    <w:name w:val="heading 1"/>
    <w:basedOn w:val="1"/>
    <w:next w:val="1"/>
    <w:link w:val="23"/>
    <w:qFormat/>
    <w:uiPriority w:val="1"/>
    <w:pPr>
      <w:ind w:left="1963"/>
      <w:outlineLvl w:val="0"/>
    </w:pPr>
    <w:rPr>
      <w:rFonts w:ascii="黑体" w:eastAsia="黑体" w:cs="黑体"/>
      <w:sz w:val="84"/>
      <w:szCs w:val="84"/>
    </w:rPr>
  </w:style>
  <w:style w:type="paragraph" w:styleId="3">
    <w:name w:val="heading 2"/>
    <w:basedOn w:val="1"/>
    <w:next w:val="1"/>
    <w:link w:val="24"/>
    <w:qFormat/>
    <w:uiPriority w:val="1"/>
    <w:pPr>
      <w:spacing w:before="13"/>
      <w:ind w:left="117"/>
      <w:outlineLvl w:val="1"/>
    </w:pPr>
    <w:rPr>
      <w:rFonts w:ascii="宋体" w:eastAsia="宋体" w:cs="宋体"/>
      <w:b/>
      <w:bCs/>
      <w:sz w:val="28"/>
      <w:szCs w:val="28"/>
    </w:rPr>
  </w:style>
  <w:style w:type="paragraph" w:styleId="4">
    <w:name w:val="heading 3"/>
    <w:basedOn w:val="1"/>
    <w:next w:val="1"/>
    <w:link w:val="25"/>
    <w:qFormat/>
    <w:uiPriority w:val="1"/>
    <w:pPr>
      <w:ind w:left="117"/>
      <w:outlineLvl w:val="2"/>
    </w:pPr>
    <w:rPr>
      <w:rFonts w:ascii="楷体" w:eastAsia="楷体" w:cs="楷体"/>
      <w:sz w:val="28"/>
      <w:szCs w:val="28"/>
    </w:rPr>
  </w:style>
  <w:style w:type="paragraph" w:styleId="5">
    <w:name w:val="heading 4"/>
    <w:basedOn w:val="1"/>
    <w:next w:val="1"/>
    <w:link w:val="26"/>
    <w:qFormat/>
    <w:uiPriority w:val="1"/>
    <w:pPr>
      <w:spacing w:before="51"/>
      <w:ind w:left="637" w:hanging="520"/>
      <w:outlineLvl w:val="3"/>
    </w:pPr>
    <w:rPr>
      <w:rFonts w:ascii="仿宋" w:eastAsia="仿宋" w:cs="仿宋"/>
      <w:sz w:val="26"/>
      <w:szCs w:val="26"/>
    </w:rPr>
  </w:style>
  <w:style w:type="paragraph" w:styleId="6">
    <w:name w:val="heading 5"/>
    <w:basedOn w:val="1"/>
    <w:next w:val="1"/>
    <w:link w:val="27"/>
    <w:qFormat/>
    <w:uiPriority w:val="1"/>
    <w:pPr>
      <w:ind w:left="18"/>
      <w:outlineLvl w:val="4"/>
    </w:pPr>
    <w:rPr>
      <w:rFonts w:ascii="宋体" w:eastAsia="宋体" w:cs="宋体"/>
      <w:b/>
      <w:bCs/>
    </w:rPr>
  </w:style>
  <w:style w:type="paragraph" w:styleId="7">
    <w:name w:val="heading 6"/>
    <w:basedOn w:val="1"/>
    <w:next w:val="1"/>
    <w:link w:val="28"/>
    <w:qFormat/>
    <w:uiPriority w:val="1"/>
    <w:pPr>
      <w:spacing w:before="26"/>
      <w:ind w:left="117"/>
      <w:outlineLvl w:val="5"/>
    </w:pPr>
    <w:rPr>
      <w:rFonts w:ascii="宋体" w:eastAsia="宋体" w:cs="宋体"/>
    </w:rPr>
  </w:style>
  <w:style w:type="paragraph" w:styleId="8">
    <w:name w:val="heading 7"/>
    <w:basedOn w:val="1"/>
    <w:next w:val="1"/>
    <w:link w:val="29"/>
    <w:qFormat/>
    <w:uiPriority w:val="1"/>
    <w:pPr>
      <w:ind w:left="539"/>
      <w:outlineLvl w:val="6"/>
    </w:pPr>
    <w:rPr>
      <w:rFonts w:ascii="宋体" w:eastAsia="宋体" w:cs="宋体"/>
      <w:b/>
      <w:bCs/>
      <w:sz w:val="21"/>
      <w:szCs w:val="21"/>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9">
    <w:name w:val="Normal Indent"/>
    <w:qFormat/>
    <w:uiPriority w:val="0"/>
    <w:pPr>
      <w:widowControl w:val="0"/>
      <w:ind w:firstLine="425"/>
      <w:jc w:val="both"/>
    </w:pPr>
    <w:rPr>
      <w:rFonts w:ascii="Times New Roman" w:hAnsi="Times New Roman" w:eastAsia="宋体" w:cs="Times New Roman"/>
      <w:kern w:val="2"/>
      <w:sz w:val="21"/>
      <w:lang w:val="en-US" w:eastAsia="zh-CN" w:bidi="ar-SA"/>
    </w:rPr>
  </w:style>
  <w:style w:type="paragraph" w:styleId="10">
    <w:name w:val="annotation text"/>
    <w:basedOn w:val="1"/>
    <w:link w:val="36"/>
    <w:semiHidden/>
    <w:unhideWhenUsed/>
    <w:qFormat/>
    <w:uiPriority w:val="99"/>
  </w:style>
  <w:style w:type="paragraph" w:styleId="11">
    <w:name w:val="Body Text"/>
    <w:basedOn w:val="1"/>
    <w:link w:val="22"/>
    <w:qFormat/>
    <w:uiPriority w:val="1"/>
    <w:pPr>
      <w:spacing w:before="133"/>
      <w:ind w:left="117"/>
    </w:pPr>
    <w:rPr>
      <w:rFonts w:ascii="宋体" w:eastAsia="宋体" w:cs="宋体"/>
      <w:sz w:val="21"/>
      <w:szCs w:val="21"/>
    </w:rPr>
  </w:style>
  <w:style w:type="paragraph" w:styleId="12">
    <w:name w:val="Body Text Indent"/>
    <w:qFormat/>
    <w:uiPriority w:val="0"/>
    <w:pPr>
      <w:widowControl w:val="0"/>
      <w:ind w:firstLine="570"/>
      <w:jc w:val="both"/>
    </w:pPr>
    <w:rPr>
      <w:rFonts w:ascii="宋体" w:hAnsi="Times New Roman" w:eastAsia="宋体" w:cs="Times New Roman"/>
      <w:kern w:val="2"/>
      <w:sz w:val="28"/>
      <w:lang w:val="en-US" w:eastAsia="zh-CN" w:bidi="ar-SA"/>
    </w:rPr>
  </w:style>
  <w:style w:type="paragraph" w:styleId="13">
    <w:name w:val="Plain Text"/>
    <w:qFormat/>
    <w:uiPriority w:val="0"/>
    <w:pPr>
      <w:widowControl w:val="0"/>
      <w:jc w:val="both"/>
    </w:pPr>
    <w:rPr>
      <w:rFonts w:ascii="宋体" w:hAnsi="Courier New" w:eastAsia="宋体" w:cs="Times New Roman"/>
      <w:kern w:val="2"/>
      <w:sz w:val="21"/>
      <w:lang w:val="en-US" w:eastAsia="zh-CN" w:bidi="ar-SA"/>
    </w:rPr>
  </w:style>
  <w:style w:type="paragraph" w:styleId="14">
    <w:name w:val="Balloon Text"/>
    <w:basedOn w:val="1"/>
    <w:link w:val="34"/>
    <w:semiHidden/>
    <w:unhideWhenUsed/>
    <w:qFormat/>
    <w:uiPriority w:val="99"/>
    <w:rPr>
      <w:sz w:val="18"/>
      <w:szCs w:val="18"/>
    </w:rPr>
  </w:style>
  <w:style w:type="paragraph" w:styleId="15">
    <w:name w:val="footer"/>
    <w:basedOn w:val="1"/>
    <w:link w:val="33"/>
    <w:unhideWhenUsed/>
    <w:qFormat/>
    <w:uiPriority w:val="99"/>
    <w:pPr>
      <w:tabs>
        <w:tab w:val="center" w:pos="4153"/>
        <w:tab w:val="right" w:pos="8306"/>
      </w:tabs>
      <w:snapToGrid w:val="0"/>
    </w:pPr>
    <w:rPr>
      <w:sz w:val="18"/>
      <w:szCs w:val="18"/>
    </w:rPr>
  </w:style>
  <w:style w:type="paragraph" w:styleId="16">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List"/>
    <w:qFormat/>
    <w:uiPriority w:val="0"/>
    <w:pPr>
      <w:widowControl w:val="0"/>
      <w:ind w:left="200" w:hanging="200" w:hangingChars="200"/>
      <w:jc w:val="both"/>
    </w:pPr>
    <w:rPr>
      <w:rFonts w:ascii="Times New Roman" w:hAnsi="Times New Roman" w:eastAsia="宋体" w:cs="Times New Roman"/>
      <w:kern w:val="2"/>
      <w:sz w:val="21"/>
      <w:szCs w:val="24"/>
      <w:lang w:val="en-US" w:eastAsia="zh-CN" w:bidi="ar-SA"/>
    </w:rPr>
  </w:style>
  <w:style w:type="paragraph" w:styleId="18">
    <w:name w:val="annotation subject"/>
    <w:basedOn w:val="10"/>
    <w:next w:val="10"/>
    <w:link w:val="37"/>
    <w:semiHidden/>
    <w:unhideWhenUsed/>
    <w:qFormat/>
    <w:uiPriority w:val="99"/>
    <w:rPr>
      <w:b/>
      <w:bCs/>
    </w:rPr>
  </w:style>
  <w:style w:type="character" w:styleId="21">
    <w:name w:val="annotation reference"/>
    <w:basedOn w:val="20"/>
    <w:semiHidden/>
    <w:unhideWhenUsed/>
    <w:qFormat/>
    <w:uiPriority w:val="99"/>
    <w:rPr>
      <w:sz w:val="21"/>
      <w:szCs w:val="21"/>
    </w:rPr>
  </w:style>
  <w:style w:type="character" w:customStyle="1" w:styleId="22">
    <w:name w:val="正文文本 字符"/>
    <w:basedOn w:val="20"/>
    <w:link w:val="11"/>
    <w:semiHidden/>
    <w:qFormat/>
    <w:uiPriority w:val="99"/>
    <w:rPr>
      <w:rFonts w:ascii="Times New Roman" w:hAnsi="Times New Roman" w:cs="Times New Roman"/>
      <w:kern w:val="0"/>
      <w:sz w:val="24"/>
      <w:szCs w:val="24"/>
    </w:rPr>
  </w:style>
  <w:style w:type="character" w:customStyle="1" w:styleId="23">
    <w:name w:val="标题 1 字符"/>
    <w:basedOn w:val="20"/>
    <w:link w:val="2"/>
    <w:qFormat/>
    <w:uiPriority w:val="9"/>
    <w:rPr>
      <w:rFonts w:ascii="Times New Roman" w:hAnsi="Times New Roman" w:cs="Times New Roman"/>
      <w:b/>
      <w:bCs/>
      <w:kern w:val="44"/>
      <w:sz w:val="44"/>
      <w:szCs w:val="44"/>
    </w:rPr>
  </w:style>
  <w:style w:type="character" w:customStyle="1" w:styleId="24">
    <w:name w:val="标题 2 字符"/>
    <w:basedOn w:val="20"/>
    <w:link w:val="3"/>
    <w:semiHidden/>
    <w:qFormat/>
    <w:uiPriority w:val="9"/>
    <w:rPr>
      <w:rFonts w:asciiTheme="majorHAnsi" w:hAnsiTheme="majorHAnsi" w:eastAsiaTheme="majorEastAsia" w:cstheme="majorBidi"/>
      <w:b/>
      <w:bCs/>
      <w:kern w:val="0"/>
      <w:sz w:val="32"/>
      <w:szCs w:val="32"/>
    </w:rPr>
  </w:style>
  <w:style w:type="character" w:customStyle="1" w:styleId="25">
    <w:name w:val="标题 3 字符"/>
    <w:basedOn w:val="20"/>
    <w:link w:val="4"/>
    <w:semiHidden/>
    <w:qFormat/>
    <w:uiPriority w:val="9"/>
    <w:rPr>
      <w:rFonts w:ascii="Times New Roman" w:hAnsi="Times New Roman" w:cs="Times New Roman"/>
      <w:b/>
      <w:bCs/>
      <w:kern w:val="0"/>
      <w:sz w:val="32"/>
      <w:szCs w:val="32"/>
    </w:rPr>
  </w:style>
  <w:style w:type="character" w:customStyle="1" w:styleId="26">
    <w:name w:val="标题 4 字符"/>
    <w:basedOn w:val="20"/>
    <w:link w:val="5"/>
    <w:semiHidden/>
    <w:qFormat/>
    <w:uiPriority w:val="9"/>
    <w:rPr>
      <w:rFonts w:asciiTheme="majorHAnsi" w:hAnsiTheme="majorHAnsi" w:eastAsiaTheme="majorEastAsia" w:cstheme="majorBidi"/>
      <w:b/>
      <w:bCs/>
      <w:kern w:val="0"/>
      <w:sz w:val="28"/>
      <w:szCs w:val="28"/>
    </w:rPr>
  </w:style>
  <w:style w:type="character" w:customStyle="1" w:styleId="27">
    <w:name w:val="标题 5 字符"/>
    <w:basedOn w:val="20"/>
    <w:link w:val="6"/>
    <w:semiHidden/>
    <w:qFormat/>
    <w:uiPriority w:val="9"/>
    <w:rPr>
      <w:rFonts w:ascii="Times New Roman" w:hAnsi="Times New Roman" w:cs="Times New Roman"/>
      <w:b/>
      <w:bCs/>
      <w:kern w:val="0"/>
      <w:sz w:val="28"/>
      <w:szCs w:val="28"/>
    </w:rPr>
  </w:style>
  <w:style w:type="character" w:customStyle="1" w:styleId="28">
    <w:name w:val="标题 6 字符"/>
    <w:basedOn w:val="20"/>
    <w:link w:val="7"/>
    <w:semiHidden/>
    <w:qFormat/>
    <w:uiPriority w:val="9"/>
    <w:rPr>
      <w:rFonts w:asciiTheme="majorHAnsi" w:hAnsiTheme="majorHAnsi" w:eastAsiaTheme="majorEastAsia" w:cstheme="majorBidi"/>
      <w:b/>
      <w:bCs/>
      <w:kern w:val="0"/>
      <w:sz w:val="24"/>
      <w:szCs w:val="24"/>
    </w:rPr>
  </w:style>
  <w:style w:type="character" w:customStyle="1" w:styleId="29">
    <w:name w:val="标题 7 字符"/>
    <w:basedOn w:val="20"/>
    <w:link w:val="8"/>
    <w:semiHidden/>
    <w:qFormat/>
    <w:uiPriority w:val="9"/>
    <w:rPr>
      <w:rFonts w:ascii="Times New Roman" w:hAnsi="Times New Roman" w:cs="Times New Roman"/>
      <w:b/>
      <w:bCs/>
      <w:kern w:val="0"/>
      <w:sz w:val="24"/>
      <w:szCs w:val="24"/>
    </w:rPr>
  </w:style>
  <w:style w:type="paragraph" w:styleId="30">
    <w:name w:val="List Paragraph"/>
    <w:basedOn w:val="1"/>
    <w:qFormat/>
    <w:uiPriority w:val="1"/>
  </w:style>
  <w:style w:type="paragraph" w:customStyle="1" w:styleId="31">
    <w:name w:val="Table Paragraph"/>
    <w:basedOn w:val="1"/>
    <w:qFormat/>
    <w:uiPriority w:val="1"/>
  </w:style>
  <w:style w:type="character" w:customStyle="1" w:styleId="32">
    <w:name w:val="页眉 字符"/>
    <w:basedOn w:val="20"/>
    <w:link w:val="16"/>
    <w:qFormat/>
    <w:uiPriority w:val="99"/>
    <w:rPr>
      <w:rFonts w:ascii="Times New Roman" w:hAnsi="Times New Roman" w:cs="Times New Roman"/>
      <w:kern w:val="0"/>
      <w:sz w:val="18"/>
      <w:szCs w:val="18"/>
    </w:rPr>
  </w:style>
  <w:style w:type="character" w:customStyle="1" w:styleId="33">
    <w:name w:val="页脚 字符"/>
    <w:basedOn w:val="20"/>
    <w:link w:val="15"/>
    <w:qFormat/>
    <w:uiPriority w:val="99"/>
    <w:rPr>
      <w:rFonts w:ascii="Times New Roman" w:hAnsi="Times New Roman" w:cs="Times New Roman"/>
      <w:kern w:val="0"/>
      <w:sz w:val="18"/>
      <w:szCs w:val="18"/>
    </w:rPr>
  </w:style>
  <w:style w:type="character" w:customStyle="1" w:styleId="34">
    <w:name w:val="批注框文本 字符"/>
    <w:basedOn w:val="20"/>
    <w:link w:val="14"/>
    <w:semiHidden/>
    <w:qFormat/>
    <w:uiPriority w:val="99"/>
    <w:rPr>
      <w:rFonts w:ascii="Times New Roman" w:hAnsi="Times New Roman" w:cs="Times New Roman"/>
      <w:kern w:val="0"/>
      <w:sz w:val="18"/>
      <w:szCs w:val="18"/>
    </w:rPr>
  </w:style>
  <w:style w:type="character" w:customStyle="1" w:styleId="35">
    <w:name w:val="msoins"/>
    <w:qFormat/>
    <w:uiPriority w:val="0"/>
  </w:style>
  <w:style w:type="character" w:customStyle="1" w:styleId="36">
    <w:name w:val="批注文字 字符"/>
    <w:basedOn w:val="20"/>
    <w:link w:val="10"/>
    <w:semiHidden/>
    <w:qFormat/>
    <w:uiPriority w:val="99"/>
    <w:rPr>
      <w:rFonts w:eastAsiaTheme="minorEastAsia"/>
      <w:sz w:val="24"/>
      <w:szCs w:val="24"/>
    </w:rPr>
  </w:style>
  <w:style w:type="character" w:customStyle="1" w:styleId="37">
    <w:name w:val="批注主题 字符"/>
    <w:basedOn w:val="36"/>
    <w:link w:val="18"/>
    <w:semiHidden/>
    <w:qFormat/>
    <w:uiPriority w:val="99"/>
    <w:rPr>
      <w:rFonts w:eastAsiaTheme="minorEastAsia"/>
      <w:b/>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5072</Words>
  <Characters>28911</Characters>
  <Lines>240</Lines>
  <Paragraphs>67</Paragraphs>
  <TotalTime>91</TotalTime>
  <ScaleCrop>false</ScaleCrop>
  <LinksUpToDate>false</LinksUpToDate>
  <CharactersWithSpaces>33916</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2020-10-09T11:14:00Z</dcterms:created>
  <dc:creator>Administrator</dc:creator>
  <cp:lastModifiedBy>A.wu</cp:lastModifiedBy>
  <cp:lastPrinted>2020-10-12T03:09:00Z</cp:lastPrinted>
  <dcterms:modified xsi:type="dcterms:W3CDTF">2020-10-29T02:33:33Z</dcterms:modified>
  <dc:title>&lt;4D6963726F736F667420576F7264202D20BBF9D3DAC0E0C4D4D6C7C4DCB5C4D3DFC7E9CFB5CDB3D1D0BEBFB7FECEF1C6F7BCB0B9DCC0EDC6BDCCA8B2C9B9BACFEEC4BFB2C9B9BACEC4BCFE202D20B6A8B8E5A3A8323030343238B7A2B3F6B8E5A3A9A3A8C7E5BDE0B0E6A3A92E646F63&gt;</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PScript5.dll Version 5.2.2</vt:lpwstr>
  </property>
  <property fmtid="{D5CDD505-2E9C-101B-9397-08002B2CF9AE}" pid="3" name="KSOProductBuildVer">
    <vt:lpwstr>2052-11.1.0.10072</vt:lpwstr>
  </property>
</Properties>
</file>