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hint="eastAsia" w:ascii="宋体" w:hAnsi="宋体" w:eastAsia="宋体" w:cs="宋体"/>
          <w:b/>
          <w:bCs/>
          <w:sz w:val="32"/>
          <w:szCs w:val="32"/>
          <w:highlight w:val="none"/>
        </w:rPr>
      </w:pPr>
    </w:p>
    <w:p>
      <w:pPr>
        <w:widowControl/>
        <w:spacing w:line="360" w:lineRule="auto"/>
        <w:jc w:val="center"/>
        <w:rPr>
          <w:rFonts w:hint="eastAsia" w:ascii="宋体" w:hAnsi="宋体" w:eastAsia="宋体" w:cs="宋体"/>
          <w:b/>
          <w:bCs/>
          <w:i/>
          <w:iCs/>
          <w:sz w:val="32"/>
          <w:szCs w:val="32"/>
          <w:highlight w:val="none"/>
        </w:rPr>
      </w:pPr>
    </w:p>
    <w:p>
      <w:pPr>
        <w:widowControl/>
        <w:spacing w:line="360" w:lineRule="auto"/>
        <w:jc w:val="center"/>
        <w:rPr>
          <w:rFonts w:hint="eastAsia" w:ascii="宋体" w:hAnsi="宋体" w:eastAsia="宋体" w:cs="宋体"/>
          <w:b/>
          <w:sz w:val="44"/>
          <w:szCs w:val="44"/>
          <w:highlight w:val="none"/>
        </w:rPr>
      </w:pPr>
      <w:r>
        <w:rPr>
          <w:rFonts w:hint="eastAsia" w:ascii="宋体" w:hAnsi="宋体" w:eastAsia="宋体" w:cs="宋体"/>
          <w:b/>
          <w:sz w:val="44"/>
          <w:szCs w:val="44"/>
          <w:highlight w:val="none"/>
        </w:rPr>
        <w:t>复旦大学江湾校区融合创新二号楼项目</w:t>
      </w:r>
    </w:p>
    <w:p>
      <w:pPr>
        <w:widowControl/>
        <w:spacing w:line="360" w:lineRule="auto"/>
        <w:jc w:val="center"/>
        <w:rPr>
          <w:rFonts w:hint="eastAsia" w:ascii="宋体" w:hAnsi="宋体" w:eastAsia="宋体" w:cs="宋体"/>
          <w:b/>
          <w:sz w:val="44"/>
          <w:szCs w:val="44"/>
          <w:highlight w:val="none"/>
        </w:rPr>
      </w:pPr>
      <w:r>
        <w:rPr>
          <w:rFonts w:hint="eastAsia" w:ascii="宋体" w:hAnsi="宋体" w:eastAsia="宋体" w:cs="宋体"/>
          <w:b/>
          <w:sz w:val="44"/>
          <w:szCs w:val="44"/>
          <w:highlight w:val="none"/>
        </w:rPr>
        <w:t>绿化搬迁工程</w:t>
      </w:r>
    </w:p>
    <w:p>
      <w:pPr>
        <w:widowControl/>
        <w:spacing w:line="360" w:lineRule="auto"/>
        <w:jc w:val="center"/>
        <w:rPr>
          <w:rFonts w:hint="eastAsia" w:ascii="宋体" w:hAnsi="宋体" w:eastAsia="宋体" w:cs="宋体"/>
          <w:b/>
          <w:sz w:val="48"/>
          <w:szCs w:val="48"/>
          <w:highlight w:val="none"/>
        </w:rPr>
      </w:pPr>
    </w:p>
    <w:p>
      <w:pPr>
        <w:widowControl/>
        <w:spacing w:line="360" w:lineRule="auto"/>
        <w:jc w:val="center"/>
        <w:rPr>
          <w:rFonts w:hint="eastAsia" w:ascii="宋体" w:hAnsi="宋体" w:eastAsia="宋体" w:cs="宋体"/>
          <w:b/>
          <w:sz w:val="48"/>
          <w:szCs w:val="48"/>
          <w:highlight w:val="none"/>
        </w:rPr>
      </w:pPr>
    </w:p>
    <w:p>
      <w:pPr>
        <w:widowControl/>
        <w:spacing w:line="360" w:lineRule="auto"/>
        <w:jc w:val="center"/>
        <w:rPr>
          <w:rFonts w:hint="eastAsia" w:ascii="宋体" w:hAnsi="宋体" w:eastAsia="宋体" w:cs="宋体"/>
          <w:b/>
          <w:sz w:val="48"/>
          <w:szCs w:val="48"/>
          <w:highlight w:val="none"/>
        </w:rPr>
      </w:pPr>
      <w:r>
        <w:rPr>
          <w:rFonts w:hint="eastAsia" w:ascii="宋体" w:hAnsi="宋体" w:eastAsia="宋体" w:cs="宋体"/>
          <w:b/>
          <w:sz w:val="48"/>
          <w:szCs w:val="48"/>
          <w:highlight w:val="none"/>
        </w:rPr>
        <w:t>招标文件</w:t>
      </w:r>
    </w:p>
    <w:p>
      <w:pPr>
        <w:widowControl/>
        <w:spacing w:line="360" w:lineRule="auto"/>
        <w:jc w:val="center"/>
        <w:rPr>
          <w:rFonts w:hint="eastAsia" w:ascii="宋体" w:hAnsi="宋体" w:eastAsia="宋体" w:cs="宋体"/>
          <w:b/>
          <w:sz w:val="48"/>
          <w:szCs w:val="48"/>
          <w:highlight w:val="none"/>
        </w:rPr>
      </w:pPr>
    </w:p>
    <w:p>
      <w:pPr>
        <w:widowControl/>
        <w:spacing w:line="360" w:lineRule="auto"/>
        <w:jc w:val="center"/>
        <w:rPr>
          <w:rFonts w:hint="eastAsia" w:ascii="宋体" w:hAnsi="宋体" w:eastAsia="宋体" w:cs="宋体"/>
          <w:b/>
          <w:sz w:val="48"/>
          <w:szCs w:val="48"/>
          <w:highlight w:val="none"/>
        </w:rPr>
      </w:pPr>
    </w:p>
    <w:p>
      <w:pPr>
        <w:widowControl/>
        <w:spacing w:line="360" w:lineRule="auto"/>
        <w:jc w:val="center"/>
        <w:rPr>
          <w:rFonts w:hint="eastAsia" w:ascii="宋体" w:hAnsi="宋体" w:eastAsia="宋体" w:cs="宋体"/>
          <w:b/>
          <w:sz w:val="48"/>
          <w:szCs w:val="48"/>
          <w:highlight w:val="none"/>
        </w:rPr>
      </w:pPr>
    </w:p>
    <w:p>
      <w:pPr>
        <w:widowControl/>
        <w:spacing w:line="360" w:lineRule="auto"/>
        <w:jc w:val="center"/>
        <w:rPr>
          <w:rFonts w:hint="eastAsia" w:ascii="宋体" w:hAnsi="宋体" w:eastAsia="宋体" w:cs="宋体"/>
          <w:b/>
          <w:sz w:val="48"/>
          <w:szCs w:val="48"/>
          <w:highlight w:val="none"/>
        </w:rPr>
      </w:pPr>
    </w:p>
    <w:p>
      <w:pPr>
        <w:widowControl/>
        <w:spacing w:line="360" w:lineRule="auto"/>
        <w:jc w:val="center"/>
        <w:rPr>
          <w:rFonts w:hint="eastAsia" w:ascii="宋体" w:hAnsi="宋体" w:eastAsia="宋体" w:cs="宋体"/>
          <w:b/>
          <w:sz w:val="48"/>
          <w:szCs w:val="48"/>
          <w:highlight w:val="none"/>
        </w:rPr>
      </w:pPr>
    </w:p>
    <w:p>
      <w:pPr>
        <w:widowControl/>
        <w:spacing w:line="360" w:lineRule="auto"/>
        <w:jc w:val="center"/>
        <w:rPr>
          <w:rFonts w:hint="eastAsia" w:ascii="宋体" w:hAnsi="宋体" w:eastAsia="宋体" w:cs="宋体"/>
          <w:b/>
          <w:sz w:val="48"/>
          <w:szCs w:val="48"/>
          <w:highlight w:val="none"/>
        </w:rPr>
      </w:pPr>
    </w:p>
    <w:p>
      <w:pPr>
        <w:tabs>
          <w:tab w:val="left" w:pos="360"/>
          <w:tab w:val="left" w:pos="540"/>
          <w:tab w:val="left" w:pos="720"/>
          <w:tab w:val="left" w:pos="900"/>
          <w:tab w:val="left" w:pos="1080"/>
        </w:tabs>
        <w:spacing w:line="360" w:lineRule="auto"/>
        <w:jc w:val="center"/>
        <w:rPr>
          <w:rFonts w:hint="eastAsia" w:ascii="宋体" w:hAnsi="宋体" w:eastAsia="宋体" w:cs="宋体"/>
          <w:b/>
          <w:sz w:val="30"/>
          <w:szCs w:val="30"/>
          <w:highlight w:val="none"/>
        </w:rPr>
      </w:pPr>
      <w:r>
        <w:rPr>
          <w:rFonts w:hint="eastAsia" w:ascii="宋体" w:hAnsi="宋体" w:eastAsia="宋体" w:cs="宋体"/>
          <w:b/>
          <w:sz w:val="30"/>
          <w:szCs w:val="30"/>
          <w:highlight w:val="none"/>
        </w:rPr>
        <w:t>招标人名称：复旦大学</w:t>
      </w:r>
    </w:p>
    <w:p>
      <w:pPr>
        <w:tabs>
          <w:tab w:val="left" w:pos="360"/>
          <w:tab w:val="left" w:pos="540"/>
          <w:tab w:val="left" w:pos="720"/>
          <w:tab w:val="left" w:pos="900"/>
          <w:tab w:val="left" w:pos="1080"/>
        </w:tabs>
        <w:spacing w:line="360" w:lineRule="auto"/>
        <w:jc w:val="center"/>
        <w:rPr>
          <w:rFonts w:hint="eastAsia" w:ascii="宋体" w:hAnsi="宋体" w:eastAsia="宋体" w:cs="宋体"/>
          <w:b/>
          <w:sz w:val="30"/>
          <w:szCs w:val="30"/>
          <w:highlight w:val="none"/>
        </w:rPr>
      </w:pPr>
      <w:r>
        <w:rPr>
          <w:rFonts w:hint="eastAsia" w:ascii="宋体" w:hAnsi="宋体" w:eastAsia="宋体" w:cs="宋体"/>
          <w:b/>
          <w:sz w:val="30"/>
          <w:szCs w:val="30"/>
          <w:highlight w:val="none"/>
        </w:rPr>
        <w:t>招标机构：上海教育建设管理咨询有限公司</w:t>
      </w:r>
    </w:p>
    <w:p>
      <w:pPr>
        <w:tabs>
          <w:tab w:val="left" w:pos="360"/>
          <w:tab w:val="left" w:pos="540"/>
          <w:tab w:val="left" w:pos="720"/>
          <w:tab w:val="left" w:pos="900"/>
          <w:tab w:val="left" w:pos="1080"/>
        </w:tabs>
        <w:spacing w:line="360" w:lineRule="auto"/>
        <w:jc w:val="center"/>
        <w:rPr>
          <w:rFonts w:hint="eastAsia" w:ascii="宋体" w:hAnsi="宋体" w:eastAsia="宋体" w:cs="宋体"/>
          <w:b/>
          <w:sz w:val="30"/>
          <w:szCs w:val="30"/>
          <w:highlight w:val="none"/>
          <w:lang w:eastAsia="zh-CN"/>
        </w:rPr>
        <w:sectPr>
          <w:footerReference r:id="rId4" w:type="even"/>
          <w:pgSz w:w="11906" w:h="16838"/>
          <w:pgMar w:top="1418" w:right="1418" w:bottom="1418" w:left="1418" w:header="851" w:footer="992" w:gutter="0"/>
          <w:pgNumType w:start="0"/>
          <w:cols w:space="720" w:num="1"/>
          <w:titlePg/>
          <w:docGrid w:linePitch="380" w:charSpace="-5735"/>
        </w:sectPr>
      </w:pPr>
      <w:r>
        <w:rPr>
          <w:rFonts w:hint="eastAsia" w:ascii="宋体" w:hAnsi="宋体" w:eastAsia="宋体" w:cs="宋体"/>
          <w:b/>
          <w:sz w:val="30"/>
          <w:szCs w:val="30"/>
          <w:highlight w:val="none"/>
        </w:rPr>
        <w:t>2021-</w:t>
      </w:r>
      <w:r>
        <w:rPr>
          <w:rFonts w:hint="eastAsia" w:ascii="宋体" w:hAnsi="宋体" w:cs="宋体"/>
          <w:b/>
          <w:sz w:val="30"/>
          <w:szCs w:val="30"/>
          <w:highlight w:val="none"/>
          <w:lang w:val="en-US" w:eastAsia="zh-CN"/>
        </w:rPr>
        <w:t>9</w:t>
      </w:r>
    </w:p>
    <w:p>
      <w:pPr>
        <w:widowControl/>
        <w:jc w:val="left"/>
        <w:rPr>
          <w:rFonts w:hint="eastAsia" w:ascii="宋体" w:hAnsi="宋体" w:eastAsia="宋体" w:cs="宋体"/>
          <w:b/>
          <w:bCs/>
          <w:sz w:val="32"/>
          <w:szCs w:val="32"/>
          <w:highlight w:val="none"/>
        </w:rPr>
      </w:pPr>
    </w:p>
    <w:sdt>
      <w:sdtPr>
        <w:rPr>
          <w:rFonts w:hint="eastAsia" w:ascii="宋体" w:hAnsi="宋体" w:eastAsia="宋体" w:cs="宋体"/>
          <w:kern w:val="2"/>
          <w:sz w:val="21"/>
          <w:szCs w:val="22"/>
          <w:highlight w:val="none"/>
          <w:lang w:val="en-US" w:eastAsia="zh-CN" w:bidi="ar-SA"/>
        </w:rPr>
        <w:id w:val="147456208"/>
        <w15:color w:val="DBDBDB"/>
        <w:docPartObj>
          <w:docPartGallery w:val="Table of Contents"/>
          <w:docPartUnique/>
        </w:docPartObj>
      </w:sdtPr>
      <w:sdtEndPr>
        <w:rPr>
          <w:rFonts w:hint="eastAsia" w:ascii="宋体" w:hAnsi="宋体" w:eastAsia="宋体" w:cs="宋体"/>
          <w:bCs/>
          <w:kern w:val="2"/>
          <w:sz w:val="21"/>
          <w:szCs w:val="32"/>
          <w:highlight w:val="none"/>
          <w:lang w:val="en-US" w:eastAsia="zh-CN" w:bidi="ar-SA"/>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sz w:val="36"/>
              <w:szCs w:val="36"/>
              <w:highlight w:val="none"/>
            </w:rPr>
          </w:pPr>
          <w:r>
            <w:rPr>
              <w:rFonts w:hint="eastAsia" w:ascii="宋体" w:hAnsi="宋体" w:eastAsia="宋体" w:cs="宋体"/>
              <w:sz w:val="36"/>
              <w:szCs w:val="36"/>
              <w:highlight w:val="none"/>
            </w:rPr>
            <w:t>目录</w:t>
          </w:r>
        </w:p>
        <w:p>
          <w:pPr>
            <w:pStyle w:val="38"/>
            <w:tabs>
              <w:tab w:val="right" w:leader="dot" w:pos="9070"/>
              <w:tab w:val="clear" w:pos="840"/>
              <w:tab w:val="clear" w:pos="8494"/>
            </w:tabs>
            <w:rPr>
              <w:highlight w:val="none"/>
            </w:rPr>
          </w:pPr>
          <w:r>
            <w:rPr>
              <w:rFonts w:hint="eastAsia" w:ascii="宋体" w:hAnsi="宋体" w:eastAsia="宋体" w:cs="宋体"/>
              <w:b/>
              <w:bCs/>
              <w:sz w:val="32"/>
              <w:szCs w:val="32"/>
              <w:highlight w:val="none"/>
            </w:rPr>
            <w:fldChar w:fldCharType="begin"/>
          </w:r>
          <w:r>
            <w:rPr>
              <w:rFonts w:hint="eastAsia" w:ascii="宋体" w:hAnsi="宋体" w:eastAsia="宋体" w:cs="宋体"/>
              <w:b/>
              <w:bCs/>
              <w:sz w:val="32"/>
              <w:szCs w:val="32"/>
              <w:highlight w:val="none"/>
            </w:rPr>
            <w:instrText xml:space="preserve">TOC \o "1-1" \h \u </w:instrText>
          </w:r>
          <w:r>
            <w:rPr>
              <w:rFonts w:hint="eastAsia" w:ascii="宋体" w:hAnsi="宋体" w:eastAsia="宋体" w:cs="宋体"/>
              <w:b/>
              <w:bCs/>
              <w:sz w:val="32"/>
              <w:szCs w:val="32"/>
              <w:highlight w:val="none"/>
            </w:rPr>
            <w:fldChar w:fldCharType="separate"/>
          </w:r>
          <w:r>
            <w:rPr>
              <w:rFonts w:hint="eastAsia" w:ascii="宋体" w:hAnsi="宋体" w:eastAsia="宋体" w:cs="宋体"/>
              <w:bCs/>
              <w:szCs w:val="32"/>
              <w:highlight w:val="none"/>
            </w:rPr>
            <w:fldChar w:fldCharType="begin"/>
          </w:r>
          <w:r>
            <w:rPr>
              <w:rFonts w:hint="eastAsia" w:ascii="宋体" w:hAnsi="宋体" w:eastAsia="宋体" w:cs="宋体"/>
              <w:bCs/>
              <w:szCs w:val="32"/>
              <w:highlight w:val="none"/>
            </w:rPr>
            <w:instrText xml:space="preserve"> HYPERLINK \l _Toc11007 </w:instrText>
          </w:r>
          <w:r>
            <w:rPr>
              <w:rFonts w:hint="eastAsia" w:ascii="宋体" w:hAnsi="宋体" w:eastAsia="宋体" w:cs="宋体"/>
              <w:bCs/>
              <w:szCs w:val="32"/>
              <w:highlight w:val="none"/>
            </w:rPr>
            <w:fldChar w:fldCharType="separate"/>
          </w:r>
          <w:r>
            <w:rPr>
              <w:rFonts w:hint="eastAsia" w:ascii="宋体" w:hAnsi="宋体" w:eastAsia="宋体" w:cs="宋体"/>
              <w:bCs/>
              <w:szCs w:val="32"/>
              <w:highlight w:val="none"/>
            </w:rPr>
            <w:t>招 标 公 告</w:t>
          </w:r>
          <w:r>
            <w:rPr>
              <w:highlight w:val="none"/>
            </w:rPr>
            <w:tab/>
          </w:r>
          <w:r>
            <w:rPr>
              <w:highlight w:val="none"/>
            </w:rPr>
            <w:fldChar w:fldCharType="begin"/>
          </w:r>
          <w:r>
            <w:rPr>
              <w:highlight w:val="none"/>
            </w:rPr>
            <w:instrText xml:space="preserve"> PAGEREF _Toc11007 \h </w:instrText>
          </w:r>
          <w:r>
            <w:rPr>
              <w:highlight w:val="none"/>
            </w:rPr>
            <w:fldChar w:fldCharType="separate"/>
          </w:r>
          <w:r>
            <w:rPr>
              <w:highlight w:val="none"/>
            </w:rPr>
            <w:t>2</w:t>
          </w:r>
          <w:r>
            <w:rPr>
              <w:highlight w:val="none"/>
            </w:rPr>
            <w:fldChar w:fldCharType="end"/>
          </w:r>
          <w:r>
            <w:rPr>
              <w:rFonts w:hint="eastAsia" w:ascii="宋体" w:hAnsi="宋体" w:eastAsia="宋体" w:cs="宋体"/>
              <w:bCs/>
              <w:szCs w:val="32"/>
              <w:highlight w:val="none"/>
            </w:rPr>
            <w:fldChar w:fldCharType="end"/>
          </w:r>
        </w:p>
        <w:p>
          <w:pPr>
            <w:pStyle w:val="38"/>
            <w:tabs>
              <w:tab w:val="right" w:leader="dot" w:pos="9070"/>
              <w:tab w:val="clear" w:pos="840"/>
              <w:tab w:val="clear" w:pos="8494"/>
            </w:tabs>
            <w:rPr>
              <w:highlight w:val="none"/>
            </w:rPr>
          </w:pPr>
          <w:r>
            <w:rPr>
              <w:rFonts w:hint="eastAsia" w:ascii="宋体" w:hAnsi="宋体" w:eastAsia="宋体" w:cs="宋体"/>
              <w:bCs/>
              <w:szCs w:val="32"/>
              <w:highlight w:val="none"/>
            </w:rPr>
            <w:fldChar w:fldCharType="begin"/>
          </w:r>
          <w:r>
            <w:rPr>
              <w:rFonts w:hint="eastAsia" w:ascii="宋体" w:hAnsi="宋体" w:eastAsia="宋体" w:cs="宋体"/>
              <w:bCs/>
              <w:szCs w:val="32"/>
              <w:highlight w:val="none"/>
            </w:rPr>
            <w:instrText xml:space="preserve"> HYPERLINK \l _Toc23191 </w:instrText>
          </w:r>
          <w:r>
            <w:rPr>
              <w:rFonts w:hint="eastAsia" w:ascii="宋体" w:hAnsi="宋体" w:eastAsia="宋体" w:cs="宋体"/>
              <w:bCs/>
              <w:szCs w:val="32"/>
              <w:highlight w:val="none"/>
            </w:rPr>
            <w:fldChar w:fldCharType="separate"/>
          </w:r>
          <w:r>
            <w:rPr>
              <w:rFonts w:hint="eastAsia" w:ascii="宋体" w:hAnsi="宋体" w:eastAsia="宋体" w:cs="宋体"/>
              <w:szCs w:val="30"/>
              <w:highlight w:val="none"/>
            </w:rPr>
            <w:t>投标须知前附表</w:t>
          </w:r>
          <w:r>
            <w:rPr>
              <w:highlight w:val="none"/>
            </w:rPr>
            <w:tab/>
          </w:r>
          <w:r>
            <w:rPr>
              <w:highlight w:val="none"/>
            </w:rPr>
            <w:fldChar w:fldCharType="begin"/>
          </w:r>
          <w:r>
            <w:rPr>
              <w:highlight w:val="none"/>
            </w:rPr>
            <w:instrText xml:space="preserve"> PAGEREF _Toc23191 \h </w:instrText>
          </w:r>
          <w:r>
            <w:rPr>
              <w:highlight w:val="none"/>
            </w:rPr>
            <w:fldChar w:fldCharType="separate"/>
          </w:r>
          <w:r>
            <w:rPr>
              <w:highlight w:val="none"/>
            </w:rPr>
            <w:t>4</w:t>
          </w:r>
          <w:r>
            <w:rPr>
              <w:highlight w:val="none"/>
            </w:rPr>
            <w:fldChar w:fldCharType="end"/>
          </w:r>
          <w:r>
            <w:rPr>
              <w:rFonts w:hint="eastAsia" w:ascii="宋体" w:hAnsi="宋体" w:eastAsia="宋体" w:cs="宋体"/>
              <w:bCs/>
              <w:szCs w:val="32"/>
              <w:highlight w:val="none"/>
            </w:rPr>
            <w:fldChar w:fldCharType="end"/>
          </w:r>
        </w:p>
        <w:p>
          <w:pPr>
            <w:pStyle w:val="38"/>
            <w:tabs>
              <w:tab w:val="right" w:leader="dot" w:pos="9070"/>
              <w:tab w:val="clear" w:pos="840"/>
              <w:tab w:val="clear" w:pos="8494"/>
            </w:tabs>
            <w:rPr>
              <w:highlight w:val="none"/>
            </w:rPr>
          </w:pPr>
          <w:r>
            <w:rPr>
              <w:rFonts w:hint="eastAsia" w:ascii="宋体" w:hAnsi="宋体" w:eastAsia="宋体" w:cs="宋体"/>
              <w:bCs/>
              <w:szCs w:val="32"/>
              <w:highlight w:val="none"/>
            </w:rPr>
            <w:fldChar w:fldCharType="begin"/>
          </w:r>
          <w:r>
            <w:rPr>
              <w:rFonts w:hint="eastAsia" w:ascii="宋体" w:hAnsi="宋体" w:eastAsia="宋体" w:cs="宋体"/>
              <w:bCs/>
              <w:szCs w:val="32"/>
              <w:highlight w:val="none"/>
            </w:rPr>
            <w:instrText xml:space="preserve"> HYPERLINK \l _Toc12956 </w:instrText>
          </w:r>
          <w:r>
            <w:rPr>
              <w:rFonts w:hint="eastAsia" w:ascii="宋体" w:hAnsi="宋体" w:eastAsia="宋体" w:cs="宋体"/>
              <w:bCs/>
              <w:szCs w:val="32"/>
              <w:highlight w:val="none"/>
            </w:rPr>
            <w:fldChar w:fldCharType="separate"/>
          </w:r>
          <w:r>
            <w:rPr>
              <w:rFonts w:hint="eastAsia" w:ascii="宋体" w:hAnsi="宋体" w:eastAsia="宋体" w:cs="宋体"/>
              <w:szCs w:val="24"/>
              <w:highlight w:val="none"/>
            </w:rPr>
            <w:t>第一章 投标须知</w:t>
          </w:r>
          <w:r>
            <w:rPr>
              <w:highlight w:val="none"/>
            </w:rPr>
            <w:tab/>
          </w:r>
          <w:r>
            <w:rPr>
              <w:highlight w:val="none"/>
            </w:rPr>
            <w:fldChar w:fldCharType="begin"/>
          </w:r>
          <w:r>
            <w:rPr>
              <w:highlight w:val="none"/>
            </w:rPr>
            <w:instrText xml:space="preserve"> PAGEREF _Toc12956 \h </w:instrText>
          </w:r>
          <w:r>
            <w:rPr>
              <w:highlight w:val="none"/>
            </w:rPr>
            <w:fldChar w:fldCharType="separate"/>
          </w:r>
          <w:r>
            <w:rPr>
              <w:highlight w:val="none"/>
            </w:rPr>
            <w:t>9</w:t>
          </w:r>
          <w:r>
            <w:rPr>
              <w:highlight w:val="none"/>
            </w:rPr>
            <w:fldChar w:fldCharType="end"/>
          </w:r>
          <w:r>
            <w:rPr>
              <w:rFonts w:hint="eastAsia" w:ascii="宋体" w:hAnsi="宋体" w:eastAsia="宋体" w:cs="宋体"/>
              <w:bCs/>
              <w:szCs w:val="32"/>
              <w:highlight w:val="none"/>
            </w:rPr>
            <w:fldChar w:fldCharType="end"/>
          </w:r>
        </w:p>
        <w:p>
          <w:pPr>
            <w:pStyle w:val="38"/>
            <w:tabs>
              <w:tab w:val="right" w:leader="dot" w:pos="9070"/>
              <w:tab w:val="clear" w:pos="840"/>
              <w:tab w:val="clear" w:pos="8494"/>
            </w:tabs>
            <w:rPr>
              <w:highlight w:val="none"/>
            </w:rPr>
          </w:pPr>
          <w:r>
            <w:rPr>
              <w:rFonts w:hint="eastAsia" w:ascii="宋体" w:hAnsi="宋体" w:eastAsia="宋体" w:cs="宋体"/>
              <w:bCs/>
              <w:szCs w:val="32"/>
              <w:highlight w:val="none"/>
            </w:rPr>
            <w:fldChar w:fldCharType="begin"/>
          </w:r>
          <w:r>
            <w:rPr>
              <w:rFonts w:hint="eastAsia" w:ascii="宋体" w:hAnsi="宋体" w:eastAsia="宋体" w:cs="宋体"/>
              <w:bCs/>
              <w:szCs w:val="32"/>
              <w:highlight w:val="none"/>
            </w:rPr>
            <w:instrText xml:space="preserve"> HYPERLINK \l _Toc19665 </w:instrText>
          </w:r>
          <w:r>
            <w:rPr>
              <w:rFonts w:hint="eastAsia" w:ascii="宋体" w:hAnsi="宋体" w:eastAsia="宋体" w:cs="宋体"/>
              <w:bCs/>
              <w:szCs w:val="32"/>
              <w:highlight w:val="none"/>
            </w:rPr>
            <w:fldChar w:fldCharType="separate"/>
          </w:r>
          <w:r>
            <w:rPr>
              <w:rFonts w:hint="eastAsia" w:ascii="宋体" w:hAnsi="宋体" w:eastAsia="宋体" w:cs="宋体"/>
              <w:szCs w:val="24"/>
              <w:highlight w:val="none"/>
              <w:lang w:val="zh-CN"/>
            </w:rPr>
            <w:t>第</w:t>
          </w:r>
          <w:r>
            <w:rPr>
              <w:rFonts w:hint="eastAsia" w:ascii="宋体" w:hAnsi="宋体" w:eastAsia="宋体" w:cs="宋体"/>
              <w:szCs w:val="24"/>
              <w:highlight w:val="none"/>
            </w:rPr>
            <w:t>二</w:t>
          </w:r>
          <w:r>
            <w:rPr>
              <w:rFonts w:hint="eastAsia" w:ascii="宋体" w:hAnsi="宋体" w:eastAsia="宋体" w:cs="宋体"/>
              <w:szCs w:val="24"/>
              <w:highlight w:val="none"/>
              <w:lang w:val="zh-CN"/>
            </w:rPr>
            <w:t>章 评标打分标准</w:t>
          </w:r>
          <w:r>
            <w:rPr>
              <w:highlight w:val="none"/>
            </w:rPr>
            <w:tab/>
          </w:r>
          <w:r>
            <w:rPr>
              <w:highlight w:val="none"/>
            </w:rPr>
            <w:fldChar w:fldCharType="begin"/>
          </w:r>
          <w:r>
            <w:rPr>
              <w:highlight w:val="none"/>
            </w:rPr>
            <w:instrText xml:space="preserve"> PAGEREF _Toc19665 \h </w:instrText>
          </w:r>
          <w:r>
            <w:rPr>
              <w:highlight w:val="none"/>
            </w:rPr>
            <w:fldChar w:fldCharType="separate"/>
          </w:r>
          <w:r>
            <w:rPr>
              <w:highlight w:val="none"/>
            </w:rPr>
            <w:t>19</w:t>
          </w:r>
          <w:r>
            <w:rPr>
              <w:highlight w:val="none"/>
            </w:rPr>
            <w:fldChar w:fldCharType="end"/>
          </w:r>
          <w:r>
            <w:rPr>
              <w:rFonts w:hint="eastAsia" w:ascii="宋体" w:hAnsi="宋体" w:eastAsia="宋体" w:cs="宋体"/>
              <w:bCs/>
              <w:szCs w:val="32"/>
              <w:highlight w:val="none"/>
            </w:rPr>
            <w:fldChar w:fldCharType="end"/>
          </w:r>
        </w:p>
        <w:p>
          <w:pPr>
            <w:pStyle w:val="38"/>
            <w:tabs>
              <w:tab w:val="right" w:leader="dot" w:pos="9070"/>
              <w:tab w:val="clear" w:pos="840"/>
              <w:tab w:val="clear" w:pos="8494"/>
            </w:tabs>
            <w:rPr>
              <w:highlight w:val="none"/>
            </w:rPr>
          </w:pPr>
          <w:r>
            <w:rPr>
              <w:rFonts w:hint="eastAsia" w:ascii="宋体" w:hAnsi="宋体" w:eastAsia="宋体" w:cs="宋体"/>
              <w:bCs/>
              <w:szCs w:val="32"/>
              <w:highlight w:val="none"/>
            </w:rPr>
            <w:fldChar w:fldCharType="begin"/>
          </w:r>
          <w:r>
            <w:rPr>
              <w:rFonts w:hint="eastAsia" w:ascii="宋体" w:hAnsi="宋体" w:eastAsia="宋体" w:cs="宋体"/>
              <w:bCs/>
              <w:szCs w:val="32"/>
              <w:highlight w:val="none"/>
            </w:rPr>
            <w:instrText xml:space="preserve"> HYPERLINK \l _Toc20116 </w:instrText>
          </w:r>
          <w:r>
            <w:rPr>
              <w:rFonts w:hint="eastAsia" w:ascii="宋体" w:hAnsi="宋体" w:eastAsia="宋体" w:cs="宋体"/>
              <w:bCs/>
              <w:szCs w:val="32"/>
              <w:highlight w:val="none"/>
            </w:rPr>
            <w:fldChar w:fldCharType="separate"/>
          </w:r>
          <w:r>
            <w:rPr>
              <w:rFonts w:hint="eastAsia" w:ascii="宋体" w:hAnsi="宋体" w:eastAsia="宋体" w:cs="宋体"/>
              <w:szCs w:val="44"/>
              <w:highlight w:val="none"/>
            </w:rPr>
            <w:t>第三章 合同格式</w:t>
          </w:r>
          <w:r>
            <w:rPr>
              <w:highlight w:val="none"/>
            </w:rPr>
            <w:tab/>
          </w:r>
          <w:r>
            <w:rPr>
              <w:highlight w:val="none"/>
            </w:rPr>
            <w:fldChar w:fldCharType="begin"/>
          </w:r>
          <w:r>
            <w:rPr>
              <w:highlight w:val="none"/>
            </w:rPr>
            <w:instrText xml:space="preserve"> PAGEREF _Toc20116 \h </w:instrText>
          </w:r>
          <w:r>
            <w:rPr>
              <w:highlight w:val="none"/>
            </w:rPr>
            <w:fldChar w:fldCharType="separate"/>
          </w:r>
          <w:r>
            <w:rPr>
              <w:highlight w:val="none"/>
            </w:rPr>
            <w:t>21</w:t>
          </w:r>
          <w:r>
            <w:rPr>
              <w:highlight w:val="none"/>
            </w:rPr>
            <w:fldChar w:fldCharType="end"/>
          </w:r>
          <w:r>
            <w:rPr>
              <w:rFonts w:hint="eastAsia" w:ascii="宋体" w:hAnsi="宋体" w:eastAsia="宋体" w:cs="宋体"/>
              <w:bCs/>
              <w:szCs w:val="32"/>
              <w:highlight w:val="none"/>
            </w:rPr>
            <w:fldChar w:fldCharType="end"/>
          </w:r>
        </w:p>
        <w:p>
          <w:pPr>
            <w:pStyle w:val="38"/>
            <w:tabs>
              <w:tab w:val="right" w:leader="dot" w:pos="9070"/>
              <w:tab w:val="clear" w:pos="840"/>
              <w:tab w:val="clear" w:pos="8494"/>
            </w:tabs>
            <w:rPr>
              <w:highlight w:val="none"/>
            </w:rPr>
          </w:pPr>
          <w:r>
            <w:rPr>
              <w:rFonts w:hint="eastAsia" w:ascii="宋体" w:hAnsi="宋体" w:eastAsia="宋体" w:cs="宋体"/>
              <w:bCs/>
              <w:szCs w:val="32"/>
              <w:highlight w:val="none"/>
            </w:rPr>
            <w:fldChar w:fldCharType="begin"/>
          </w:r>
          <w:r>
            <w:rPr>
              <w:rFonts w:hint="eastAsia" w:ascii="宋体" w:hAnsi="宋体" w:eastAsia="宋体" w:cs="宋体"/>
              <w:bCs/>
              <w:szCs w:val="32"/>
              <w:highlight w:val="none"/>
            </w:rPr>
            <w:instrText xml:space="preserve"> HYPERLINK \l _Toc31615 </w:instrText>
          </w:r>
          <w:r>
            <w:rPr>
              <w:rFonts w:hint="eastAsia" w:ascii="宋体" w:hAnsi="宋体" w:eastAsia="宋体" w:cs="宋体"/>
              <w:bCs/>
              <w:szCs w:val="32"/>
              <w:highlight w:val="none"/>
            </w:rPr>
            <w:fldChar w:fldCharType="separate"/>
          </w:r>
          <w:r>
            <w:rPr>
              <w:rFonts w:hint="eastAsia" w:ascii="宋体" w:hAnsi="宋体" w:eastAsia="宋体" w:cs="宋体"/>
              <w:szCs w:val="24"/>
              <w:highlight w:val="none"/>
            </w:rPr>
            <w:t>第四章工程量清单</w:t>
          </w:r>
          <w:r>
            <w:rPr>
              <w:highlight w:val="none"/>
            </w:rPr>
            <w:tab/>
          </w:r>
          <w:r>
            <w:rPr>
              <w:highlight w:val="none"/>
            </w:rPr>
            <w:fldChar w:fldCharType="begin"/>
          </w:r>
          <w:r>
            <w:rPr>
              <w:highlight w:val="none"/>
            </w:rPr>
            <w:instrText xml:space="preserve"> PAGEREF _Toc31615 \h </w:instrText>
          </w:r>
          <w:r>
            <w:rPr>
              <w:highlight w:val="none"/>
            </w:rPr>
            <w:fldChar w:fldCharType="separate"/>
          </w:r>
          <w:r>
            <w:rPr>
              <w:highlight w:val="none"/>
            </w:rPr>
            <w:t>50</w:t>
          </w:r>
          <w:r>
            <w:rPr>
              <w:highlight w:val="none"/>
            </w:rPr>
            <w:fldChar w:fldCharType="end"/>
          </w:r>
          <w:r>
            <w:rPr>
              <w:rFonts w:hint="eastAsia" w:ascii="宋体" w:hAnsi="宋体" w:eastAsia="宋体" w:cs="宋体"/>
              <w:bCs/>
              <w:szCs w:val="32"/>
              <w:highlight w:val="none"/>
            </w:rPr>
            <w:fldChar w:fldCharType="end"/>
          </w:r>
        </w:p>
        <w:p>
          <w:pPr>
            <w:pStyle w:val="38"/>
            <w:tabs>
              <w:tab w:val="right" w:leader="dot" w:pos="9070"/>
              <w:tab w:val="clear" w:pos="840"/>
              <w:tab w:val="clear" w:pos="8494"/>
            </w:tabs>
            <w:rPr>
              <w:highlight w:val="none"/>
            </w:rPr>
          </w:pPr>
          <w:r>
            <w:rPr>
              <w:rFonts w:hint="eastAsia" w:ascii="宋体" w:hAnsi="宋体" w:eastAsia="宋体" w:cs="宋体"/>
              <w:bCs/>
              <w:szCs w:val="32"/>
              <w:highlight w:val="none"/>
            </w:rPr>
            <w:fldChar w:fldCharType="begin"/>
          </w:r>
          <w:r>
            <w:rPr>
              <w:rFonts w:hint="eastAsia" w:ascii="宋体" w:hAnsi="宋体" w:eastAsia="宋体" w:cs="宋体"/>
              <w:bCs/>
              <w:szCs w:val="32"/>
              <w:highlight w:val="none"/>
            </w:rPr>
            <w:instrText xml:space="preserve"> HYPERLINK \l _Toc28667 </w:instrText>
          </w:r>
          <w:r>
            <w:rPr>
              <w:rFonts w:hint="eastAsia" w:ascii="宋体" w:hAnsi="宋体" w:eastAsia="宋体" w:cs="宋体"/>
              <w:bCs/>
              <w:szCs w:val="32"/>
              <w:highlight w:val="none"/>
            </w:rPr>
            <w:fldChar w:fldCharType="separate"/>
          </w:r>
          <w:r>
            <w:rPr>
              <w:rFonts w:hint="eastAsia" w:ascii="宋体" w:hAnsi="宋体" w:eastAsia="宋体" w:cs="宋体"/>
              <w:szCs w:val="24"/>
              <w:highlight w:val="none"/>
            </w:rPr>
            <w:t>第五章  图纸及技术要求</w:t>
          </w:r>
          <w:r>
            <w:rPr>
              <w:highlight w:val="none"/>
            </w:rPr>
            <w:tab/>
          </w:r>
          <w:r>
            <w:rPr>
              <w:highlight w:val="none"/>
            </w:rPr>
            <w:fldChar w:fldCharType="begin"/>
          </w:r>
          <w:r>
            <w:rPr>
              <w:highlight w:val="none"/>
            </w:rPr>
            <w:instrText xml:space="preserve"> PAGEREF _Toc28667 \h </w:instrText>
          </w:r>
          <w:r>
            <w:rPr>
              <w:highlight w:val="none"/>
            </w:rPr>
            <w:fldChar w:fldCharType="separate"/>
          </w:r>
          <w:r>
            <w:rPr>
              <w:highlight w:val="none"/>
            </w:rPr>
            <w:t>51</w:t>
          </w:r>
          <w:r>
            <w:rPr>
              <w:highlight w:val="none"/>
            </w:rPr>
            <w:fldChar w:fldCharType="end"/>
          </w:r>
          <w:r>
            <w:rPr>
              <w:rFonts w:hint="eastAsia" w:ascii="宋体" w:hAnsi="宋体" w:eastAsia="宋体" w:cs="宋体"/>
              <w:bCs/>
              <w:szCs w:val="32"/>
              <w:highlight w:val="none"/>
            </w:rPr>
            <w:fldChar w:fldCharType="end"/>
          </w:r>
        </w:p>
        <w:p>
          <w:pPr>
            <w:pStyle w:val="38"/>
            <w:tabs>
              <w:tab w:val="right" w:leader="dot" w:pos="9070"/>
              <w:tab w:val="clear" w:pos="840"/>
              <w:tab w:val="clear" w:pos="8494"/>
            </w:tabs>
            <w:rPr>
              <w:highlight w:val="none"/>
            </w:rPr>
          </w:pPr>
          <w:r>
            <w:rPr>
              <w:rFonts w:hint="eastAsia" w:ascii="宋体" w:hAnsi="宋体" w:eastAsia="宋体" w:cs="宋体"/>
              <w:bCs/>
              <w:szCs w:val="32"/>
              <w:highlight w:val="none"/>
            </w:rPr>
            <w:fldChar w:fldCharType="begin"/>
          </w:r>
          <w:r>
            <w:rPr>
              <w:rFonts w:hint="eastAsia" w:ascii="宋体" w:hAnsi="宋体" w:eastAsia="宋体" w:cs="宋体"/>
              <w:bCs/>
              <w:szCs w:val="32"/>
              <w:highlight w:val="none"/>
            </w:rPr>
            <w:instrText xml:space="preserve"> HYPERLINK \l _Toc23264 </w:instrText>
          </w:r>
          <w:r>
            <w:rPr>
              <w:rFonts w:hint="eastAsia" w:ascii="宋体" w:hAnsi="宋体" w:eastAsia="宋体" w:cs="宋体"/>
              <w:bCs/>
              <w:szCs w:val="32"/>
              <w:highlight w:val="none"/>
            </w:rPr>
            <w:fldChar w:fldCharType="separate"/>
          </w:r>
          <w:r>
            <w:rPr>
              <w:rFonts w:hint="eastAsia" w:ascii="宋体" w:hAnsi="宋体" w:eastAsia="宋体" w:cs="宋体"/>
              <w:szCs w:val="24"/>
              <w:highlight w:val="none"/>
            </w:rPr>
            <w:t>第六章 政府采购中小企业政策</w:t>
          </w:r>
          <w:r>
            <w:rPr>
              <w:highlight w:val="none"/>
            </w:rPr>
            <w:tab/>
          </w:r>
          <w:r>
            <w:rPr>
              <w:highlight w:val="none"/>
            </w:rPr>
            <w:fldChar w:fldCharType="begin"/>
          </w:r>
          <w:r>
            <w:rPr>
              <w:highlight w:val="none"/>
            </w:rPr>
            <w:instrText xml:space="preserve"> PAGEREF _Toc23264 \h </w:instrText>
          </w:r>
          <w:r>
            <w:rPr>
              <w:highlight w:val="none"/>
            </w:rPr>
            <w:fldChar w:fldCharType="separate"/>
          </w:r>
          <w:r>
            <w:rPr>
              <w:highlight w:val="none"/>
            </w:rPr>
            <w:t>56</w:t>
          </w:r>
          <w:r>
            <w:rPr>
              <w:highlight w:val="none"/>
            </w:rPr>
            <w:fldChar w:fldCharType="end"/>
          </w:r>
          <w:r>
            <w:rPr>
              <w:rFonts w:hint="eastAsia" w:ascii="宋体" w:hAnsi="宋体" w:eastAsia="宋体" w:cs="宋体"/>
              <w:bCs/>
              <w:szCs w:val="32"/>
              <w:highlight w:val="none"/>
            </w:rPr>
            <w:fldChar w:fldCharType="end"/>
          </w:r>
        </w:p>
        <w:p>
          <w:pPr>
            <w:pStyle w:val="38"/>
            <w:tabs>
              <w:tab w:val="right" w:leader="dot" w:pos="9070"/>
              <w:tab w:val="clear" w:pos="840"/>
              <w:tab w:val="clear" w:pos="8494"/>
            </w:tabs>
            <w:rPr>
              <w:highlight w:val="none"/>
            </w:rPr>
          </w:pPr>
          <w:r>
            <w:rPr>
              <w:rFonts w:hint="eastAsia" w:ascii="宋体" w:hAnsi="宋体" w:eastAsia="宋体" w:cs="宋体"/>
              <w:bCs/>
              <w:szCs w:val="32"/>
              <w:highlight w:val="none"/>
            </w:rPr>
            <w:fldChar w:fldCharType="begin"/>
          </w:r>
          <w:r>
            <w:rPr>
              <w:rFonts w:hint="eastAsia" w:ascii="宋体" w:hAnsi="宋体" w:eastAsia="宋体" w:cs="宋体"/>
              <w:bCs/>
              <w:szCs w:val="32"/>
              <w:highlight w:val="none"/>
            </w:rPr>
            <w:instrText xml:space="preserve"> HYPERLINK \l _Toc7829 </w:instrText>
          </w:r>
          <w:r>
            <w:rPr>
              <w:rFonts w:hint="eastAsia" w:ascii="宋体" w:hAnsi="宋体" w:eastAsia="宋体" w:cs="宋体"/>
              <w:bCs/>
              <w:szCs w:val="32"/>
              <w:highlight w:val="none"/>
            </w:rPr>
            <w:fldChar w:fldCharType="separate"/>
          </w:r>
          <w:r>
            <w:rPr>
              <w:rFonts w:hint="eastAsia" w:ascii="宋体" w:hAnsi="宋体" w:eastAsia="宋体" w:cs="宋体"/>
              <w:szCs w:val="24"/>
              <w:highlight w:val="none"/>
            </w:rPr>
            <w:t>第七章  附  件</w:t>
          </w:r>
          <w:r>
            <w:rPr>
              <w:highlight w:val="none"/>
            </w:rPr>
            <w:tab/>
          </w:r>
          <w:r>
            <w:rPr>
              <w:highlight w:val="none"/>
            </w:rPr>
            <w:fldChar w:fldCharType="begin"/>
          </w:r>
          <w:r>
            <w:rPr>
              <w:highlight w:val="none"/>
            </w:rPr>
            <w:instrText xml:space="preserve"> PAGEREF _Toc7829 \h </w:instrText>
          </w:r>
          <w:r>
            <w:rPr>
              <w:highlight w:val="none"/>
            </w:rPr>
            <w:fldChar w:fldCharType="separate"/>
          </w:r>
          <w:r>
            <w:rPr>
              <w:highlight w:val="none"/>
            </w:rPr>
            <w:t>59</w:t>
          </w:r>
          <w:r>
            <w:rPr>
              <w:highlight w:val="none"/>
            </w:rPr>
            <w:fldChar w:fldCharType="end"/>
          </w:r>
          <w:r>
            <w:rPr>
              <w:rFonts w:hint="eastAsia" w:ascii="宋体" w:hAnsi="宋体" w:eastAsia="宋体" w:cs="宋体"/>
              <w:bCs/>
              <w:szCs w:val="32"/>
              <w:highlight w:val="none"/>
            </w:rPr>
            <w:fldChar w:fldCharType="end"/>
          </w:r>
        </w:p>
        <w:p>
          <w:pPr>
            <w:tabs>
              <w:tab w:val="left" w:pos="360"/>
              <w:tab w:val="left" w:pos="540"/>
              <w:tab w:val="left" w:pos="720"/>
              <w:tab w:val="left" w:pos="900"/>
              <w:tab w:val="left" w:pos="1080"/>
            </w:tabs>
            <w:spacing w:line="360" w:lineRule="auto"/>
            <w:jc w:val="center"/>
            <w:rPr>
              <w:rFonts w:hint="eastAsia" w:ascii="宋体" w:hAnsi="宋体" w:eastAsia="宋体" w:cs="宋体"/>
              <w:bCs/>
              <w:kern w:val="2"/>
              <w:sz w:val="21"/>
              <w:szCs w:val="32"/>
              <w:highlight w:val="none"/>
              <w:lang w:val="en-US" w:eastAsia="zh-CN" w:bidi="ar-SA"/>
            </w:rPr>
          </w:pPr>
          <w:r>
            <w:rPr>
              <w:rFonts w:hint="eastAsia" w:ascii="宋体" w:hAnsi="宋体" w:eastAsia="宋体" w:cs="宋体"/>
              <w:bCs/>
              <w:szCs w:val="32"/>
              <w:highlight w:val="none"/>
            </w:rPr>
            <w:fldChar w:fldCharType="end"/>
          </w:r>
        </w:p>
      </w:sdtContent>
    </w:sdt>
    <w:p>
      <w:pPr>
        <w:bidi w:val="0"/>
        <w:rPr>
          <w:rFonts w:hint="eastAsia" w:ascii="Calibri" w:hAnsi="Calibri" w:eastAsia="宋体" w:cs="Times New Roman"/>
          <w:kern w:val="2"/>
          <w:sz w:val="21"/>
          <w:szCs w:val="22"/>
          <w:highlight w:val="none"/>
          <w:lang w:val="en-US" w:eastAsia="zh-CN" w:bidi="ar-SA"/>
        </w:rPr>
      </w:pPr>
    </w:p>
    <w:p>
      <w:pPr>
        <w:bidi w:val="0"/>
        <w:rPr>
          <w:rFonts w:hint="eastAsia"/>
          <w:highlight w:val="none"/>
          <w:lang w:val="en-US" w:eastAsia="zh-CN"/>
        </w:rPr>
      </w:pPr>
    </w:p>
    <w:p>
      <w:pPr>
        <w:bidi w:val="0"/>
        <w:rPr>
          <w:rFonts w:hint="eastAsia"/>
          <w:highlight w:val="none"/>
          <w:lang w:val="en-US" w:eastAsia="zh-CN"/>
        </w:rPr>
      </w:pPr>
    </w:p>
    <w:p>
      <w:pPr>
        <w:tabs>
          <w:tab w:val="left" w:pos="3226"/>
        </w:tabs>
        <w:bidi w:val="0"/>
        <w:jc w:val="left"/>
        <w:rPr>
          <w:rFonts w:hint="eastAsia"/>
          <w:highlight w:val="none"/>
          <w:lang w:val="en-US" w:eastAsia="zh-CN"/>
        </w:rPr>
        <w:sectPr>
          <w:footerReference r:id="rId6" w:type="first"/>
          <w:footerReference r:id="rId5" w:type="default"/>
          <w:pgSz w:w="11906" w:h="16838"/>
          <w:pgMar w:top="1418" w:right="1418" w:bottom="1418" w:left="1418" w:header="851" w:footer="992" w:gutter="0"/>
          <w:pgNumType w:fmt="decimal" w:start="1"/>
          <w:cols w:space="720" w:num="1"/>
          <w:titlePg/>
          <w:docGrid w:linePitch="380" w:charSpace="-5735"/>
        </w:sectPr>
      </w:pPr>
      <w:r>
        <w:rPr>
          <w:rFonts w:hint="eastAsia"/>
          <w:highlight w:val="none"/>
          <w:lang w:val="en-US" w:eastAsia="zh-CN"/>
        </w:rPr>
        <w:tab/>
      </w:r>
    </w:p>
    <w:p>
      <w:pPr>
        <w:tabs>
          <w:tab w:val="left" w:pos="360"/>
          <w:tab w:val="left" w:pos="540"/>
          <w:tab w:val="left" w:pos="720"/>
          <w:tab w:val="left" w:pos="900"/>
          <w:tab w:val="left" w:pos="1080"/>
        </w:tabs>
        <w:spacing w:line="360" w:lineRule="auto"/>
        <w:jc w:val="center"/>
        <w:outlineLvl w:val="0"/>
        <w:rPr>
          <w:rFonts w:hint="eastAsia" w:ascii="宋体" w:hAnsi="宋体" w:eastAsia="宋体" w:cs="宋体"/>
          <w:b/>
          <w:bCs/>
          <w:sz w:val="32"/>
          <w:szCs w:val="32"/>
          <w:highlight w:val="none"/>
        </w:rPr>
      </w:pPr>
      <w:bookmarkStart w:id="0" w:name="_Toc11007"/>
      <w:r>
        <w:rPr>
          <w:rFonts w:hint="eastAsia" w:ascii="宋体" w:hAnsi="宋体" w:eastAsia="宋体" w:cs="宋体"/>
          <w:b/>
          <w:bCs/>
          <w:sz w:val="32"/>
          <w:szCs w:val="32"/>
          <w:highlight w:val="none"/>
        </w:rPr>
        <w:t>招 标 公 告</w:t>
      </w:r>
      <w:bookmarkEnd w:id="0"/>
    </w:p>
    <w:p>
      <w:pPr>
        <w:pStyle w:val="4"/>
        <w:spacing w:before="0" w:after="0" w:line="360" w:lineRule="auto"/>
        <w:outlineLvl w:val="0"/>
        <w:rPr>
          <w:rFonts w:hint="eastAsia" w:ascii="宋体" w:hAnsi="宋体" w:eastAsia="宋体" w:cs="宋体"/>
          <w:highlight w:val="none"/>
        </w:rPr>
      </w:pPr>
      <w:bookmarkStart w:id="1" w:name="_Toc5039"/>
      <w:bookmarkStart w:id="2" w:name="_Toc13413"/>
      <w:r>
        <w:rPr>
          <w:rFonts w:hint="eastAsia" w:ascii="宋体" w:hAnsi="宋体" w:eastAsia="宋体" w:cs="宋体"/>
          <w:highlight w:val="none"/>
        </w:rPr>
        <w:t>1．项目概况与招标范围</w:t>
      </w:r>
      <w:bookmarkEnd w:id="1"/>
      <w:bookmarkEnd w:id="2"/>
    </w:p>
    <w:p>
      <w:pPr>
        <w:spacing w:line="360" w:lineRule="auto"/>
        <w:ind w:firstLine="420" w:firstLineChars="200"/>
        <w:rPr>
          <w:rFonts w:hint="eastAsia" w:ascii="宋体" w:hAnsi="宋体" w:eastAsia="宋体" w:cs="宋体"/>
          <w:highlight w:val="none"/>
        </w:rPr>
      </w:pPr>
      <w:r>
        <w:rPr>
          <w:rFonts w:hint="eastAsia" w:ascii="宋体" w:hAnsi="宋体" w:eastAsia="宋体" w:cs="宋体"/>
          <w:highlight w:val="none"/>
        </w:rPr>
        <w:t>招标范围：</w:t>
      </w:r>
      <w:bookmarkStart w:id="3" w:name="_Hlk2336810"/>
      <w:bookmarkStart w:id="4" w:name="_Hlk4412712"/>
      <w:r>
        <w:rPr>
          <w:rFonts w:hint="eastAsia" w:ascii="宋体" w:hAnsi="宋体" w:eastAsia="宋体" w:cs="宋体"/>
          <w:highlight w:val="none"/>
        </w:rPr>
        <w:t>本项目</w:t>
      </w:r>
      <w:bookmarkEnd w:id="3"/>
      <w:r>
        <w:rPr>
          <w:rFonts w:hint="eastAsia" w:ascii="宋体" w:hAnsi="宋体" w:eastAsia="宋体" w:cs="宋体"/>
          <w:highlight w:val="none"/>
        </w:rPr>
        <w:t>为</w:t>
      </w:r>
      <w:bookmarkEnd w:id="4"/>
      <w:r>
        <w:rPr>
          <w:rFonts w:hint="eastAsia" w:ascii="宋体" w:hAnsi="宋体" w:eastAsia="宋体" w:cs="宋体"/>
          <w:highlight w:val="none"/>
        </w:rPr>
        <w:t>复旦大学江湾校区融合创新二号楼项目绿化搬迁工程。本工程位于复旦大学江湾校区内，东至经二路、南至规划新建楼宇，西至经一路，北至纬五河。项目周围市政设施齐全、交通便利、地势平坦、环境整洁，建设条件良好。</w:t>
      </w:r>
    </w:p>
    <w:p>
      <w:pPr>
        <w:spacing w:line="360" w:lineRule="auto"/>
        <w:ind w:firstLine="420" w:firstLineChars="200"/>
        <w:rPr>
          <w:rFonts w:hint="eastAsia" w:ascii="宋体" w:hAnsi="宋体" w:eastAsia="宋体" w:cs="宋体"/>
          <w:highlight w:val="none"/>
        </w:rPr>
      </w:pPr>
      <w:r>
        <w:rPr>
          <w:rFonts w:hint="eastAsia" w:ascii="宋体" w:hAnsi="宋体" w:eastAsia="宋体" w:cs="宋体"/>
          <w:highlight w:val="none"/>
        </w:rPr>
        <w:t>本项目总建筑面积为50000㎡，其中地上建筑面积32000㎡，地下建筑面积为18000㎡。包括公共技术服务平台及实验室、师生办公会议空间、交流活动空间及各类附属用房等。地下室主要包括人防空间及停车库等。项目总投资40000万元。为支持本项目的建设工作，对建设临时生活区及建设规划范围内现有的园林树木进行迁移</w:t>
      </w:r>
      <w:r>
        <w:rPr>
          <w:rFonts w:hint="eastAsia" w:ascii="宋体" w:hAnsi="宋体" w:cs="宋体"/>
          <w:highlight w:val="none"/>
          <w:lang w:val="en-US" w:eastAsia="zh-CN"/>
        </w:rPr>
        <w:t>及养护</w:t>
      </w:r>
      <w:r>
        <w:rPr>
          <w:rFonts w:hint="eastAsia" w:ascii="宋体" w:hAnsi="宋体" w:eastAsia="宋体" w:cs="宋体"/>
          <w:highlight w:val="none"/>
        </w:rPr>
        <w:t>。</w:t>
      </w:r>
      <w:r>
        <w:rPr>
          <w:rFonts w:hint="eastAsia" w:ascii="宋体" w:hAnsi="宋体" w:eastAsia="宋体" w:cs="宋体"/>
          <w:highlight w:val="none"/>
        </w:rPr>
        <w:t>此项工程需迁移的乔木类主要包含有：桂花、马褂木、夹竹桃、银杏、红枫、柳树、重阳木、苦楝树、桧柏球、海棠、红叶石楠球、小叶</w:t>
      </w:r>
      <w:r>
        <w:rPr>
          <w:rFonts w:hint="eastAsia" w:ascii="宋体" w:hAnsi="宋体" w:cs="宋体"/>
          <w:highlight w:val="none"/>
          <w:lang w:val="en-US" w:eastAsia="zh-CN"/>
        </w:rPr>
        <w:t>女贞</w:t>
      </w:r>
      <w:r>
        <w:rPr>
          <w:rFonts w:hint="eastAsia" w:ascii="宋体" w:hAnsi="宋体" w:eastAsia="宋体" w:cs="宋体"/>
          <w:highlight w:val="none"/>
        </w:rPr>
        <w:t>球、小叶黄杨球、结香、丛生结香、红花继木球、茶花、樱花、香樟、豪猪刺、香樟、无患子、雪松、棕榈、栾树、合欢、紫玉兰、剑兰、海桐球、木槿、女贞、丛生石楠、石楠。搬迁区域：纬五河以南，经二路以西，纬五路以北，经一路以东。搬迁至：月湖南侧。</w:t>
      </w:r>
      <w:r>
        <w:rPr>
          <w:rFonts w:hint="eastAsia" w:ascii="宋体" w:hAnsi="宋体" w:eastAsia="宋体" w:cs="宋体"/>
          <w:highlight w:val="none"/>
        </w:rPr>
        <w:t>中标单位工作内容包含但不限于：绿化搬迁范围内的所有绿化苗木起挖，绿化场地整理、绿化拍照建档、运输、种植</w:t>
      </w:r>
      <w:r>
        <w:rPr>
          <w:rFonts w:hint="eastAsia" w:ascii="宋体" w:hAnsi="宋体" w:cs="宋体"/>
          <w:highlight w:val="none"/>
          <w:lang w:eastAsia="zh-CN"/>
        </w:rPr>
        <w:t>，</w:t>
      </w:r>
      <w:r>
        <w:rPr>
          <w:rFonts w:hint="eastAsia" w:ascii="宋体" w:hAnsi="宋体" w:cs="宋体"/>
          <w:highlight w:val="none"/>
          <w:lang w:val="en-US" w:eastAsia="zh-CN"/>
        </w:rPr>
        <w:t>两年期的养护保活</w:t>
      </w:r>
      <w:r>
        <w:rPr>
          <w:rFonts w:hint="eastAsia" w:ascii="宋体" w:hAnsi="宋体" w:eastAsia="宋体" w:cs="宋体"/>
          <w:highlight w:val="none"/>
        </w:rPr>
        <w:t>，负责绿化搬迁过程中所有可能发生的行政手续办理及协调等一系列工作（含所有费用）。</w:t>
      </w:r>
    </w:p>
    <w:p>
      <w:pPr>
        <w:spacing w:line="360" w:lineRule="auto"/>
        <w:ind w:firstLine="420" w:firstLineChars="200"/>
        <w:rPr>
          <w:rFonts w:hint="eastAsia" w:ascii="宋体" w:hAnsi="宋体" w:eastAsia="宋体" w:cs="宋体"/>
          <w:highlight w:val="none"/>
        </w:rPr>
      </w:pPr>
      <w:r>
        <w:rPr>
          <w:rFonts w:hint="eastAsia" w:ascii="宋体" w:hAnsi="宋体" w:eastAsia="宋体" w:cs="宋体"/>
          <w:highlight w:val="none"/>
        </w:rPr>
        <w:t>预算金额：</w:t>
      </w:r>
      <w:r>
        <w:rPr>
          <w:rFonts w:hint="eastAsia" w:ascii="宋体" w:hAnsi="宋体" w:cs="宋体"/>
          <w:highlight w:val="none"/>
          <w:lang w:val="en-US" w:eastAsia="zh-CN"/>
        </w:rPr>
        <w:t>108.64009</w:t>
      </w:r>
      <w:r>
        <w:rPr>
          <w:rFonts w:hint="eastAsia" w:ascii="宋体" w:hAnsi="宋体" w:eastAsia="宋体" w:cs="宋体"/>
          <w:highlight w:val="none"/>
        </w:rPr>
        <w:t>万元</w:t>
      </w:r>
    </w:p>
    <w:p>
      <w:pPr>
        <w:spacing w:line="360" w:lineRule="auto"/>
        <w:ind w:firstLine="420" w:firstLineChars="200"/>
        <w:rPr>
          <w:rFonts w:hint="eastAsia" w:ascii="宋体" w:hAnsi="宋体" w:eastAsia="宋体" w:cs="宋体"/>
          <w:highlight w:val="none"/>
        </w:rPr>
      </w:pPr>
      <w:r>
        <w:rPr>
          <w:rFonts w:hint="eastAsia" w:ascii="宋体" w:hAnsi="宋体" w:eastAsia="宋体" w:cs="宋体"/>
          <w:color w:val="auto"/>
          <w:highlight w:val="none"/>
        </w:rPr>
        <w:t>项目编号：</w:t>
      </w:r>
      <w:r>
        <w:rPr>
          <w:rFonts w:hint="eastAsia" w:ascii="宋体" w:hAnsi="宋体" w:eastAsia="宋体" w:cs="宋体"/>
          <w:color w:val="auto"/>
          <w:highlight w:val="none"/>
          <w:u w:val="single"/>
        </w:rPr>
        <w:t>GCF20210</w:t>
      </w:r>
      <w:r>
        <w:rPr>
          <w:rFonts w:hint="eastAsia" w:ascii="宋体" w:hAnsi="宋体" w:cs="宋体"/>
          <w:color w:val="auto"/>
          <w:highlight w:val="none"/>
          <w:u w:val="single"/>
          <w:lang w:val="en-US" w:eastAsia="zh-CN"/>
        </w:rPr>
        <w:t>90302</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  招标代理单位内部编号：</w:t>
      </w:r>
      <w:r>
        <w:rPr>
          <w:rFonts w:hint="eastAsia" w:ascii="宋体" w:hAnsi="宋体" w:eastAsia="宋体" w:cs="宋体"/>
          <w:highlight w:val="none"/>
        </w:rPr>
        <w:t>2021-0415-ne</w:t>
      </w:r>
      <w:r>
        <w:rPr>
          <w:rFonts w:hint="eastAsia" w:ascii="宋体" w:hAnsi="宋体" w:eastAsia="宋体" w:cs="宋体"/>
          <w:highlight w:val="none"/>
        </w:rPr>
        <w:t xml:space="preserve"> </w:t>
      </w:r>
    </w:p>
    <w:p>
      <w:pPr>
        <w:spacing w:line="360" w:lineRule="auto"/>
        <w:ind w:firstLine="420" w:firstLineChars="200"/>
        <w:rPr>
          <w:rFonts w:hint="eastAsia" w:ascii="宋体" w:hAnsi="宋体" w:eastAsia="宋体" w:cs="宋体"/>
          <w:highlight w:val="none"/>
        </w:rPr>
      </w:pPr>
    </w:p>
    <w:p>
      <w:pPr>
        <w:pStyle w:val="4"/>
        <w:spacing w:before="0" w:after="0" w:line="360" w:lineRule="auto"/>
        <w:outlineLvl w:val="0"/>
        <w:rPr>
          <w:rFonts w:hint="eastAsia" w:ascii="宋体" w:hAnsi="宋体" w:eastAsia="宋体" w:cs="宋体"/>
          <w:highlight w:val="none"/>
        </w:rPr>
      </w:pPr>
      <w:bookmarkStart w:id="5" w:name="_Toc152042290"/>
      <w:bookmarkStart w:id="6" w:name="_Toc144974482"/>
      <w:bookmarkStart w:id="7" w:name="_Toc4898"/>
      <w:bookmarkStart w:id="8" w:name="_Toc331251416"/>
      <w:bookmarkStart w:id="9" w:name="_Toc247085674"/>
      <w:bookmarkStart w:id="10" w:name="_Toc27920"/>
      <w:bookmarkStart w:id="11" w:name="_Toc246996903"/>
      <w:bookmarkStart w:id="12" w:name="_Toc296602404"/>
      <w:bookmarkStart w:id="13" w:name="_Toc152045514"/>
      <w:bookmarkStart w:id="14" w:name="_Toc421798664"/>
      <w:bookmarkStart w:id="15" w:name="_Toc179632530"/>
      <w:bookmarkStart w:id="16" w:name="_Toc246996160"/>
      <w:r>
        <w:rPr>
          <w:rFonts w:hint="eastAsia" w:ascii="宋体" w:hAnsi="宋体" w:eastAsia="宋体" w:cs="宋体"/>
          <w:highlight w:val="none"/>
        </w:rPr>
        <w:t>2. 投标人资格要求</w:t>
      </w:r>
      <w:bookmarkEnd w:id="5"/>
      <w:bookmarkEnd w:id="6"/>
      <w:bookmarkEnd w:id="7"/>
      <w:bookmarkEnd w:id="8"/>
      <w:bookmarkEnd w:id="9"/>
      <w:bookmarkEnd w:id="10"/>
      <w:bookmarkEnd w:id="11"/>
      <w:bookmarkEnd w:id="12"/>
      <w:bookmarkEnd w:id="13"/>
      <w:bookmarkEnd w:id="14"/>
      <w:bookmarkEnd w:id="15"/>
      <w:bookmarkEnd w:id="16"/>
    </w:p>
    <w:p>
      <w:pPr>
        <w:spacing w:line="360" w:lineRule="auto"/>
        <w:ind w:left="420" w:leftChars="200"/>
        <w:rPr>
          <w:rFonts w:hint="eastAsia" w:ascii="宋体" w:hAnsi="宋体" w:eastAsia="宋体" w:cs="宋体"/>
          <w:bCs/>
          <w:highlight w:val="none"/>
        </w:rPr>
      </w:pPr>
      <w:bookmarkStart w:id="17" w:name="_Toc144974483"/>
      <w:bookmarkStart w:id="18" w:name="_Toc152045515"/>
      <w:bookmarkStart w:id="19" w:name="_Toc246996161"/>
      <w:bookmarkStart w:id="20" w:name="_Toc179632531"/>
      <w:bookmarkStart w:id="21" w:name="_Toc247085675"/>
      <w:bookmarkStart w:id="22" w:name="_Toc152042291"/>
      <w:bookmarkStart w:id="23" w:name="_Toc246996904"/>
      <w:r>
        <w:rPr>
          <w:rFonts w:hint="eastAsia" w:ascii="宋体" w:hAnsi="宋体" w:eastAsia="宋体" w:cs="宋体"/>
          <w:bCs/>
          <w:highlight w:val="none"/>
        </w:rPr>
        <w:t>（1）从事城市园林绿化项目的施工企业，应持有效的营业执照；施工现场项目管理与工程规模相符合。</w:t>
      </w:r>
    </w:p>
    <w:p>
      <w:pPr>
        <w:spacing w:line="360" w:lineRule="auto"/>
        <w:ind w:left="420" w:leftChars="200"/>
        <w:rPr>
          <w:rFonts w:hint="eastAsia" w:ascii="宋体" w:hAnsi="宋体" w:eastAsia="宋体" w:cs="宋体"/>
          <w:bCs/>
          <w:highlight w:val="none"/>
          <w:lang w:eastAsia="zh-CN"/>
        </w:rPr>
      </w:pPr>
      <w:r>
        <w:rPr>
          <w:rFonts w:hint="eastAsia" w:ascii="宋体" w:hAnsi="宋体" w:eastAsia="宋体" w:cs="宋体"/>
          <w:bCs/>
          <w:highlight w:val="none"/>
        </w:rPr>
        <w:t>（2）园林绿化施工企业项目负责人具有《园林绿化施工企业项目负责人质量安全生产考核合格证书》</w:t>
      </w:r>
      <w:r>
        <w:rPr>
          <w:rFonts w:hint="eastAsia" w:ascii="宋体" w:hAnsi="宋体" w:cs="宋体"/>
          <w:bCs/>
          <w:highlight w:val="none"/>
          <w:lang w:eastAsia="zh-CN"/>
        </w:rPr>
        <w:t>。</w:t>
      </w:r>
    </w:p>
    <w:p>
      <w:pPr>
        <w:spacing w:line="360" w:lineRule="auto"/>
        <w:ind w:left="420" w:leftChars="200"/>
        <w:rPr>
          <w:rFonts w:hint="eastAsia" w:ascii="宋体" w:hAnsi="宋体" w:eastAsia="宋体" w:cs="宋体"/>
          <w:bCs/>
          <w:highlight w:val="none"/>
        </w:rPr>
      </w:pPr>
      <w:r>
        <w:rPr>
          <w:rFonts w:hint="eastAsia" w:ascii="宋体" w:hAnsi="宋体" w:eastAsia="宋体" w:cs="宋体"/>
          <w:bCs/>
          <w:highlight w:val="none"/>
        </w:rPr>
        <w:t>（3）不接受联合体投标</w:t>
      </w:r>
    </w:p>
    <w:p>
      <w:pPr>
        <w:spacing w:line="360" w:lineRule="auto"/>
        <w:rPr>
          <w:rFonts w:hint="eastAsia" w:ascii="宋体" w:hAnsi="宋体" w:eastAsia="宋体" w:cs="宋体"/>
          <w:b/>
          <w:bCs/>
          <w:highlight w:val="none"/>
        </w:rPr>
      </w:pPr>
      <w:r>
        <w:rPr>
          <w:rFonts w:hint="eastAsia" w:ascii="宋体" w:hAnsi="宋体" w:eastAsia="宋体" w:cs="宋体"/>
          <w:b/>
          <w:bCs/>
          <w:highlight w:val="none"/>
        </w:rPr>
        <w:t xml:space="preserve">    根据《政府采购促进中小企业发展管理办法》、《中小企业划型标准规定》本项目专门面向中小企业，项目所属行业为：</w:t>
      </w:r>
      <w:r>
        <w:rPr>
          <w:rFonts w:hint="eastAsia" w:ascii="宋体" w:hAnsi="宋体" w:eastAsia="宋体" w:cs="宋体"/>
          <w:b/>
          <w:bCs/>
          <w:highlight w:val="none"/>
          <w:u w:val="single"/>
        </w:rPr>
        <w:t>建筑业</w:t>
      </w:r>
    </w:p>
    <w:p>
      <w:pPr>
        <w:pStyle w:val="4"/>
        <w:spacing w:before="0" w:after="0" w:line="360" w:lineRule="auto"/>
        <w:outlineLvl w:val="0"/>
        <w:rPr>
          <w:rFonts w:hint="eastAsia" w:ascii="宋体" w:hAnsi="宋体" w:eastAsia="宋体" w:cs="宋体"/>
          <w:highlight w:val="none"/>
        </w:rPr>
      </w:pPr>
      <w:bookmarkStart w:id="24" w:name="_Toc421798665"/>
      <w:bookmarkStart w:id="25" w:name="_Toc27280"/>
      <w:bookmarkStart w:id="26" w:name="_Toc296602405"/>
      <w:bookmarkStart w:id="27" w:name="_Toc25617"/>
      <w:r>
        <w:rPr>
          <w:rFonts w:hint="eastAsia" w:ascii="宋体" w:hAnsi="宋体" w:eastAsia="宋体" w:cs="宋体"/>
          <w:highlight w:val="none"/>
        </w:rPr>
        <w:t>3. 招标文件的获取</w:t>
      </w:r>
      <w:bookmarkEnd w:id="17"/>
      <w:bookmarkEnd w:id="18"/>
      <w:bookmarkEnd w:id="19"/>
      <w:bookmarkEnd w:id="20"/>
      <w:bookmarkEnd w:id="21"/>
      <w:bookmarkEnd w:id="22"/>
      <w:bookmarkEnd w:id="23"/>
      <w:bookmarkEnd w:id="24"/>
      <w:bookmarkEnd w:id="25"/>
      <w:bookmarkEnd w:id="26"/>
      <w:bookmarkEnd w:id="27"/>
    </w:p>
    <w:p>
      <w:pPr>
        <w:tabs>
          <w:tab w:val="left" w:pos="360"/>
        </w:tabs>
        <w:spacing w:line="360" w:lineRule="auto"/>
        <w:ind w:firstLine="420"/>
        <w:rPr>
          <w:rFonts w:hint="eastAsia" w:ascii="宋体" w:hAnsi="宋体" w:eastAsia="宋体" w:cs="宋体"/>
          <w:snapToGrid w:val="0"/>
          <w:szCs w:val="21"/>
          <w:highlight w:val="none"/>
          <w:lang w:eastAsia="zh-CN"/>
        </w:rPr>
      </w:pPr>
      <w:r>
        <w:rPr>
          <w:rFonts w:hint="eastAsia" w:ascii="宋体" w:hAnsi="宋体" w:eastAsia="宋体" w:cs="宋体"/>
          <w:szCs w:val="21"/>
          <w:highlight w:val="none"/>
        </w:rPr>
        <w:t xml:space="preserve">3.1 </w:t>
      </w:r>
      <w:bookmarkStart w:id="28" w:name="_Toc152042292"/>
      <w:bookmarkStart w:id="29" w:name="_Toc421798666"/>
      <w:bookmarkStart w:id="30" w:name="_Toc247085676"/>
      <w:bookmarkStart w:id="31" w:name="_Toc246996905"/>
      <w:bookmarkStart w:id="32" w:name="_Toc331251417"/>
      <w:bookmarkStart w:id="33" w:name="_Toc179632532"/>
      <w:bookmarkStart w:id="34" w:name="_Toc152045516"/>
      <w:bookmarkStart w:id="35" w:name="_Toc296602406"/>
      <w:bookmarkStart w:id="36" w:name="_Toc144974484"/>
      <w:bookmarkStart w:id="37" w:name="_Toc246996162"/>
      <w:r>
        <w:rPr>
          <w:rFonts w:hint="eastAsia" w:ascii="宋体" w:hAnsi="宋体" w:eastAsia="宋体" w:cs="宋体"/>
          <w:szCs w:val="21"/>
          <w:highlight w:val="none"/>
        </w:rPr>
        <w:t>凡有意参加投标者，请于</w:t>
      </w:r>
      <w:bookmarkStart w:id="38" w:name="_Hlk483665089"/>
      <w:r>
        <w:rPr>
          <w:rFonts w:hint="eastAsia" w:ascii="宋体" w:hAnsi="宋体" w:eastAsia="宋体" w:cs="宋体"/>
          <w:b/>
          <w:szCs w:val="21"/>
          <w:highlight w:val="none"/>
          <w:u w:val="single"/>
        </w:rPr>
        <w:t xml:space="preserve"> 2021</w:t>
      </w:r>
      <w:r>
        <w:rPr>
          <w:rFonts w:hint="eastAsia" w:ascii="宋体" w:hAnsi="宋体" w:eastAsia="宋体" w:cs="宋体"/>
          <w:b/>
          <w:szCs w:val="21"/>
          <w:highlight w:val="none"/>
        </w:rPr>
        <w:t>年</w:t>
      </w:r>
      <w:r>
        <w:rPr>
          <w:rFonts w:hint="eastAsia" w:ascii="宋体" w:hAnsi="宋体" w:eastAsia="宋体" w:cs="宋体"/>
          <w:b/>
          <w:szCs w:val="21"/>
          <w:highlight w:val="none"/>
          <w:u w:val="single"/>
        </w:rPr>
        <w:t xml:space="preserve"> </w:t>
      </w:r>
      <w:r>
        <w:rPr>
          <w:rFonts w:hint="eastAsia" w:ascii="宋体" w:hAnsi="宋体" w:cs="宋体"/>
          <w:b/>
          <w:szCs w:val="21"/>
          <w:highlight w:val="none"/>
          <w:u w:val="single"/>
          <w:lang w:val="en-US" w:eastAsia="zh-CN"/>
        </w:rPr>
        <w:t>9</w:t>
      </w:r>
      <w:r>
        <w:rPr>
          <w:rFonts w:hint="eastAsia" w:ascii="宋体" w:hAnsi="宋体" w:eastAsia="宋体" w:cs="宋体"/>
          <w:b/>
          <w:szCs w:val="21"/>
          <w:highlight w:val="none"/>
          <w:u w:val="single"/>
        </w:rPr>
        <w:t xml:space="preserve"> </w:t>
      </w:r>
      <w:r>
        <w:rPr>
          <w:rFonts w:hint="eastAsia" w:ascii="宋体" w:hAnsi="宋体" w:eastAsia="宋体" w:cs="宋体"/>
          <w:b/>
          <w:szCs w:val="21"/>
          <w:highlight w:val="none"/>
        </w:rPr>
        <w:t>月</w:t>
      </w:r>
      <w:r>
        <w:rPr>
          <w:rFonts w:hint="eastAsia" w:ascii="宋体" w:hAnsi="宋体" w:eastAsia="宋体" w:cs="宋体"/>
          <w:b/>
          <w:szCs w:val="21"/>
          <w:highlight w:val="none"/>
          <w:u w:val="single"/>
        </w:rPr>
        <w:t xml:space="preserve"> </w:t>
      </w:r>
      <w:r>
        <w:rPr>
          <w:rFonts w:hint="eastAsia" w:ascii="宋体" w:hAnsi="宋体" w:cs="宋体"/>
          <w:b/>
          <w:szCs w:val="21"/>
          <w:highlight w:val="none"/>
          <w:u w:val="single"/>
          <w:lang w:val="en-US" w:eastAsia="zh-CN"/>
        </w:rPr>
        <w:t>14</w:t>
      </w:r>
      <w:r>
        <w:rPr>
          <w:rFonts w:hint="eastAsia" w:ascii="宋体" w:hAnsi="宋体" w:eastAsia="宋体" w:cs="宋体"/>
          <w:b/>
          <w:szCs w:val="21"/>
          <w:highlight w:val="none"/>
          <w:u w:val="single"/>
        </w:rPr>
        <w:t xml:space="preserve"> </w:t>
      </w:r>
      <w:r>
        <w:rPr>
          <w:rFonts w:hint="eastAsia" w:ascii="宋体" w:hAnsi="宋体" w:eastAsia="宋体" w:cs="宋体"/>
          <w:b/>
          <w:szCs w:val="21"/>
          <w:highlight w:val="none"/>
        </w:rPr>
        <w:t>日至</w:t>
      </w:r>
      <w:r>
        <w:rPr>
          <w:rFonts w:hint="eastAsia" w:ascii="宋体" w:hAnsi="宋体" w:eastAsia="宋体" w:cs="宋体"/>
          <w:b/>
          <w:szCs w:val="21"/>
          <w:highlight w:val="none"/>
          <w:u w:val="single"/>
        </w:rPr>
        <w:t>2021</w:t>
      </w:r>
      <w:r>
        <w:rPr>
          <w:rFonts w:hint="eastAsia" w:ascii="宋体" w:hAnsi="宋体" w:eastAsia="宋体" w:cs="宋体"/>
          <w:b/>
          <w:szCs w:val="21"/>
          <w:highlight w:val="none"/>
        </w:rPr>
        <w:t>年</w:t>
      </w:r>
      <w:r>
        <w:rPr>
          <w:rFonts w:hint="eastAsia" w:ascii="宋体" w:hAnsi="宋体" w:eastAsia="宋体" w:cs="宋体"/>
          <w:b/>
          <w:szCs w:val="21"/>
          <w:highlight w:val="none"/>
          <w:u w:val="single"/>
        </w:rPr>
        <w:t xml:space="preserve"> </w:t>
      </w:r>
      <w:r>
        <w:rPr>
          <w:rFonts w:hint="eastAsia" w:ascii="宋体" w:hAnsi="宋体" w:cs="宋体"/>
          <w:b/>
          <w:szCs w:val="21"/>
          <w:highlight w:val="none"/>
          <w:u w:val="single"/>
          <w:lang w:val="en-US" w:eastAsia="zh-CN"/>
        </w:rPr>
        <w:t>9</w:t>
      </w:r>
      <w:r>
        <w:rPr>
          <w:rFonts w:hint="eastAsia" w:ascii="宋体" w:hAnsi="宋体" w:eastAsia="宋体" w:cs="宋体"/>
          <w:b/>
          <w:szCs w:val="21"/>
          <w:highlight w:val="none"/>
          <w:u w:val="single"/>
        </w:rPr>
        <w:t xml:space="preserve"> </w:t>
      </w:r>
      <w:r>
        <w:rPr>
          <w:rFonts w:hint="eastAsia" w:ascii="宋体" w:hAnsi="宋体" w:eastAsia="宋体" w:cs="宋体"/>
          <w:b/>
          <w:szCs w:val="21"/>
          <w:highlight w:val="none"/>
        </w:rPr>
        <w:t>月</w:t>
      </w:r>
      <w:r>
        <w:rPr>
          <w:rFonts w:hint="eastAsia" w:ascii="宋体" w:hAnsi="宋体" w:eastAsia="宋体" w:cs="宋体"/>
          <w:b/>
          <w:szCs w:val="21"/>
          <w:highlight w:val="none"/>
          <w:u w:val="single"/>
        </w:rPr>
        <w:t xml:space="preserve"> </w:t>
      </w:r>
      <w:r>
        <w:rPr>
          <w:rFonts w:hint="eastAsia" w:ascii="宋体" w:hAnsi="宋体" w:cs="宋体"/>
          <w:b/>
          <w:szCs w:val="21"/>
          <w:highlight w:val="none"/>
          <w:u w:val="single"/>
          <w:lang w:val="en-US" w:eastAsia="zh-CN"/>
        </w:rPr>
        <w:t>18</w:t>
      </w:r>
      <w:r>
        <w:rPr>
          <w:rFonts w:hint="eastAsia" w:ascii="宋体" w:hAnsi="宋体" w:eastAsia="宋体" w:cs="宋体"/>
          <w:b/>
          <w:szCs w:val="21"/>
          <w:highlight w:val="none"/>
          <w:u w:val="single"/>
        </w:rPr>
        <w:t xml:space="preserve"> </w:t>
      </w:r>
      <w:r>
        <w:rPr>
          <w:rFonts w:hint="eastAsia" w:ascii="宋体" w:hAnsi="宋体" w:eastAsia="宋体" w:cs="宋体"/>
          <w:b/>
          <w:szCs w:val="21"/>
          <w:highlight w:val="none"/>
        </w:rPr>
        <w:t>日，每日上午</w:t>
      </w:r>
      <w:r>
        <w:rPr>
          <w:rFonts w:hint="eastAsia" w:ascii="宋体" w:hAnsi="宋体" w:eastAsia="宋体" w:cs="宋体"/>
          <w:b/>
          <w:szCs w:val="21"/>
          <w:highlight w:val="none"/>
          <w:u w:val="single"/>
        </w:rPr>
        <w:t xml:space="preserve"> 9:30 </w:t>
      </w:r>
      <w:r>
        <w:rPr>
          <w:rFonts w:hint="eastAsia" w:ascii="宋体" w:hAnsi="宋体" w:eastAsia="宋体" w:cs="宋体"/>
          <w:b/>
          <w:szCs w:val="21"/>
          <w:highlight w:val="none"/>
        </w:rPr>
        <w:t>时至</w:t>
      </w:r>
      <w:r>
        <w:rPr>
          <w:rFonts w:hint="eastAsia" w:ascii="宋体" w:hAnsi="宋体" w:eastAsia="宋体" w:cs="宋体"/>
          <w:b/>
          <w:szCs w:val="21"/>
          <w:highlight w:val="none"/>
          <w:u w:val="single"/>
        </w:rPr>
        <w:t>11:30</w:t>
      </w:r>
      <w:r>
        <w:rPr>
          <w:rFonts w:hint="eastAsia" w:ascii="宋体" w:hAnsi="宋体" w:eastAsia="宋体" w:cs="宋体"/>
          <w:b/>
          <w:szCs w:val="21"/>
          <w:highlight w:val="none"/>
        </w:rPr>
        <w:t>时，下午</w:t>
      </w:r>
      <w:r>
        <w:rPr>
          <w:rFonts w:hint="eastAsia" w:ascii="宋体" w:hAnsi="宋体" w:eastAsia="宋体" w:cs="宋体"/>
          <w:b/>
          <w:szCs w:val="21"/>
          <w:highlight w:val="none"/>
          <w:u w:val="single"/>
        </w:rPr>
        <w:t xml:space="preserve">13:30 </w:t>
      </w:r>
      <w:r>
        <w:rPr>
          <w:rFonts w:hint="eastAsia" w:ascii="宋体" w:hAnsi="宋体" w:eastAsia="宋体" w:cs="宋体"/>
          <w:b/>
          <w:szCs w:val="21"/>
          <w:highlight w:val="none"/>
        </w:rPr>
        <w:t>时至</w:t>
      </w:r>
      <w:r>
        <w:rPr>
          <w:rFonts w:hint="eastAsia" w:ascii="宋体" w:hAnsi="宋体" w:eastAsia="宋体" w:cs="宋体"/>
          <w:b/>
          <w:szCs w:val="21"/>
          <w:highlight w:val="none"/>
          <w:u w:val="single"/>
        </w:rPr>
        <w:t xml:space="preserve">16:30 </w:t>
      </w:r>
      <w:r>
        <w:rPr>
          <w:rFonts w:hint="eastAsia" w:ascii="宋体" w:hAnsi="宋体" w:eastAsia="宋体" w:cs="宋体"/>
          <w:b/>
          <w:szCs w:val="21"/>
          <w:highlight w:val="none"/>
        </w:rPr>
        <w:t>时</w:t>
      </w:r>
      <w:bookmarkEnd w:id="38"/>
      <w:r>
        <w:rPr>
          <w:rFonts w:hint="eastAsia" w:ascii="宋体" w:hAnsi="宋体" w:eastAsia="宋体" w:cs="宋体"/>
          <w:szCs w:val="21"/>
          <w:highlight w:val="none"/>
        </w:rPr>
        <w:t>（北京时间，下同），通过</w:t>
      </w:r>
      <w:r>
        <w:rPr>
          <w:rFonts w:hint="eastAsia" w:ascii="宋体" w:hAnsi="宋体" w:eastAsia="宋体" w:cs="宋体"/>
          <w:snapToGrid w:val="0"/>
          <w:szCs w:val="21"/>
          <w:highlight w:val="none"/>
        </w:rPr>
        <w:t>微信关注公众号“教建咨询”获取招标文件。搜索项目编号</w:t>
      </w:r>
      <w:r>
        <w:rPr>
          <w:rFonts w:hint="eastAsia" w:ascii="宋体" w:hAnsi="宋体" w:eastAsia="宋体" w:cs="宋体"/>
          <w:snapToGrid w:val="0"/>
          <w:szCs w:val="21"/>
          <w:highlight w:val="none"/>
        </w:rPr>
        <w:t>：</w:t>
      </w:r>
      <w:r>
        <w:rPr>
          <w:rFonts w:hint="eastAsia" w:ascii="宋体" w:hAnsi="宋体" w:eastAsia="宋体" w:cs="宋体"/>
          <w:highlight w:val="none"/>
        </w:rPr>
        <w:t>2021-0415-ne</w:t>
      </w:r>
      <w:r>
        <w:rPr>
          <w:rFonts w:hint="eastAsia" w:ascii="宋体" w:hAnsi="宋体" w:eastAsia="宋体" w:cs="宋体"/>
          <w:snapToGrid w:val="0"/>
          <w:szCs w:val="21"/>
          <w:highlight w:val="none"/>
        </w:rPr>
        <w:t>。</w:t>
      </w:r>
      <w:r>
        <w:rPr>
          <w:rFonts w:hint="eastAsia" w:ascii="宋体" w:hAnsi="宋体" w:eastAsia="宋体" w:cs="宋体"/>
          <w:snapToGrid w:val="0"/>
          <w:szCs w:val="21"/>
          <w:highlight w:val="none"/>
        </w:rPr>
        <w:t>获取招标文件须上传资料：</w:t>
      </w:r>
      <w:r>
        <w:rPr>
          <w:rFonts w:hint="eastAsia" w:ascii="宋体" w:hAnsi="宋体" w:cs="宋体"/>
          <w:snapToGrid w:val="0"/>
          <w:szCs w:val="21"/>
          <w:highlight w:val="none"/>
          <w:lang w:eastAsia="zh-CN"/>
        </w:rPr>
        <w:t>（</w:t>
      </w:r>
      <w:r>
        <w:rPr>
          <w:rFonts w:hint="eastAsia" w:ascii="宋体" w:hAnsi="宋体" w:cs="宋体"/>
          <w:snapToGrid w:val="0"/>
          <w:szCs w:val="21"/>
          <w:highlight w:val="none"/>
          <w:lang w:val="en-US" w:eastAsia="zh-CN"/>
        </w:rPr>
        <w:t>1</w:t>
      </w:r>
      <w:r>
        <w:rPr>
          <w:rFonts w:hint="eastAsia" w:ascii="宋体" w:hAnsi="宋体" w:cs="宋体"/>
          <w:snapToGrid w:val="0"/>
          <w:szCs w:val="21"/>
          <w:highlight w:val="none"/>
          <w:lang w:eastAsia="zh-CN"/>
        </w:rPr>
        <w:t>）</w:t>
      </w:r>
      <w:r>
        <w:rPr>
          <w:rFonts w:hint="eastAsia" w:ascii="宋体" w:hAnsi="宋体" w:cs="宋体"/>
          <w:snapToGrid w:val="0"/>
          <w:szCs w:val="21"/>
          <w:highlight w:val="none"/>
          <w:lang w:val="en-US" w:eastAsia="zh-CN"/>
        </w:rPr>
        <w:t>加盖公章的营业执照；（2）</w:t>
      </w:r>
      <w:r>
        <w:rPr>
          <w:rFonts w:hint="eastAsia" w:ascii="宋体" w:hAnsi="宋体" w:eastAsia="宋体" w:cs="宋体"/>
          <w:snapToGrid w:val="0"/>
          <w:szCs w:val="21"/>
          <w:highlight w:val="none"/>
        </w:rPr>
        <w:t>加盖公章的法定代表人证明书原件和法定代表人身份证原件或加盖公章和法人签章的法定代表人授权委托书原件和被委托人身份证原件</w:t>
      </w:r>
      <w:r>
        <w:rPr>
          <w:rFonts w:hint="eastAsia" w:ascii="宋体" w:hAnsi="宋体" w:cs="宋体"/>
          <w:snapToGrid w:val="0"/>
          <w:szCs w:val="21"/>
          <w:highlight w:val="none"/>
          <w:lang w:eastAsia="zh-CN"/>
        </w:rPr>
        <w:t>；（</w:t>
      </w:r>
      <w:r>
        <w:rPr>
          <w:rFonts w:hint="eastAsia" w:ascii="宋体" w:hAnsi="宋体" w:cs="宋体"/>
          <w:snapToGrid w:val="0"/>
          <w:szCs w:val="21"/>
          <w:highlight w:val="none"/>
          <w:lang w:val="en-US" w:eastAsia="zh-CN"/>
        </w:rPr>
        <w:t>3</w:t>
      </w:r>
      <w:r>
        <w:rPr>
          <w:rFonts w:hint="eastAsia" w:ascii="宋体" w:hAnsi="宋体" w:cs="宋体"/>
          <w:snapToGrid w:val="0"/>
          <w:szCs w:val="21"/>
          <w:highlight w:val="none"/>
          <w:lang w:eastAsia="zh-CN"/>
        </w:rPr>
        <w:t>）</w:t>
      </w:r>
      <w:r>
        <w:rPr>
          <w:rFonts w:hint="eastAsia" w:ascii="宋体" w:hAnsi="宋体" w:eastAsia="宋体" w:cs="宋体"/>
          <w:bCs/>
          <w:highlight w:val="none"/>
        </w:rPr>
        <w:t>园林绿化施工企业项目负责人具有《园林绿化施工企业项目负责人质量安全生产考核合格证书》</w:t>
      </w:r>
      <w:r>
        <w:rPr>
          <w:rFonts w:hint="eastAsia" w:ascii="宋体" w:hAnsi="宋体" w:eastAsia="宋体" w:cs="宋体"/>
          <w:snapToGrid w:val="0"/>
          <w:szCs w:val="21"/>
          <w:highlight w:val="none"/>
        </w:rPr>
        <w:t>。招标文件费用：1000元。付费成功后招标文件会快递至报名提交信息中的邮寄地址。说明：主账号（法人手机号）对子账号（具体项目报名经办人手机号）的授权和公司资料更新维护请在PC端操作，谷歌浏览器登陆页面“https://zb.secm.com.cn/#/s/login”</w:t>
      </w:r>
      <w:r>
        <w:rPr>
          <w:rFonts w:hint="eastAsia" w:ascii="宋体" w:hAnsi="宋体" w:cs="宋体"/>
          <w:snapToGrid w:val="0"/>
          <w:szCs w:val="21"/>
          <w:highlight w:val="none"/>
          <w:lang w:eastAsia="zh-CN"/>
        </w:rPr>
        <w:t>。</w:t>
      </w:r>
      <w:bookmarkStart w:id="129" w:name="_GoBack"/>
      <w:bookmarkEnd w:id="129"/>
    </w:p>
    <w:p>
      <w:pPr>
        <w:tabs>
          <w:tab w:val="left" w:pos="360"/>
        </w:tabs>
        <w:spacing w:line="360" w:lineRule="auto"/>
        <w:rPr>
          <w:rFonts w:hint="eastAsia" w:ascii="宋体" w:hAnsi="宋体" w:eastAsia="宋体" w:cs="宋体"/>
          <w:highlight w:val="none"/>
        </w:rPr>
      </w:pPr>
    </w:p>
    <w:p>
      <w:pPr>
        <w:pStyle w:val="4"/>
        <w:spacing w:before="0" w:after="0" w:line="360" w:lineRule="auto"/>
        <w:outlineLvl w:val="0"/>
        <w:rPr>
          <w:rFonts w:hint="eastAsia" w:ascii="宋体" w:hAnsi="宋体" w:eastAsia="宋体" w:cs="宋体"/>
          <w:highlight w:val="none"/>
        </w:rPr>
      </w:pPr>
      <w:bookmarkStart w:id="39" w:name="_Toc3472"/>
      <w:bookmarkStart w:id="40" w:name="_Toc7175"/>
      <w:r>
        <w:rPr>
          <w:rFonts w:hint="eastAsia" w:ascii="宋体" w:hAnsi="宋体" w:eastAsia="宋体" w:cs="宋体"/>
          <w:highlight w:val="none"/>
        </w:rPr>
        <w:t>4. 投标文件的递交</w:t>
      </w:r>
      <w:bookmarkEnd w:id="28"/>
      <w:bookmarkEnd w:id="29"/>
      <w:bookmarkEnd w:id="30"/>
      <w:bookmarkEnd w:id="31"/>
      <w:bookmarkEnd w:id="32"/>
      <w:bookmarkEnd w:id="33"/>
      <w:bookmarkEnd w:id="34"/>
      <w:bookmarkEnd w:id="35"/>
      <w:bookmarkEnd w:id="36"/>
      <w:bookmarkEnd w:id="37"/>
      <w:bookmarkEnd w:id="39"/>
      <w:bookmarkEnd w:id="40"/>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4.1 投标文件递交的截止时间（投标截止时间，下同）为</w:t>
      </w:r>
      <w:r>
        <w:rPr>
          <w:rFonts w:hint="eastAsia" w:ascii="宋体" w:hAnsi="宋体" w:eastAsia="宋体" w:cs="宋体"/>
          <w:b/>
          <w:szCs w:val="21"/>
          <w:highlight w:val="none"/>
          <w:u w:val="single"/>
        </w:rPr>
        <w:t>2021</w:t>
      </w:r>
      <w:r>
        <w:rPr>
          <w:rFonts w:hint="eastAsia" w:ascii="宋体" w:hAnsi="宋体" w:eastAsia="宋体" w:cs="宋体"/>
          <w:b/>
          <w:szCs w:val="21"/>
          <w:highlight w:val="none"/>
        </w:rPr>
        <w:t xml:space="preserve"> 年</w:t>
      </w:r>
      <w:r>
        <w:rPr>
          <w:rFonts w:hint="eastAsia" w:ascii="宋体" w:hAnsi="宋体" w:eastAsia="宋体" w:cs="宋体"/>
          <w:b/>
          <w:szCs w:val="21"/>
          <w:highlight w:val="none"/>
          <w:u w:val="single"/>
        </w:rPr>
        <w:t xml:space="preserve"> </w:t>
      </w:r>
      <w:r>
        <w:rPr>
          <w:rFonts w:hint="eastAsia" w:ascii="宋体" w:hAnsi="宋体" w:cs="宋体"/>
          <w:b/>
          <w:szCs w:val="21"/>
          <w:highlight w:val="none"/>
          <w:u w:val="single"/>
          <w:lang w:val="en-US" w:eastAsia="zh-CN"/>
        </w:rPr>
        <w:t>10</w:t>
      </w:r>
      <w:r>
        <w:rPr>
          <w:rFonts w:hint="eastAsia" w:ascii="宋体" w:hAnsi="宋体" w:eastAsia="宋体" w:cs="宋体"/>
          <w:b/>
          <w:szCs w:val="21"/>
          <w:highlight w:val="none"/>
          <w:u w:val="single"/>
        </w:rPr>
        <w:t xml:space="preserve"> </w:t>
      </w:r>
      <w:r>
        <w:rPr>
          <w:rFonts w:hint="eastAsia" w:ascii="宋体" w:hAnsi="宋体" w:eastAsia="宋体" w:cs="宋体"/>
          <w:b/>
          <w:szCs w:val="21"/>
          <w:highlight w:val="none"/>
        </w:rPr>
        <w:t>月</w:t>
      </w:r>
      <w:r>
        <w:rPr>
          <w:rFonts w:hint="eastAsia" w:ascii="宋体" w:hAnsi="宋体" w:eastAsia="宋体" w:cs="宋体"/>
          <w:b/>
          <w:szCs w:val="21"/>
          <w:highlight w:val="none"/>
          <w:u w:val="single"/>
        </w:rPr>
        <w:t xml:space="preserve"> </w:t>
      </w:r>
      <w:r>
        <w:rPr>
          <w:rFonts w:hint="eastAsia" w:ascii="宋体" w:hAnsi="宋体" w:cs="宋体"/>
          <w:b/>
          <w:szCs w:val="21"/>
          <w:highlight w:val="none"/>
          <w:u w:val="single"/>
          <w:lang w:val="en-US" w:eastAsia="zh-CN"/>
        </w:rPr>
        <w:t>15</w:t>
      </w:r>
      <w:r>
        <w:rPr>
          <w:rFonts w:hint="eastAsia" w:ascii="宋体" w:hAnsi="宋体" w:eastAsia="宋体" w:cs="宋体"/>
          <w:b/>
          <w:szCs w:val="21"/>
          <w:highlight w:val="none"/>
          <w:u w:val="single"/>
        </w:rPr>
        <w:t xml:space="preserve"> </w:t>
      </w:r>
      <w:r>
        <w:rPr>
          <w:rFonts w:hint="eastAsia" w:ascii="宋体" w:hAnsi="宋体" w:eastAsia="宋体" w:cs="宋体"/>
          <w:b/>
          <w:szCs w:val="21"/>
          <w:highlight w:val="none"/>
        </w:rPr>
        <w:t>日</w:t>
      </w:r>
      <w:r>
        <w:rPr>
          <w:rFonts w:hint="eastAsia" w:ascii="宋体" w:hAnsi="宋体" w:eastAsia="宋体" w:cs="宋体"/>
          <w:b/>
          <w:szCs w:val="21"/>
          <w:highlight w:val="none"/>
          <w:u w:val="single"/>
        </w:rPr>
        <w:t xml:space="preserve"> </w:t>
      </w:r>
      <w:r>
        <w:rPr>
          <w:rFonts w:hint="eastAsia" w:ascii="宋体" w:hAnsi="宋体" w:cs="宋体"/>
          <w:b/>
          <w:szCs w:val="21"/>
          <w:highlight w:val="none"/>
          <w:u w:val="single"/>
          <w:lang w:val="en-US" w:eastAsia="zh-CN"/>
        </w:rPr>
        <w:t>10</w:t>
      </w:r>
      <w:r>
        <w:rPr>
          <w:rFonts w:hint="eastAsia" w:ascii="宋体" w:hAnsi="宋体" w:eastAsia="宋体" w:cs="宋体"/>
          <w:b/>
          <w:szCs w:val="21"/>
          <w:highlight w:val="none"/>
          <w:u w:val="single"/>
        </w:rPr>
        <w:t xml:space="preserve"> </w:t>
      </w:r>
      <w:r>
        <w:rPr>
          <w:rFonts w:hint="eastAsia" w:ascii="宋体" w:hAnsi="宋体" w:eastAsia="宋体" w:cs="宋体"/>
          <w:b/>
          <w:szCs w:val="21"/>
          <w:highlight w:val="none"/>
        </w:rPr>
        <w:t>时</w:t>
      </w:r>
      <w:r>
        <w:rPr>
          <w:rFonts w:hint="eastAsia" w:ascii="宋体" w:hAnsi="宋体" w:eastAsia="宋体" w:cs="宋体"/>
          <w:b/>
          <w:szCs w:val="21"/>
          <w:highlight w:val="none"/>
          <w:u w:val="single"/>
        </w:rPr>
        <w:t xml:space="preserve"> </w:t>
      </w:r>
      <w:r>
        <w:rPr>
          <w:rFonts w:hint="eastAsia" w:ascii="宋体" w:hAnsi="宋体" w:cs="宋体"/>
          <w:b/>
          <w:szCs w:val="21"/>
          <w:highlight w:val="none"/>
          <w:u w:val="single"/>
          <w:lang w:val="en-US" w:eastAsia="zh-CN"/>
        </w:rPr>
        <w:t>0</w:t>
      </w:r>
      <w:r>
        <w:rPr>
          <w:rFonts w:hint="eastAsia" w:ascii="宋体" w:hAnsi="宋体" w:eastAsia="宋体" w:cs="宋体"/>
          <w:b/>
          <w:szCs w:val="21"/>
          <w:highlight w:val="none"/>
          <w:u w:val="single"/>
        </w:rPr>
        <w:t>0</w:t>
      </w:r>
      <w:r>
        <w:rPr>
          <w:rFonts w:hint="eastAsia" w:ascii="宋体" w:hAnsi="宋体" w:eastAsia="宋体" w:cs="宋体"/>
          <w:b/>
          <w:szCs w:val="21"/>
          <w:highlight w:val="none"/>
        </w:rPr>
        <w:t>分，</w:t>
      </w:r>
      <w:r>
        <w:rPr>
          <w:rFonts w:hint="eastAsia" w:ascii="宋体" w:hAnsi="宋体" w:eastAsia="宋体" w:cs="宋体"/>
          <w:szCs w:val="21"/>
          <w:highlight w:val="none"/>
        </w:rPr>
        <w:t>地点为</w:t>
      </w:r>
      <w:r>
        <w:rPr>
          <w:rFonts w:hint="eastAsia" w:ascii="宋体" w:hAnsi="宋体" w:eastAsia="宋体" w:cs="宋体"/>
          <w:szCs w:val="21"/>
          <w:highlight w:val="none"/>
          <w:u w:val="single"/>
        </w:rPr>
        <w:t xml:space="preserve"> </w:t>
      </w:r>
      <w:r>
        <w:rPr>
          <w:rFonts w:hint="eastAsia" w:ascii="宋体" w:hAnsi="宋体" w:eastAsia="宋体" w:cs="宋体"/>
          <w:sz w:val="21"/>
          <w:szCs w:val="21"/>
          <w:highlight w:val="none"/>
          <w:u w:val="single"/>
        </w:rPr>
        <w:t>徐汇区钦江路88号东六楼626室（开标室详见电梯间大屏幕）</w:t>
      </w:r>
      <w:r>
        <w:rPr>
          <w:rFonts w:hint="eastAsia" w:ascii="宋体" w:hAnsi="宋体" w:eastAsia="宋体" w:cs="宋体"/>
          <w:szCs w:val="21"/>
          <w:highlight w:val="none"/>
        </w:rPr>
        <w:t>。</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4.2 逾期送达的或者未送达指定地点的投标文件，招标人不予受理。</w:t>
      </w:r>
    </w:p>
    <w:p>
      <w:pPr>
        <w:spacing w:line="360" w:lineRule="auto"/>
        <w:ind w:firstLine="420" w:firstLineChars="200"/>
        <w:rPr>
          <w:rFonts w:hint="eastAsia" w:ascii="宋体" w:hAnsi="宋体" w:eastAsia="宋体" w:cs="宋体"/>
          <w:szCs w:val="21"/>
          <w:highlight w:val="none"/>
        </w:rPr>
      </w:pPr>
    </w:p>
    <w:p>
      <w:pPr>
        <w:pStyle w:val="4"/>
        <w:spacing w:before="0" w:after="0" w:line="360" w:lineRule="auto"/>
        <w:outlineLvl w:val="0"/>
        <w:rPr>
          <w:rFonts w:hint="eastAsia" w:ascii="宋体" w:hAnsi="宋体" w:eastAsia="宋体" w:cs="宋体"/>
          <w:highlight w:val="none"/>
          <w:lang w:val="en-US"/>
        </w:rPr>
      </w:pPr>
      <w:bookmarkStart w:id="41" w:name="_Toc421798667"/>
      <w:bookmarkStart w:id="42" w:name="_Toc26703"/>
      <w:bookmarkStart w:id="43" w:name="_Toc157499355"/>
      <w:bookmarkStart w:id="44" w:name="_Toc24000"/>
      <w:bookmarkStart w:id="45" w:name="_Toc246996163"/>
      <w:bookmarkStart w:id="46" w:name="_Toc246996906"/>
      <w:bookmarkStart w:id="47" w:name="_Toc331251418"/>
      <w:bookmarkStart w:id="48" w:name="_Toc296602407"/>
      <w:bookmarkStart w:id="49" w:name="_Toc247085677"/>
      <w:bookmarkStart w:id="50" w:name="_Toc179632533"/>
      <w:r>
        <w:rPr>
          <w:rFonts w:hint="eastAsia" w:ascii="宋体" w:hAnsi="宋体" w:eastAsia="宋体" w:cs="宋体"/>
          <w:highlight w:val="none"/>
          <w:lang w:val="en-US"/>
        </w:rPr>
        <w:t xml:space="preserve">5. </w:t>
      </w:r>
      <w:r>
        <w:rPr>
          <w:rFonts w:hint="eastAsia" w:ascii="宋体" w:hAnsi="宋体" w:eastAsia="宋体" w:cs="宋体"/>
          <w:highlight w:val="none"/>
        </w:rPr>
        <w:t>发布公告的媒介</w:t>
      </w:r>
      <w:bookmarkEnd w:id="41"/>
      <w:bookmarkEnd w:id="42"/>
      <w:bookmarkEnd w:id="43"/>
      <w:bookmarkEnd w:id="44"/>
      <w:bookmarkEnd w:id="45"/>
      <w:bookmarkEnd w:id="46"/>
      <w:bookmarkEnd w:id="47"/>
      <w:bookmarkEnd w:id="48"/>
      <w:bookmarkEnd w:id="49"/>
      <w:bookmarkEnd w:id="50"/>
    </w:p>
    <w:p>
      <w:pPr>
        <w:spacing w:line="360" w:lineRule="auto"/>
        <w:ind w:firstLine="420" w:firstLineChars="200"/>
        <w:rPr>
          <w:rFonts w:hint="eastAsia" w:ascii="宋体" w:hAnsi="宋体" w:eastAsia="宋体" w:cs="宋体"/>
          <w:highlight w:val="none"/>
        </w:rPr>
      </w:pPr>
      <w:r>
        <w:rPr>
          <w:rFonts w:hint="eastAsia" w:ascii="宋体" w:hAnsi="宋体" w:eastAsia="宋体" w:cs="宋体"/>
          <w:highlight w:val="none"/>
        </w:rPr>
        <w:t>本次招标公告在</w:t>
      </w:r>
      <w:r>
        <w:rPr>
          <w:rFonts w:hint="eastAsia" w:ascii="宋体" w:hAnsi="宋体" w:eastAsia="宋体" w:cs="宋体"/>
          <w:b/>
          <w:highlight w:val="none"/>
          <w:u w:val="single"/>
        </w:rPr>
        <w:t>中国招标投标公共服务平台</w:t>
      </w:r>
      <w:r>
        <w:rPr>
          <w:rFonts w:hint="eastAsia" w:ascii="宋体" w:hAnsi="宋体" w:eastAsia="宋体" w:cs="宋体"/>
          <w:highlight w:val="none"/>
          <w:u w:val="single"/>
        </w:rPr>
        <w:t>（www.cebpubservice.com）、复旦大学信息公开网（www.xxgk.fudan.edu.cn）</w:t>
      </w:r>
      <w:r>
        <w:rPr>
          <w:rFonts w:hint="eastAsia" w:ascii="宋体" w:hAnsi="宋体" w:eastAsia="宋体" w:cs="宋体"/>
          <w:highlight w:val="none"/>
        </w:rPr>
        <w:t>（发布公告的媒介名称）上发布。</w:t>
      </w:r>
    </w:p>
    <w:p>
      <w:pPr>
        <w:spacing w:line="360" w:lineRule="auto"/>
        <w:ind w:firstLine="420" w:firstLineChars="200"/>
        <w:rPr>
          <w:rFonts w:hint="eastAsia" w:ascii="宋体" w:hAnsi="宋体" w:eastAsia="宋体" w:cs="宋体"/>
          <w:highlight w:val="none"/>
        </w:rPr>
      </w:pPr>
    </w:p>
    <w:p>
      <w:pPr>
        <w:pStyle w:val="4"/>
        <w:spacing w:before="0" w:after="0" w:line="360" w:lineRule="auto"/>
        <w:outlineLvl w:val="0"/>
        <w:rPr>
          <w:rFonts w:hint="eastAsia" w:ascii="宋体" w:hAnsi="宋体" w:eastAsia="宋体" w:cs="宋体"/>
          <w:highlight w:val="none"/>
        </w:rPr>
      </w:pPr>
      <w:bookmarkStart w:id="51" w:name="_Toc246996164"/>
      <w:bookmarkStart w:id="52" w:name="_Toc152042293"/>
      <w:bookmarkStart w:id="53" w:name="_Toc179632534"/>
      <w:bookmarkStart w:id="54" w:name="_Toc421798668"/>
      <w:bookmarkStart w:id="55" w:name="_Toc2466"/>
      <w:bookmarkStart w:id="56" w:name="_Toc144974485"/>
      <w:bookmarkStart w:id="57" w:name="_Toc296602408"/>
      <w:bookmarkStart w:id="58" w:name="_Toc246996907"/>
      <w:bookmarkStart w:id="59" w:name="_Toc331251419"/>
      <w:bookmarkStart w:id="60" w:name="_Toc24212"/>
      <w:bookmarkStart w:id="61" w:name="_Toc247085678"/>
      <w:bookmarkStart w:id="62" w:name="_Toc152045517"/>
      <w:r>
        <w:rPr>
          <w:rFonts w:hint="eastAsia" w:ascii="宋体" w:hAnsi="宋体" w:eastAsia="宋体" w:cs="宋体"/>
          <w:highlight w:val="none"/>
        </w:rPr>
        <w:t>6. 联系方式</w:t>
      </w:r>
      <w:bookmarkEnd w:id="51"/>
      <w:bookmarkEnd w:id="52"/>
      <w:bookmarkEnd w:id="53"/>
      <w:bookmarkEnd w:id="54"/>
      <w:bookmarkEnd w:id="55"/>
      <w:bookmarkEnd w:id="56"/>
      <w:bookmarkEnd w:id="57"/>
      <w:bookmarkEnd w:id="58"/>
      <w:bookmarkEnd w:id="59"/>
      <w:bookmarkEnd w:id="60"/>
      <w:bookmarkEnd w:id="61"/>
      <w:bookmarkEnd w:id="62"/>
    </w:p>
    <w:p>
      <w:pPr>
        <w:spacing w:line="360" w:lineRule="auto"/>
        <w:ind w:firstLine="420" w:firstLineChars="200"/>
        <w:rPr>
          <w:rFonts w:hint="eastAsia" w:ascii="宋体" w:hAnsi="宋体" w:eastAsia="宋体" w:cs="宋体"/>
          <w:szCs w:val="21"/>
          <w:highlight w:val="none"/>
          <w:u w:val="single"/>
        </w:rPr>
      </w:pPr>
      <w:bookmarkStart w:id="63" w:name="_Toc331170804"/>
      <w:r>
        <w:rPr>
          <w:rFonts w:hint="eastAsia" w:ascii="宋体" w:hAnsi="宋体" w:eastAsia="宋体" w:cs="宋体"/>
          <w:szCs w:val="21"/>
          <w:highlight w:val="none"/>
        </w:rPr>
        <w:t>招标人：</w:t>
      </w:r>
      <w:r>
        <w:rPr>
          <w:rFonts w:hint="eastAsia" w:ascii="宋体" w:hAnsi="宋体" w:eastAsia="宋体" w:cs="宋体"/>
          <w:szCs w:val="21"/>
          <w:highlight w:val="none"/>
          <w:u w:val="single"/>
        </w:rPr>
        <w:t xml:space="preserve">复旦大学　         </w:t>
      </w:r>
      <w:bookmarkEnd w:id="63"/>
    </w:p>
    <w:p>
      <w:pPr>
        <w:spacing w:line="360" w:lineRule="auto"/>
        <w:ind w:firstLine="420" w:firstLineChars="200"/>
        <w:rPr>
          <w:rFonts w:hint="eastAsia" w:ascii="宋体" w:hAnsi="宋体" w:eastAsia="宋体" w:cs="宋体"/>
          <w:szCs w:val="21"/>
          <w:highlight w:val="none"/>
          <w:u w:val="single"/>
        </w:rPr>
      </w:pPr>
      <w:bookmarkStart w:id="64" w:name="_Toc331170805"/>
      <w:r>
        <w:rPr>
          <w:rFonts w:hint="eastAsia" w:ascii="宋体" w:hAnsi="宋体" w:eastAsia="宋体" w:cs="宋体"/>
          <w:szCs w:val="21"/>
          <w:highlight w:val="none"/>
        </w:rPr>
        <w:t>地  址：</w:t>
      </w:r>
      <w:r>
        <w:rPr>
          <w:rFonts w:hint="eastAsia" w:ascii="宋体" w:hAnsi="宋体" w:eastAsia="宋体" w:cs="宋体"/>
          <w:szCs w:val="21"/>
          <w:highlight w:val="none"/>
          <w:u w:val="single"/>
        </w:rPr>
        <w:t xml:space="preserve">邯郸路220号  </w:t>
      </w:r>
      <w:bookmarkEnd w:id="64"/>
    </w:p>
    <w:p>
      <w:pPr>
        <w:spacing w:line="360" w:lineRule="auto"/>
        <w:ind w:firstLine="420" w:firstLineChars="200"/>
        <w:rPr>
          <w:rFonts w:hint="eastAsia" w:ascii="宋体" w:hAnsi="宋体" w:eastAsia="宋体" w:cs="宋体"/>
          <w:szCs w:val="21"/>
          <w:highlight w:val="none"/>
          <w:u w:val="single"/>
        </w:rPr>
      </w:pPr>
      <w:r>
        <w:rPr>
          <w:rFonts w:hint="eastAsia" w:ascii="宋体" w:hAnsi="宋体" w:eastAsia="宋体" w:cs="宋体"/>
          <w:szCs w:val="21"/>
          <w:highlight w:val="none"/>
        </w:rPr>
        <w:t>联系人：</w:t>
      </w:r>
      <w:r>
        <w:rPr>
          <w:rFonts w:hint="eastAsia" w:ascii="宋体" w:hAnsi="宋体" w:eastAsia="宋体" w:cs="宋体"/>
          <w:szCs w:val="21"/>
          <w:highlight w:val="none"/>
          <w:u w:val="single"/>
        </w:rPr>
        <w:t>奚老师、</w:t>
      </w:r>
      <w:r>
        <w:rPr>
          <w:rFonts w:hint="eastAsia" w:ascii="宋体" w:hAnsi="宋体" w:eastAsia="宋体" w:cs="宋体"/>
          <w:szCs w:val="21"/>
          <w:highlight w:val="none"/>
          <w:u w:val="single"/>
        </w:rPr>
        <w:t>何老师</w:t>
      </w:r>
    </w:p>
    <w:p>
      <w:pPr>
        <w:spacing w:line="360" w:lineRule="auto"/>
        <w:ind w:firstLine="420" w:firstLineChars="200"/>
        <w:rPr>
          <w:rFonts w:hint="eastAsia" w:ascii="宋体" w:hAnsi="宋体" w:eastAsia="宋体" w:cs="宋体"/>
          <w:szCs w:val="21"/>
          <w:highlight w:val="none"/>
          <w:u w:val="single"/>
        </w:rPr>
      </w:pPr>
      <w:r>
        <w:rPr>
          <w:rFonts w:hint="eastAsia" w:ascii="宋体" w:hAnsi="宋体" w:eastAsia="宋体" w:cs="宋体"/>
          <w:szCs w:val="21"/>
          <w:highlight w:val="none"/>
        </w:rPr>
        <w:t>联系电话：</w:t>
      </w:r>
      <w:r>
        <w:rPr>
          <w:rFonts w:hint="eastAsia" w:ascii="宋体" w:hAnsi="宋体" w:eastAsia="宋体" w:cs="宋体"/>
          <w:szCs w:val="21"/>
          <w:highlight w:val="none"/>
          <w:u w:val="single"/>
        </w:rPr>
        <w:t>65643351、65645530</w:t>
      </w:r>
    </w:p>
    <w:p>
      <w:pPr>
        <w:spacing w:line="360" w:lineRule="auto"/>
        <w:ind w:firstLine="420"/>
        <w:rPr>
          <w:rFonts w:hint="eastAsia" w:ascii="宋体" w:hAnsi="宋体" w:eastAsia="宋体" w:cs="宋体"/>
          <w:snapToGrid w:val="0"/>
          <w:szCs w:val="21"/>
          <w:highlight w:val="none"/>
          <w:u w:val="single"/>
        </w:rPr>
      </w:pPr>
      <w:r>
        <w:rPr>
          <w:rFonts w:hint="eastAsia" w:ascii="宋体" w:hAnsi="宋体" w:eastAsia="宋体" w:cs="宋体"/>
          <w:snapToGrid w:val="0"/>
          <w:szCs w:val="21"/>
          <w:highlight w:val="none"/>
        </w:rPr>
        <w:t>招标代理机构：</w:t>
      </w:r>
      <w:r>
        <w:rPr>
          <w:rFonts w:hint="eastAsia" w:ascii="宋体" w:hAnsi="宋体" w:eastAsia="宋体" w:cs="宋体"/>
          <w:snapToGrid w:val="0"/>
          <w:szCs w:val="21"/>
          <w:highlight w:val="none"/>
          <w:u w:val="single"/>
        </w:rPr>
        <w:t xml:space="preserve">上海教育建设管理咨询有限公司    </w:t>
      </w:r>
    </w:p>
    <w:p>
      <w:pPr>
        <w:spacing w:line="360" w:lineRule="auto"/>
        <w:ind w:firstLine="420"/>
        <w:rPr>
          <w:rFonts w:hint="eastAsia" w:ascii="宋体" w:hAnsi="宋体" w:eastAsia="宋体" w:cs="宋体"/>
          <w:snapToGrid w:val="0"/>
          <w:szCs w:val="21"/>
          <w:highlight w:val="none"/>
          <w:u w:val="single"/>
        </w:rPr>
      </w:pPr>
      <w:r>
        <w:rPr>
          <w:rFonts w:hint="eastAsia" w:ascii="宋体" w:hAnsi="宋体" w:eastAsia="宋体" w:cs="宋体"/>
          <w:snapToGrid w:val="0"/>
          <w:szCs w:val="21"/>
          <w:highlight w:val="none"/>
        </w:rPr>
        <w:t>地    址：</w:t>
      </w:r>
      <w:r>
        <w:rPr>
          <w:rFonts w:hint="eastAsia" w:ascii="宋体" w:hAnsi="宋体" w:eastAsia="宋体" w:cs="宋体"/>
          <w:snapToGrid w:val="0"/>
          <w:szCs w:val="21"/>
          <w:highlight w:val="none"/>
          <w:u w:val="single"/>
        </w:rPr>
        <w:t xml:space="preserve">徐汇区钦江路88号 东楼6楼626室  </w:t>
      </w:r>
    </w:p>
    <w:p>
      <w:pPr>
        <w:spacing w:line="360" w:lineRule="auto"/>
        <w:ind w:firstLine="420"/>
        <w:rPr>
          <w:rFonts w:hint="eastAsia" w:ascii="宋体" w:hAnsi="宋体" w:eastAsia="宋体" w:cs="宋体"/>
          <w:snapToGrid w:val="0"/>
          <w:szCs w:val="21"/>
          <w:highlight w:val="none"/>
          <w:u w:val="single"/>
        </w:rPr>
      </w:pPr>
      <w:r>
        <w:rPr>
          <w:rFonts w:hint="eastAsia" w:ascii="宋体" w:hAnsi="宋体" w:eastAsia="宋体" w:cs="宋体"/>
          <w:snapToGrid w:val="0"/>
          <w:szCs w:val="21"/>
          <w:highlight w:val="none"/>
        </w:rPr>
        <w:t>联 系 人：</w:t>
      </w:r>
      <w:r>
        <w:rPr>
          <w:rFonts w:hint="eastAsia" w:ascii="宋体" w:hAnsi="宋体" w:eastAsia="宋体" w:cs="宋体"/>
          <w:snapToGrid w:val="0"/>
          <w:szCs w:val="21"/>
          <w:highlight w:val="none"/>
          <w:u w:val="single"/>
        </w:rPr>
        <w:t xml:space="preserve">许莉、任贵娜                         </w:t>
      </w:r>
    </w:p>
    <w:p>
      <w:pPr>
        <w:spacing w:line="360" w:lineRule="auto"/>
        <w:ind w:firstLine="420"/>
        <w:rPr>
          <w:rFonts w:hint="eastAsia" w:ascii="宋体" w:hAnsi="宋体" w:eastAsia="宋体" w:cs="宋体"/>
          <w:snapToGrid w:val="0"/>
          <w:szCs w:val="21"/>
          <w:highlight w:val="none"/>
          <w:u w:val="single"/>
        </w:rPr>
      </w:pPr>
      <w:r>
        <w:rPr>
          <w:rFonts w:hint="eastAsia" w:ascii="宋体" w:hAnsi="宋体" w:eastAsia="宋体" w:cs="宋体"/>
          <w:snapToGrid w:val="0"/>
          <w:szCs w:val="21"/>
          <w:highlight w:val="none"/>
        </w:rPr>
        <w:t>电    话：</w:t>
      </w:r>
      <w:r>
        <w:rPr>
          <w:rFonts w:hint="eastAsia" w:ascii="宋体" w:hAnsi="宋体" w:eastAsia="宋体" w:cs="宋体"/>
          <w:snapToGrid w:val="0"/>
          <w:szCs w:val="21"/>
          <w:highlight w:val="none"/>
          <w:u w:val="single"/>
        </w:rPr>
        <w:t xml:space="preserve">63820186*8118                   </w:t>
      </w:r>
    </w:p>
    <w:p>
      <w:pPr>
        <w:spacing w:line="360" w:lineRule="auto"/>
        <w:ind w:firstLine="420"/>
        <w:rPr>
          <w:rFonts w:hint="eastAsia" w:ascii="宋体" w:hAnsi="宋体" w:eastAsia="宋体" w:cs="宋体"/>
          <w:snapToGrid w:val="0"/>
          <w:szCs w:val="21"/>
          <w:highlight w:val="none"/>
          <w:u w:val="single"/>
        </w:rPr>
      </w:pPr>
      <w:r>
        <w:rPr>
          <w:rFonts w:hint="eastAsia" w:ascii="宋体" w:hAnsi="宋体" w:eastAsia="宋体" w:cs="宋体"/>
          <w:snapToGrid w:val="0"/>
          <w:szCs w:val="21"/>
          <w:highlight w:val="none"/>
        </w:rPr>
        <w:t>电子邮箱：</w:t>
      </w:r>
      <w:r>
        <w:rPr>
          <w:rFonts w:hint="eastAsia" w:ascii="宋体" w:hAnsi="宋体" w:cs="宋体"/>
          <w:snapToGrid w:val="0"/>
          <w:szCs w:val="21"/>
          <w:highlight w:val="none"/>
          <w:u w:val="single"/>
          <w:lang w:val="en-US" w:eastAsia="zh-CN"/>
        </w:rPr>
        <w:t>649296169</w:t>
      </w:r>
      <w:r>
        <w:rPr>
          <w:rFonts w:hint="eastAsia" w:ascii="宋体" w:hAnsi="宋体" w:eastAsia="宋体" w:cs="宋体"/>
          <w:snapToGrid w:val="0"/>
          <w:szCs w:val="21"/>
          <w:highlight w:val="none"/>
          <w:u w:val="single"/>
        </w:rPr>
        <w:t xml:space="preserve">@qq.com                    </w:t>
      </w:r>
    </w:p>
    <w:p>
      <w:pPr>
        <w:spacing w:line="360" w:lineRule="auto"/>
        <w:jc w:val="right"/>
        <w:rPr>
          <w:rFonts w:hint="eastAsia" w:ascii="宋体" w:hAnsi="宋体" w:eastAsia="宋体" w:cs="宋体"/>
          <w:szCs w:val="21"/>
          <w:highlight w:val="none"/>
        </w:rPr>
      </w:pPr>
      <w:r>
        <w:rPr>
          <w:rFonts w:hint="eastAsia" w:ascii="宋体" w:hAnsi="宋体" w:eastAsia="宋体" w:cs="宋体"/>
          <w:szCs w:val="21"/>
          <w:highlight w:val="none"/>
        </w:rPr>
        <w:t xml:space="preserve">                            　　</w:t>
      </w:r>
    </w:p>
    <w:p>
      <w:pPr>
        <w:spacing w:line="360" w:lineRule="auto"/>
        <w:jc w:val="right"/>
        <w:rPr>
          <w:rFonts w:hint="eastAsia" w:ascii="宋体" w:hAnsi="宋体" w:eastAsia="宋体" w:cs="宋体"/>
          <w:szCs w:val="21"/>
          <w:highlight w:val="none"/>
        </w:rPr>
      </w:pPr>
    </w:p>
    <w:p>
      <w:pPr>
        <w:spacing w:line="360" w:lineRule="auto"/>
        <w:jc w:val="right"/>
        <w:rPr>
          <w:rFonts w:hint="eastAsia" w:ascii="宋体" w:hAnsi="宋体" w:eastAsia="宋体" w:cs="宋体"/>
          <w:b/>
          <w:szCs w:val="21"/>
          <w:highlight w:val="none"/>
        </w:rPr>
      </w:pPr>
      <w:r>
        <w:rPr>
          <w:rFonts w:hint="eastAsia" w:ascii="宋体" w:hAnsi="宋体" w:eastAsia="宋体" w:cs="宋体"/>
          <w:b/>
          <w:szCs w:val="21"/>
          <w:highlight w:val="none"/>
          <w:u w:val="single"/>
        </w:rPr>
        <w:t>2021</w:t>
      </w:r>
      <w:r>
        <w:rPr>
          <w:rFonts w:hint="eastAsia" w:ascii="宋体" w:hAnsi="宋体" w:eastAsia="宋体" w:cs="宋体"/>
          <w:b/>
          <w:szCs w:val="21"/>
          <w:highlight w:val="none"/>
        </w:rPr>
        <w:t>年</w:t>
      </w:r>
      <w:r>
        <w:rPr>
          <w:rFonts w:hint="eastAsia" w:ascii="宋体" w:hAnsi="宋体" w:eastAsia="宋体" w:cs="宋体"/>
          <w:b/>
          <w:szCs w:val="21"/>
          <w:highlight w:val="none"/>
          <w:u w:val="single"/>
        </w:rPr>
        <w:t xml:space="preserve"> </w:t>
      </w:r>
      <w:r>
        <w:rPr>
          <w:rFonts w:hint="eastAsia" w:ascii="宋体" w:hAnsi="宋体" w:cs="宋体"/>
          <w:b/>
          <w:szCs w:val="21"/>
          <w:highlight w:val="none"/>
          <w:u w:val="single"/>
          <w:lang w:val="en-US" w:eastAsia="zh-CN"/>
        </w:rPr>
        <w:t>9</w:t>
      </w:r>
      <w:r>
        <w:rPr>
          <w:rFonts w:hint="eastAsia" w:ascii="宋体" w:hAnsi="宋体" w:eastAsia="宋体" w:cs="宋体"/>
          <w:b/>
          <w:szCs w:val="21"/>
          <w:highlight w:val="none"/>
          <w:u w:val="single"/>
        </w:rPr>
        <w:t xml:space="preserve"> </w:t>
      </w:r>
      <w:r>
        <w:rPr>
          <w:rFonts w:hint="eastAsia" w:ascii="宋体" w:hAnsi="宋体" w:eastAsia="宋体" w:cs="宋体"/>
          <w:b/>
          <w:szCs w:val="21"/>
          <w:highlight w:val="none"/>
        </w:rPr>
        <w:t>月</w:t>
      </w:r>
    </w:p>
    <w:p>
      <w:pPr>
        <w:spacing w:line="400" w:lineRule="exact"/>
        <w:ind w:left="424" w:leftChars="1" w:hanging="422" w:hangingChars="176"/>
        <w:rPr>
          <w:rFonts w:hint="eastAsia" w:ascii="宋体" w:hAnsi="宋体" w:eastAsia="宋体" w:cs="宋体"/>
          <w:sz w:val="24"/>
          <w:highlight w:val="none"/>
        </w:rPr>
        <w:sectPr>
          <w:pgSz w:w="11906" w:h="16838"/>
          <w:pgMar w:top="1418" w:right="1418" w:bottom="1418" w:left="1418" w:header="851" w:footer="992" w:gutter="0"/>
          <w:pgNumType w:fmt="decimal"/>
          <w:cols w:space="720" w:num="1"/>
          <w:titlePg/>
          <w:docGrid w:linePitch="380" w:charSpace="-5735"/>
        </w:sectPr>
      </w:pPr>
    </w:p>
    <w:p>
      <w:pPr>
        <w:spacing w:line="320" w:lineRule="exact"/>
        <w:jc w:val="center"/>
        <w:outlineLvl w:val="0"/>
        <w:rPr>
          <w:rFonts w:hint="eastAsia" w:ascii="宋体" w:hAnsi="宋体" w:eastAsia="宋体" w:cs="宋体"/>
          <w:b/>
          <w:sz w:val="30"/>
          <w:szCs w:val="30"/>
          <w:highlight w:val="none"/>
        </w:rPr>
      </w:pPr>
      <w:bookmarkStart w:id="65" w:name="_Toc207953835"/>
      <w:bookmarkStart w:id="66" w:name="_Toc23191"/>
      <w:bookmarkStart w:id="67" w:name="_Toc16801"/>
      <w:r>
        <w:rPr>
          <w:rFonts w:hint="eastAsia" w:ascii="宋体" w:hAnsi="宋体" w:eastAsia="宋体" w:cs="宋体"/>
          <w:b/>
          <w:sz w:val="30"/>
          <w:szCs w:val="30"/>
          <w:highlight w:val="none"/>
        </w:rPr>
        <w:t>投标须知前附表</w:t>
      </w:r>
      <w:bookmarkEnd w:id="65"/>
      <w:bookmarkEnd w:id="66"/>
      <w:bookmarkEnd w:id="67"/>
    </w:p>
    <w:p>
      <w:pPr>
        <w:spacing w:line="320" w:lineRule="exact"/>
        <w:jc w:val="center"/>
        <w:rPr>
          <w:rFonts w:hint="eastAsia" w:ascii="宋体" w:hAnsi="宋体" w:eastAsia="宋体" w:cs="宋体"/>
          <w:b/>
          <w:sz w:val="30"/>
          <w:szCs w:val="30"/>
          <w:highlight w:val="none"/>
        </w:rPr>
      </w:pPr>
    </w:p>
    <w:tbl>
      <w:tblPr>
        <w:tblStyle w:val="54"/>
        <w:tblW w:w="8818" w:type="dxa"/>
        <w:tblInd w:w="-34" w:type="dxa"/>
        <w:tblLayout w:type="fixed"/>
        <w:tblCellMar>
          <w:top w:w="0" w:type="dxa"/>
          <w:left w:w="108" w:type="dxa"/>
          <w:bottom w:w="0" w:type="dxa"/>
          <w:right w:w="108" w:type="dxa"/>
        </w:tblCellMar>
      </w:tblPr>
      <w:tblGrid>
        <w:gridCol w:w="1135"/>
        <w:gridCol w:w="2835"/>
        <w:gridCol w:w="4848"/>
      </w:tblGrid>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szCs w:val="21"/>
                <w:highlight w:val="none"/>
              </w:rPr>
            </w:pPr>
            <w:r>
              <w:rPr>
                <w:rFonts w:hint="eastAsia" w:ascii="宋体" w:hAnsi="宋体" w:eastAsia="宋体" w:cs="宋体"/>
                <w:b/>
                <w:szCs w:val="21"/>
                <w:highlight w:val="none"/>
              </w:rPr>
              <w:t>条款号</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szCs w:val="21"/>
                <w:highlight w:val="none"/>
              </w:rPr>
            </w:pPr>
            <w:r>
              <w:rPr>
                <w:rFonts w:hint="eastAsia" w:ascii="宋体" w:hAnsi="宋体" w:eastAsia="宋体" w:cs="宋体"/>
                <w:b/>
                <w:szCs w:val="21"/>
                <w:highlight w:val="none"/>
              </w:rPr>
              <w:t>条  款  名  称</w:t>
            </w:r>
          </w:p>
        </w:tc>
        <w:tc>
          <w:tcPr>
            <w:tcW w:w="484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szCs w:val="21"/>
                <w:highlight w:val="none"/>
              </w:rPr>
            </w:pPr>
            <w:r>
              <w:rPr>
                <w:rFonts w:hint="eastAsia" w:ascii="宋体" w:hAnsi="宋体" w:eastAsia="宋体" w:cs="宋体"/>
                <w:b/>
                <w:szCs w:val="21"/>
                <w:highlight w:val="none"/>
              </w:rPr>
              <w:t>编  列  内  容</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1.1.2</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招标人</w:t>
            </w:r>
          </w:p>
        </w:tc>
        <w:tc>
          <w:tcPr>
            <w:tcW w:w="4848"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Cs w:val="21"/>
                <w:highlight w:val="none"/>
              </w:rPr>
            </w:pPr>
            <w:r>
              <w:rPr>
                <w:rFonts w:hint="eastAsia" w:ascii="宋体" w:hAnsi="宋体" w:eastAsia="宋体" w:cs="宋体"/>
                <w:szCs w:val="21"/>
                <w:highlight w:val="none"/>
              </w:rPr>
              <w:t>建设单位：复旦大学</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1.1.3</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招标代理机构</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bookmarkStart w:id="68" w:name="_Toc331170823"/>
            <w:r>
              <w:rPr>
                <w:rFonts w:hint="eastAsia" w:ascii="宋体" w:hAnsi="宋体" w:eastAsia="宋体" w:cs="宋体"/>
                <w:szCs w:val="21"/>
                <w:highlight w:val="none"/>
              </w:rPr>
              <w:t>名  称：上海教育建设管理咨询有限公司</w:t>
            </w:r>
            <w:bookmarkEnd w:id="68"/>
          </w:p>
          <w:p>
            <w:pPr>
              <w:spacing w:line="320" w:lineRule="exact"/>
              <w:ind w:left="630" w:hanging="630" w:hangingChars="300"/>
              <w:rPr>
                <w:rFonts w:hint="eastAsia" w:ascii="宋体" w:hAnsi="宋体" w:eastAsia="宋体" w:cs="宋体"/>
                <w:szCs w:val="21"/>
                <w:highlight w:val="none"/>
              </w:rPr>
            </w:pPr>
            <w:bookmarkStart w:id="69" w:name="_Toc331170824"/>
            <w:r>
              <w:rPr>
                <w:rFonts w:hint="eastAsia" w:ascii="宋体" w:hAnsi="宋体" w:eastAsia="宋体" w:cs="宋体"/>
                <w:szCs w:val="21"/>
                <w:highlight w:val="none"/>
              </w:rPr>
              <w:t>地  址：徐汇区钦江路88号 东楼6楼626室</w:t>
            </w:r>
            <w:bookmarkEnd w:id="69"/>
          </w:p>
          <w:p>
            <w:pPr>
              <w:spacing w:line="320" w:lineRule="exact"/>
              <w:rPr>
                <w:rFonts w:hint="eastAsia" w:ascii="宋体" w:hAnsi="宋体" w:eastAsia="宋体" w:cs="宋体"/>
                <w:szCs w:val="21"/>
                <w:highlight w:val="none"/>
              </w:rPr>
            </w:pPr>
            <w:bookmarkStart w:id="70" w:name="_Toc331170825"/>
            <w:r>
              <w:rPr>
                <w:rFonts w:hint="eastAsia" w:ascii="宋体" w:hAnsi="宋体" w:eastAsia="宋体" w:cs="宋体"/>
                <w:szCs w:val="21"/>
                <w:highlight w:val="none"/>
              </w:rPr>
              <w:t>联系人：</w:t>
            </w:r>
            <w:bookmarkEnd w:id="70"/>
            <w:r>
              <w:rPr>
                <w:rFonts w:hint="eastAsia" w:ascii="宋体" w:hAnsi="宋体" w:eastAsia="宋体" w:cs="宋体"/>
                <w:szCs w:val="21"/>
                <w:highlight w:val="none"/>
              </w:rPr>
              <w:t>许莉</w:t>
            </w:r>
          </w:p>
          <w:p>
            <w:pPr>
              <w:spacing w:line="320" w:lineRule="exact"/>
              <w:rPr>
                <w:rFonts w:hint="eastAsia" w:ascii="宋体" w:hAnsi="宋体" w:eastAsia="宋体" w:cs="宋体"/>
                <w:szCs w:val="21"/>
                <w:highlight w:val="none"/>
              </w:rPr>
            </w:pPr>
            <w:bookmarkStart w:id="71" w:name="_Toc331170826"/>
            <w:r>
              <w:rPr>
                <w:rFonts w:hint="eastAsia" w:ascii="宋体" w:hAnsi="宋体" w:eastAsia="宋体" w:cs="宋体"/>
                <w:szCs w:val="21"/>
                <w:highlight w:val="none"/>
              </w:rPr>
              <w:t>电  话：</w:t>
            </w:r>
            <w:bookmarkEnd w:id="71"/>
            <w:r>
              <w:rPr>
                <w:rFonts w:hint="eastAsia" w:ascii="宋体" w:hAnsi="宋体" w:eastAsia="宋体" w:cs="宋体"/>
                <w:szCs w:val="21"/>
                <w:highlight w:val="none"/>
              </w:rPr>
              <w:t>63820186*8118</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电子邮箱：</w:t>
            </w:r>
            <w:r>
              <w:rPr>
                <w:rFonts w:hint="eastAsia" w:ascii="宋体" w:hAnsi="宋体" w:cs="宋体"/>
                <w:szCs w:val="21"/>
                <w:highlight w:val="none"/>
                <w:lang w:val="en-US" w:eastAsia="zh-CN"/>
              </w:rPr>
              <w:t>649296169</w:t>
            </w:r>
            <w:r>
              <w:rPr>
                <w:rFonts w:hint="eastAsia" w:ascii="宋体" w:hAnsi="宋体" w:eastAsia="宋体" w:cs="宋体"/>
                <w:szCs w:val="21"/>
                <w:highlight w:val="none"/>
              </w:rPr>
              <w:t>@qq.com</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bookmarkStart w:id="72" w:name="_Hlk483412343"/>
            <w:r>
              <w:rPr>
                <w:rFonts w:hint="eastAsia" w:ascii="宋体" w:hAnsi="宋体" w:eastAsia="宋体" w:cs="宋体"/>
                <w:szCs w:val="21"/>
                <w:highlight w:val="none"/>
              </w:rPr>
              <w:t>1.1.4</w:t>
            </w:r>
          </w:p>
        </w:tc>
        <w:tc>
          <w:tcPr>
            <w:tcW w:w="28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szCs w:val="21"/>
                <w:highlight w:val="none"/>
              </w:rPr>
            </w:pPr>
            <w:r>
              <w:rPr>
                <w:rFonts w:hint="eastAsia" w:ascii="宋体" w:hAnsi="宋体" w:eastAsia="宋体" w:cs="宋体"/>
                <w:szCs w:val="21"/>
                <w:highlight w:val="none"/>
              </w:rPr>
              <w:t>项目名称</w:t>
            </w:r>
          </w:p>
        </w:tc>
        <w:tc>
          <w:tcPr>
            <w:tcW w:w="4848" w:type="dxa"/>
            <w:tcBorders>
              <w:top w:val="single" w:color="auto" w:sz="4" w:space="0"/>
              <w:left w:val="single" w:color="auto" w:sz="4" w:space="0"/>
              <w:bottom w:val="single" w:color="auto" w:sz="4" w:space="0"/>
              <w:right w:val="single" w:color="auto" w:sz="4" w:space="0"/>
            </w:tcBorders>
            <w:vAlign w:val="center"/>
          </w:tcPr>
          <w:p>
            <w:pPr>
              <w:widowControl/>
              <w:rPr>
                <w:rFonts w:hint="eastAsia" w:ascii="宋体" w:hAnsi="宋体" w:eastAsia="宋体" w:cs="宋体"/>
                <w:szCs w:val="21"/>
                <w:highlight w:val="none"/>
              </w:rPr>
            </w:pPr>
            <w:r>
              <w:rPr>
                <w:rFonts w:hint="eastAsia" w:ascii="宋体" w:hAnsi="宋体" w:eastAsia="宋体" w:cs="宋体"/>
                <w:szCs w:val="21"/>
                <w:highlight w:val="none"/>
              </w:rPr>
              <w:t>复旦大学江湾校区融合创新二号楼项目绿化搬迁工程</w:t>
            </w:r>
          </w:p>
        </w:tc>
      </w:tr>
      <w:bookmarkEnd w:id="72"/>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1.1.5</w:t>
            </w:r>
          </w:p>
        </w:tc>
        <w:tc>
          <w:tcPr>
            <w:tcW w:w="28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szCs w:val="21"/>
                <w:highlight w:val="none"/>
              </w:rPr>
            </w:pPr>
            <w:r>
              <w:rPr>
                <w:rFonts w:hint="eastAsia" w:ascii="宋体" w:hAnsi="宋体" w:eastAsia="宋体" w:cs="宋体"/>
                <w:szCs w:val="21"/>
                <w:highlight w:val="none"/>
              </w:rPr>
              <w:t>建设地点</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复旦大学江湾校区</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1.2.1</w:t>
            </w:r>
          </w:p>
        </w:tc>
        <w:tc>
          <w:tcPr>
            <w:tcW w:w="28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szCs w:val="21"/>
                <w:highlight w:val="none"/>
              </w:rPr>
            </w:pPr>
            <w:r>
              <w:rPr>
                <w:rFonts w:hint="eastAsia" w:ascii="宋体" w:hAnsi="宋体" w:eastAsia="宋体" w:cs="宋体"/>
                <w:szCs w:val="21"/>
                <w:highlight w:val="none"/>
              </w:rPr>
              <w:t>资金来源及比例</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财政性资金</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1.2.2</w:t>
            </w:r>
          </w:p>
        </w:tc>
        <w:tc>
          <w:tcPr>
            <w:tcW w:w="28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szCs w:val="21"/>
                <w:highlight w:val="none"/>
              </w:rPr>
            </w:pPr>
            <w:r>
              <w:rPr>
                <w:rFonts w:hint="eastAsia" w:ascii="宋体" w:hAnsi="宋体" w:eastAsia="宋体" w:cs="宋体"/>
                <w:szCs w:val="21"/>
                <w:highlight w:val="none"/>
              </w:rPr>
              <w:t>资金落实情况</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资金已落实</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1.3.1</w:t>
            </w:r>
          </w:p>
        </w:tc>
        <w:tc>
          <w:tcPr>
            <w:tcW w:w="283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szCs w:val="21"/>
                <w:highlight w:val="none"/>
              </w:rPr>
            </w:pPr>
            <w:r>
              <w:rPr>
                <w:rFonts w:hint="eastAsia" w:ascii="宋体" w:hAnsi="宋体" w:eastAsia="宋体" w:cs="宋体"/>
                <w:szCs w:val="21"/>
                <w:highlight w:val="none"/>
              </w:rPr>
              <w:t>招标范围</w:t>
            </w:r>
          </w:p>
        </w:tc>
        <w:tc>
          <w:tcPr>
            <w:tcW w:w="4848"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highlight w:val="none"/>
              </w:rPr>
            </w:pPr>
            <w:r>
              <w:rPr>
                <w:rFonts w:hint="eastAsia" w:ascii="宋体" w:hAnsi="宋体" w:eastAsia="宋体" w:cs="宋体"/>
                <w:szCs w:val="21"/>
                <w:highlight w:val="none"/>
              </w:rPr>
              <w:t>招标范围：</w:t>
            </w:r>
            <w:r>
              <w:rPr>
                <w:rFonts w:hint="eastAsia" w:ascii="宋体" w:hAnsi="宋体" w:eastAsia="宋体" w:cs="宋体"/>
                <w:highlight w:val="none"/>
              </w:rPr>
              <w:t>本项目为复旦大学江湾校区融合创新二号楼项目绿化搬迁工程招标。本工程位于复旦大学江湾校区，为支持本项目建设工作，对建设临时生活区及建设规划范围内现有的园林树木进行迁移</w:t>
            </w:r>
            <w:r>
              <w:rPr>
                <w:rFonts w:hint="eastAsia" w:ascii="宋体" w:hAnsi="宋体" w:cs="宋体"/>
                <w:highlight w:val="none"/>
                <w:lang w:val="en-US" w:eastAsia="zh-CN"/>
              </w:rPr>
              <w:t>及养护</w:t>
            </w:r>
            <w:r>
              <w:rPr>
                <w:rFonts w:hint="eastAsia" w:ascii="宋体" w:hAnsi="宋体" w:eastAsia="宋体" w:cs="宋体"/>
                <w:highlight w:val="none"/>
              </w:rPr>
              <w:t>。</w:t>
            </w:r>
            <w:r>
              <w:rPr>
                <w:rFonts w:hint="eastAsia" w:ascii="宋体" w:hAnsi="宋体" w:eastAsia="宋体" w:cs="宋体"/>
                <w:highlight w:val="none"/>
              </w:rPr>
              <w:t>此项工程需迁移的乔木类主要包含有：桂花、马褂木、夹竹桃、银杏、红枫、柳树、重阳木、苦楝树、桧柏球、海棠、红叶石楠球、小叶</w:t>
            </w:r>
            <w:r>
              <w:rPr>
                <w:rFonts w:hint="eastAsia" w:ascii="宋体" w:hAnsi="宋体" w:cs="宋体"/>
                <w:highlight w:val="none"/>
                <w:lang w:val="en-US" w:eastAsia="zh-CN"/>
              </w:rPr>
              <w:t>女贞</w:t>
            </w:r>
            <w:r>
              <w:rPr>
                <w:rFonts w:hint="eastAsia" w:ascii="宋体" w:hAnsi="宋体" w:eastAsia="宋体" w:cs="宋体"/>
                <w:highlight w:val="none"/>
              </w:rPr>
              <w:t>球、小叶黄杨球、结香、丛生结香、红花继木球、茶花、樱花、香樟、豪猪刺、香樟、无患子、雪松、棕榈、栾树、合欢、紫玉兰、剑兰、海桐球、木槿、女贞、丛生石楠、石楠。搬迁区域：纬五河以南，经二路以西，纬五路以北，经一路以东。搬迁至：月湖南侧。</w:t>
            </w:r>
            <w:r>
              <w:rPr>
                <w:rFonts w:hint="eastAsia" w:ascii="宋体" w:hAnsi="宋体" w:eastAsia="宋体" w:cs="宋体"/>
                <w:highlight w:val="none"/>
              </w:rPr>
              <w:t>中标单位工作内容包含但不限于：绿化搬迁范围内的所有绿化苗木起挖，绿化场地整理、绿化拍照建档、运输、种植，</w:t>
            </w:r>
            <w:r>
              <w:rPr>
                <w:rFonts w:hint="eastAsia" w:ascii="宋体" w:hAnsi="宋体" w:cs="宋体"/>
                <w:highlight w:val="none"/>
                <w:lang w:val="en-US" w:eastAsia="zh-CN"/>
              </w:rPr>
              <w:t>两</w:t>
            </w:r>
            <w:r>
              <w:rPr>
                <w:rFonts w:hint="eastAsia" w:ascii="宋体" w:hAnsi="宋体" w:eastAsia="宋体" w:cs="宋体"/>
                <w:highlight w:val="none"/>
                <w:lang w:eastAsia="zh-CN"/>
              </w:rPr>
              <w:t>年期的养护保活</w:t>
            </w:r>
            <w:r>
              <w:rPr>
                <w:rFonts w:hint="eastAsia" w:ascii="宋体" w:hAnsi="宋体" w:eastAsia="宋体" w:cs="宋体"/>
                <w:highlight w:val="none"/>
              </w:rPr>
              <w:t>，负责绿化搬迁过程中所有可能发生的行政手续办理及协调等一系列工作（含所有费用）。</w:t>
            </w:r>
          </w:p>
        </w:tc>
      </w:tr>
      <w:tr>
        <w:tblPrEx>
          <w:tblCellMar>
            <w:top w:w="0" w:type="dxa"/>
            <w:left w:w="108" w:type="dxa"/>
            <w:bottom w:w="0" w:type="dxa"/>
            <w:right w:w="108" w:type="dxa"/>
          </w:tblCellMar>
        </w:tblPrEx>
        <w:trPr>
          <w:trHeight w:val="90" w:hRule="atLeast"/>
        </w:trPr>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1.3.2</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计划工期</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计划工期：</w:t>
            </w:r>
            <w:r>
              <w:rPr>
                <w:rFonts w:hint="eastAsia" w:ascii="宋体" w:hAnsi="宋体" w:eastAsia="宋体" w:cs="宋体"/>
                <w:szCs w:val="21"/>
                <w:highlight w:val="none"/>
                <w:u w:val="single"/>
              </w:rPr>
              <w:t xml:space="preserve"> 不大于</w:t>
            </w:r>
            <w:r>
              <w:rPr>
                <w:rFonts w:hint="eastAsia" w:ascii="宋体" w:hAnsi="宋体" w:cs="宋体"/>
                <w:szCs w:val="21"/>
                <w:highlight w:val="none"/>
                <w:u w:val="single"/>
                <w:lang w:val="en-US" w:eastAsia="zh-CN"/>
              </w:rPr>
              <w:t>30</w:t>
            </w:r>
            <w:r>
              <w:rPr>
                <w:rFonts w:hint="eastAsia" w:ascii="宋体" w:hAnsi="宋体" w:eastAsia="宋体" w:cs="宋体"/>
                <w:szCs w:val="21"/>
                <w:highlight w:val="none"/>
                <w:u w:val="single"/>
              </w:rPr>
              <w:t>天</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如因中标单位原因造成延期，需承诺每延期一天按不小于合同总价千分之一扣罚。</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计划开工日期：2021年</w:t>
            </w:r>
            <w:r>
              <w:rPr>
                <w:rFonts w:hint="eastAsia" w:ascii="宋体" w:hAnsi="宋体" w:cs="宋体"/>
                <w:szCs w:val="21"/>
                <w:highlight w:val="none"/>
                <w:lang w:val="en-US" w:eastAsia="zh-CN"/>
              </w:rPr>
              <w:t>10</w:t>
            </w:r>
            <w:r>
              <w:rPr>
                <w:rFonts w:hint="eastAsia" w:ascii="宋体" w:hAnsi="宋体" w:eastAsia="宋体" w:cs="宋体"/>
                <w:szCs w:val="21"/>
                <w:highlight w:val="none"/>
              </w:rPr>
              <w:t>月</w:t>
            </w:r>
            <w:r>
              <w:rPr>
                <w:rFonts w:hint="eastAsia" w:ascii="宋体" w:hAnsi="宋体" w:cs="宋体"/>
                <w:szCs w:val="21"/>
                <w:highlight w:val="none"/>
                <w:lang w:val="en-US" w:eastAsia="zh-CN"/>
              </w:rPr>
              <w:t>31</w:t>
            </w:r>
            <w:r>
              <w:rPr>
                <w:rFonts w:hint="eastAsia" w:ascii="宋体" w:hAnsi="宋体" w:eastAsia="宋体" w:cs="宋体"/>
                <w:szCs w:val="21"/>
                <w:highlight w:val="none"/>
              </w:rPr>
              <w:t>日，以实际开工令为准</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1.3.3</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质量要求</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一次验收合格率100%,</w:t>
            </w:r>
            <w:r>
              <w:rPr>
                <w:rFonts w:hint="eastAsia" w:ascii="宋体" w:hAnsi="宋体" w:cs="宋体"/>
                <w:szCs w:val="21"/>
                <w:highlight w:val="none"/>
                <w:lang w:val="en-US" w:eastAsia="zh-CN"/>
              </w:rPr>
              <w:t>两年内</w:t>
            </w:r>
            <w:r>
              <w:rPr>
                <w:rFonts w:hint="eastAsia" w:ascii="宋体" w:hAnsi="宋体" w:eastAsia="宋体" w:cs="宋体"/>
                <w:szCs w:val="21"/>
                <w:highlight w:val="none"/>
              </w:rPr>
              <w:t>苗木存活率100%，并且长势良好,如达不到需承诺不小于合同总价3%的处罚。</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1.4.1</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投标人资质条件、能力</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宋体" w:hAnsi="宋体" w:eastAsia="宋体" w:cs="宋体"/>
                <w:bCs/>
                <w:highlight w:val="none"/>
              </w:rPr>
            </w:pPr>
            <w:r>
              <w:rPr>
                <w:rFonts w:hint="eastAsia" w:ascii="宋体" w:hAnsi="宋体" w:eastAsia="宋体" w:cs="宋体"/>
                <w:bCs/>
                <w:highlight w:val="none"/>
              </w:rPr>
              <w:t>（1）从事城市园林绿化项目的施工企业，应持有效的营业执照；施工现场项目管理与工程规模相符合</w:t>
            </w:r>
          </w:p>
          <w:p>
            <w:pPr>
              <w:spacing w:line="360" w:lineRule="auto"/>
              <w:rPr>
                <w:rFonts w:hint="eastAsia" w:ascii="宋体" w:hAnsi="宋体" w:eastAsia="宋体" w:cs="宋体"/>
                <w:bCs/>
                <w:highlight w:val="none"/>
              </w:rPr>
            </w:pPr>
            <w:r>
              <w:rPr>
                <w:rFonts w:hint="eastAsia" w:ascii="宋体" w:hAnsi="宋体" w:eastAsia="宋体" w:cs="宋体"/>
                <w:bCs/>
                <w:highlight w:val="none"/>
              </w:rPr>
              <w:t>（2）园林绿化施工企业项目负责人具有《园林绿化施工企业项目负责人质量安全生产考核合格证书》</w:t>
            </w:r>
          </w:p>
          <w:p>
            <w:pPr>
              <w:spacing w:line="360" w:lineRule="auto"/>
              <w:rPr>
                <w:rFonts w:hint="eastAsia" w:ascii="宋体" w:hAnsi="宋体" w:eastAsia="宋体" w:cs="宋体"/>
                <w:bCs/>
                <w:highlight w:val="none"/>
              </w:rPr>
            </w:pPr>
            <w:r>
              <w:rPr>
                <w:rFonts w:hint="eastAsia" w:ascii="宋体" w:hAnsi="宋体" w:eastAsia="宋体" w:cs="宋体"/>
                <w:bCs/>
                <w:highlight w:val="none"/>
              </w:rPr>
              <w:t>（3）不接受联合体投标</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1.9.1</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踏勘现场</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■不组织：自行踏勘</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□组织，踏勘时间：</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1.10.1</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投标预备会</w:t>
            </w:r>
          </w:p>
        </w:tc>
        <w:tc>
          <w:tcPr>
            <w:tcW w:w="4848" w:type="dxa"/>
            <w:tcBorders>
              <w:top w:val="single" w:color="auto" w:sz="4" w:space="0"/>
              <w:left w:val="single" w:color="auto" w:sz="4" w:space="0"/>
              <w:bottom w:val="single" w:color="auto" w:sz="4" w:space="0"/>
              <w:right w:val="single" w:color="auto" w:sz="4" w:space="0"/>
            </w:tcBorders>
            <w:vAlign w:val="center"/>
          </w:tcPr>
          <w:p>
            <w:pPr>
              <w:pStyle w:val="20"/>
              <w:topLinePunct/>
              <w:spacing w:after="0" w:line="320" w:lineRule="exact"/>
              <w:rPr>
                <w:rFonts w:hint="eastAsia" w:ascii="宋体" w:hAnsi="宋体" w:eastAsia="宋体" w:cs="宋体"/>
                <w:sz w:val="21"/>
                <w:szCs w:val="21"/>
                <w:highlight w:val="none"/>
                <w:lang w:val="en-US"/>
              </w:rPr>
            </w:pPr>
            <w:r>
              <w:rPr>
                <w:rFonts w:hint="eastAsia" w:ascii="宋体" w:hAnsi="宋体" w:eastAsia="宋体" w:cs="宋体"/>
                <w:sz w:val="21"/>
                <w:szCs w:val="21"/>
                <w:highlight w:val="none"/>
                <w:lang w:val="en-US"/>
              </w:rPr>
              <w:t>■不召开，如特殊情况须召开另行通知</w:t>
            </w:r>
          </w:p>
          <w:p>
            <w:pPr>
              <w:spacing w:line="320" w:lineRule="exact"/>
              <w:rPr>
                <w:rFonts w:hint="eastAsia" w:ascii="宋体" w:hAnsi="宋体" w:eastAsia="宋体" w:cs="宋体"/>
                <w:szCs w:val="21"/>
                <w:highlight w:val="none"/>
              </w:rPr>
            </w:pPr>
            <w:bookmarkStart w:id="73" w:name="_Toc331170864"/>
            <w:r>
              <w:rPr>
                <w:rFonts w:hint="eastAsia" w:ascii="宋体" w:hAnsi="宋体" w:eastAsia="宋体" w:cs="宋体"/>
                <w:szCs w:val="21"/>
                <w:highlight w:val="none"/>
              </w:rPr>
              <w:t>□召开，召开时间：</w:t>
            </w:r>
            <w:bookmarkEnd w:id="73"/>
            <w:r>
              <w:rPr>
                <w:rFonts w:hint="eastAsia" w:ascii="宋体" w:hAnsi="宋体" w:eastAsia="宋体" w:cs="宋体"/>
                <w:szCs w:val="21"/>
                <w:highlight w:val="none"/>
              </w:rPr>
              <w:t xml:space="preserve"> </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1.10.2</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投标人提出问题的截止时间</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bookmarkStart w:id="74" w:name="_Toc331170868"/>
            <w:r>
              <w:rPr>
                <w:rFonts w:hint="eastAsia" w:ascii="宋体" w:hAnsi="宋体" w:eastAsia="宋体" w:cs="宋体"/>
                <w:szCs w:val="21"/>
                <w:highlight w:val="none"/>
              </w:rPr>
              <w:t>时间：</w:t>
            </w:r>
            <w:r>
              <w:rPr>
                <w:rFonts w:hint="eastAsia" w:ascii="宋体" w:hAnsi="宋体" w:eastAsia="宋体" w:cs="宋体"/>
                <w:b/>
                <w:highlight w:val="none"/>
              </w:rPr>
              <w:t>2021年</w:t>
            </w:r>
            <w:r>
              <w:rPr>
                <w:rFonts w:hint="eastAsia" w:ascii="宋体" w:hAnsi="宋体" w:eastAsia="宋体" w:cs="宋体"/>
                <w:b/>
                <w:highlight w:val="none"/>
                <w:u w:val="single"/>
              </w:rPr>
              <w:t xml:space="preserve"> </w:t>
            </w:r>
            <w:r>
              <w:rPr>
                <w:rFonts w:hint="eastAsia" w:ascii="宋体" w:hAnsi="宋体" w:cs="宋体"/>
                <w:b/>
                <w:highlight w:val="none"/>
                <w:u w:val="single"/>
                <w:lang w:val="en-US" w:eastAsia="zh-CN"/>
              </w:rPr>
              <w:t>9</w:t>
            </w:r>
            <w:r>
              <w:rPr>
                <w:rFonts w:hint="eastAsia" w:ascii="宋体" w:hAnsi="宋体" w:eastAsia="宋体" w:cs="宋体"/>
                <w:b/>
                <w:highlight w:val="none"/>
                <w:u w:val="single"/>
              </w:rPr>
              <w:t xml:space="preserve"> </w:t>
            </w:r>
            <w:r>
              <w:rPr>
                <w:rFonts w:hint="eastAsia" w:ascii="宋体" w:hAnsi="宋体" w:eastAsia="宋体" w:cs="宋体"/>
                <w:b/>
                <w:highlight w:val="none"/>
              </w:rPr>
              <w:t>月</w:t>
            </w:r>
            <w:r>
              <w:rPr>
                <w:rFonts w:hint="eastAsia" w:ascii="宋体" w:hAnsi="宋体" w:eastAsia="宋体" w:cs="宋体"/>
                <w:b/>
                <w:highlight w:val="none"/>
                <w:u w:val="single"/>
              </w:rPr>
              <w:t xml:space="preserve"> </w:t>
            </w:r>
            <w:r>
              <w:rPr>
                <w:rFonts w:hint="eastAsia" w:ascii="宋体" w:hAnsi="宋体" w:cs="宋体"/>
                <w:b/>
                <w:highlight w:val="none"/>
                <w:u w:val="single"/>
                <w:lang w:val="en-US" w:eastAsia="zh-CN"/>
              </w:rPr>
              <w:t>22</w:t>
            </w:r>
            <w:r>
              <w:rPr>
                <w:rFonts w:hint="eastAsia" w:ascii="宋体" w:hAnsi="宋体" w:eastAsia="宋体" w:cs="宋体"/>
                <w:b/>
                <w:highlight w:val="none"/>
                <w:u w:val="single"/>
              </w:rPr>
              <w:t xml:space="preserve"> </w:t>
            </w:r>
            <w:r>
              <w:rPr>
                <w:rFonts w:hint="eastAsia" w:ascii="宋体" w:hAnsi="宋体" w:eastAsia="宋体" w:cs="宋体"/>
                <w:b/>
                <w:highlight w:val="none"/>
              </w:rPr>
              <w:t>日</w:t>
            </w:r>
            <w:r>
              <w:rPr>
                <w:rFonts w:hint="eastAsia" w:ascii="宋体" w:hAnsi="宋体" w:eastAsia="宋体" w:cs="宋体"/>
                <w:b/>
                <w:szCs w:val="21"/>
                <w:highlight w:val="none"/>
                <w:u w:val="single"/>
              </w:rPr>
              <w:t xml:space="preserve"> 12:00 </w:t>
            </w:r>
            <w:r>
              <w:rPr>
                <w:rFonts w:hint="eastAsia" w:ascii="宋体" w:hAnsi="宋体" w:eastAsia="宋体" w:cs="宋体"/>
                <w:b/>
                <w:szCs w:val="21"/>
                <w:highlight w:val="none"/>
              </w:rPr>
              <w:t>前,</w:t>
            </w:r>
            <w:bookmarkEnd w:id="74"/>
            <w:r>
              <w:rPr>
                <w:rFonts w:hint="eastAsia" w:ascii="宋体" w:hAnsi="宋体" w:eastAsia="宋体" w:cs="宋体"/>
                <w:szCs w:val="21"/>
                <w:highlight w:val="none"/>
              </w:rPr>
              <w:t xml:space="preserve"> </w:t>
            </w:r>
          </w:p>
          <w:p>
            <w:pPr>
              <w:spacing w:line="320" w:lineRule="exact"/>
              <w:rPr>
                <w:rFonts w:hint="eastAsia" w:ascii="宋体" w:hAnsi="宋体" w:eastAsia="宋体" w:cs="宋体"/>
                <w:szCs w:val="21"/>
                <w:highlight w:val="none"/>
              </w:rPr>
            </w:pPr>
            <w:bookmarkStart w:id="75" w:name="_Toc331170869"/>
            <w:r>
              <w:rPr>
                <w:rFonts w:hint="eastAsia" w:ascii="宋体" w:hAnsi="宋体" w:eastAsia="宋体" w:cs="宋体"/>
                <w:szCs w:val="21"/>
                <w:highlight w:val="none"/>
              </w:rPr>
              <w:t xml:space="preserve">电话：63820186*8118；  </w:t>
            </w:r>
            <w:bookmarkEnd w:id="75"/>
          </w:p>
          <w:p>
            <w:pPr>
              <w:spacing w:line="320" w:lineRule="exact"/>
              <w:rPr>
                <w:rFonts w:hint="eastAsia" w:ascii="宋体" w:hAnsi="宋体" w:eastAsia="宋体" w:cs="宋体"/>
                <w:szCs w:val="21"/>
                <w:highlight w:val="none"/>
              </w:rPr>
            </w:pPr>
            <w:bookmarkStart w:id="76" w:name="_Toc331170870"/>
            <w:r>
              <w:rPr>
                <w:rFonts w:hint="eastAsia" w:ascii="宋体" w:hAnsi="宋体" w:eastAsia="宋体" w:cs="宋体"/>
                <w:szCs w:val="21"/>
                <w:highlight w:val="none"/>
              </w:rPr>
              <w:t>联系人：</w:t>
            </w:r>
            <w:bookmarkEnd w:id="76"/>
            <w:r>
              <w:rPr>
                <w:rFonts w:hint="eastAsia" w:ascii="宋体" w:hAnsi="宋体" w:cs="宋体"/>
                <w:szCs w:val="21"/>
                <w:highlight w:val="none"/>
                <w:lang w:val="en-US" w:eastAsia="zh-CN"/>
              </w:rPr>
              <w:t xml:space="preserve">任贵娜 </w:t>
            </w:r>
            <w:r>
              <w:rPr>
                <w:rFonts w:hint="eastAsia" w:ascii="宋体" w:hAnsi="宋体" w:eastAsia="宋体" w:cs="宋体"/>
                <w:szCs w:val="21"/>
                <w:highlight w:val="none"/>
              </w:rPr>
              <w:t>电子邮箱：</w:t>
            </w:r>
            <w:r>
              <w:rPr>
                <w:rFonts w:hint="eastAsia" w:ascii="宋体" w:hAnsi="宋体" w:cs="宋体"/>
                <w:szCs w:val="21"/>
                <w:highlight w:val="none"/>
                <w:lang w:val="en-US" w:eastAsia="zh-CN"/>
              </w:rPr>
              <w:t>649296169</w:t>
            </w:r>
            <w:r>
              <w:rPr>
                <w:rFonts w:hint="eastAsia" w:ascii="宋体" w:hAnsi="宋体" w:eastAsia="宋体" w:cs="宋体"/>
                <w:szCs w:val="21"/>
                <w:highlight w:val="none"/>
              </w:rPr>
              <w:t>@qq.com</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1.10.3</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招标人书面澄清的时间</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r>
              <w:rPr>
                <w:rFonts w:hint="eastAsia" w:ascii="宋体" w:hAnsi="宋体" w:eastAsia="宋体" w:cs="宋体"/>
                <w:highlight w:val="none"/>
              </w:rPr>
              <w:t>投标截止时间15天前</w:t>
            </w:r>
          </w:p>
        </w:tc>
      </w:tr>
      <w:tr>
        <w:tblPrEx>
          <w:tblCellMar>
            <w:top w:w="0" w:type="dxa"/>
            <w:left w:w="108" w:type="dxa"/>
            <w:bottom w:w="0" w:type="dxa"/>
            <w:right w:w="108" w:type="dxa"/>
          </w:tblCellMar>
        </w:tblPrEx>
        <w:trPr>
          <w:trHeight w:val="674" w:hRule="atLeast"/>
        </w:trPr>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1.11</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偏离</w:t>
            </w:r>
          </w:p>
        </w:tc>
        <w:tc>
          <w:tcPr>
            <w:tcW w:w="4848" w:type="dxa"/>
            <w:tcBorders>
              <w:top w:val="single" w:color="auto" w:sz="4" w:space="0"/>
              <w:left w:val="single" w:color="auto" w:sz="4" w:space="0"/>
              <w:bottom w:val="single" w:color="auto" w:sz="4" w:space="0"/>
              <w:right w:val="single" w:color="auto" w:sz="4" w:space="0"/>
            </w:tcBorders>
            <w:vAlign w:val="center"/>
          </w:tcPr>
          <w:p>
            <w:pPr>
              <w:pStyle w:val="20"/>
              <w:topLinePunct/>
              <w:spacing w:after="0" w:line="320" w:lineRule="exact"/>
              <w:rPr>
                <w:rFonts w:hint="eastAsia" w:ascii="宋体" w:hAnsi="宋体" w:eastAsia="宋体" w:cs="宋体"/>
                <w:sz w:val="21"/>
                <w:szCs w:val="24"/>
                <w:highlight w:val="none"/>
                <w:lang w:val="en-US"/>
              </w:rPr>
            </w:pPr>
            <w:r>
              <w:rPr>
                <w:rFonts w:hint="eastAsia" w:ascii="宋体" w:hAnsi="宋体" w:eastAsia="宋体" w:cs="宋体"/>
                <w:sz w:val="21"/>
                <w:szCs w:val="24"/>
                <w:highlight w:val="none"/>
                <w:lang w:val="en-US"/>
              </w:rPr>
              <w:t>■不允许</w:t>
            </w:r>
          </w:p>
          <w:p>
            <w:pPr>
              <w:pStyle w:val="20"/>
              <w:topLinePunct/>
              <w:spacing w:after="0" w:line="320" w:lineRule="exact"/>
              <w:rPr>
                <w:rFonts w:hint="eastAsia" w:ascii="宋体" w:hAnsi="宋体" w:eastAsia="宋体" w:cs="宋体"/>
                <w:sz w:val="21"/>
                <w:szCs w:val="21"/>
                <w:highlight w:val="none"/>
                <w:lang w:val="en-US"/>
              </w:rPr>
            </w:pPr>
            <w:r>
              <w:rPr>
                <w:rFonts w:hint="eastAsia" w:ascii="宋体" w:hAnsi="宋体" w:eastAsia="宋体" w:cs="宋体"/>
                <w:sz w:val="21"/>
                <w:szCs w:val="24"/>
                <w:highlight w:val="none"/>
                <w:lang w:val="en-US"/>
              </w:rPr>
              <w:t>□允许</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2.1</w:t>
            </w:r>
          </w:p>
        </w:tc>
        <w:tc>
          <w:tcPr>
            <w:tcW w:w="28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构成招标文件的其他材料</w:t>
            </w:r>
          </w:p>
        </w:tc>
        <w:tc>
          <w:tcPr>
            <w:tcW w:w="484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szCs w:val="21"/>
                <w:highlight w:val="none"/>
              </w:rPr>
            </w:pPr>
            <w:r>
              <w:rPr>
                <w:rFonts w:hint="eastAsia" w:ascii="宋体" w:hAnsi="宋体" w:eastAsia="宋体" w:cs="宋体"/>
                <w:szCs w:val="21"/>
                <w:highlight w:val="none"/>
                <w:u w:val="single"/>
              </w:rPr>
              <w:t>工程量清单电子版</w:t>
            </w:r>
            <w:r>
              <w:rPr>
                <w:rFonts w:hint="eastAsia" w:ascii="宋体" w:hAnsi="宋体" w:eastAsia="宋体" w:cs="宋体"/>
                <w:szCs w:val="21"/>
                <w:highlight w:val="none"/>
              </w:rPr>
              <w:t>/</w:t>
            </w:r>
            <w:r>
              <w:rPr>
                <w:rFonts w:hint="eastAsia" w:ascii="宋体" w:hAnsi="宋体" w:eastAsia="宋体" w:cs="宋体"/>
                <w:szCs w:val="21"/>
                <w:highlight w:val="none"/>
                <w:u w:val="single"/>
              </w:rPr>
              <w:t>设计图电子版</w:t>
            </w:r>
            <w:r>
              <w:rPr>
                <w:rFonts w:hint="eastAsia" w:ascii="宋体" w:hAnsi="宋体" w:eastAsia="宋体" w:cs="宋体"/>
                <w:szCs w:val="21"/>
                <w:highlight w:val="none"/>
              </w:rPr>
              <w:t>；</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2.2.1</w:t>
            </w:r>
          </w:p>
        </w:tc>
        <w:tc>
          <w:tcPr>
            <w:tcW w:w="28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投标人要求澄清招标文件的截止时间</w:t>
            </w:r>
          </w:p>
        </w:tc>
        <w:tc>
          <w:tcPr>
            <w:tcW w:w="484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szCs w:val="21"/>
                <w:highlight w:val="none"/>
              </w:rPr>
            </w:pPr>
            <w:r>
              <w:rPr>
                <w:rFonts w:hint="eastAsia" w:ascii="宋体" w:hAnsi="宋体" w:eastAsia="宋体" w:cs="宋体"/>
                <w:b/>
                <w:highlight w:val="none"/>
              </w:rPr>
              <w:t>2021年</w:t>
            </w:r>
            <w:r>
              <w:rPr>
                <w:rFonts w:hint="eastAsia" w:ascii="宋体" w:hAnsi="宋体" w:eastAsia="宋体" w:cs="宋体"/>
                <w:b/>
                <w:highlight w:val="none"/>
                <w:u w:val="single"/>
              </w:rPr>
              <w:t xml:space="preserve"> </w:t>
            </w:r>
            <w:r>
              <w:rPr>
                <w:rFonts w:hint="eastAsia" w:ascii="宋体" w:hAnsi="宋体" w:cs="宋体"/>
                <w:b/>
                <w:highlight w:val="none"/>
                <w:u w:val="single"/>
                <w:lang w:val="en-US" w:eastAsia="zh-CN"/>
              </w:rPr>
              <w:t>9</w:t>
            </w:r>
            <w:r>
              <w:rPr>
                <w:rFonts w:hint="eastAsia" w:ascii="宋体" w:hAnsi="宋体" w:eastAsia="宋体" w:cs="宋体"/>
                <w:b/>
                <w:highlight w:val="none"/>
                <w:u w:val="single"/>
              </w:rPr>
              <w:t xml:space="preserve"> </w:t>
            </w:r>
            <w:r>
              <w:rPr>
                <w:rFonts w:hint="eastAsia" w:ascii="宋体" w:hAnsi="宋体" w:eastAsia="宋体" w:cs="宋体"/>
                <w:b/>
                <w:szCs w:val="21"/>
                <w:highlight w:val="none"/>
              </w:rPr>
              <w:t>月</w:t>
            </w:r>
            <w:r>
              <w:rPr>
                <w:rFonts w:hint="eastAsia" w:ascii="宋体" w:hAnsi="宋体" w:cs="宋体"/>
                <w:b/>
                <w:szCs w:val="21"/>
                <w:highlight w:val="none"/>
                <w:u w:val="single"/>
                <w:lang w:val="en-US" w:eastAsia="zh-CN"/>
              </w:rPr>
              <w:t xml:space="preserve"> 22</w:t>
            </w:r>
            <w:r>
              <w:rPr>
                <w:rFonts w:hint="eastAsia" w:ascii="宋体" w:hAnsi="宋体" w:eastAsia="宋体" w:cs="宋体"/>
                <w:b/>
                <w:szCs w:val="21"/>
                <w:highlight w:val="none"/>
              </w:rPr>
              <w:t>日</w:t>
            </w:r>
            <w:r>
              <w:rPr>
                <w:rFonts w:hint="eastAsia" w:ascii="宋体" w:hAnsi="宋体" w:cs="宋体"/>
                <w:b/>
                <w:highlight w:val="none"/>
                <w:lang w:val="en-US" w:eastAsia="zh-CN"/>
              </w:rPr>
              <w:t>下</w:t>
            </w:r>
            <w:r>
              <w:rPr>
                <w:rFonts w:hint="eastAsia" w:ascii="宋体" w:hAnsi="宋体" w:eastAsia="宋体" w:cs="宋体"/>
                <w:b/>
                <w:highlight w:val="none"/>
              </w:rPr>
              <w:t xml:space="preserve">午 </w:t>
            </w:r>
            <w:r>
              <w:rPr>
                <w:rFonts w:hint="eastAsia" w:ascii="宋体" w:hAnsi="宋体" w:cs="宋体"/>
                <w:b/>
                <w:highlight w:val="none"/>
                <w:lang w:val="en-US" w:eastAsia="zh-CN"/>
              </w:rPr>
              <w:t>17:00</w:t>
            </w:r>
            <w:r>
              <w:rPr>
                <w:rFonts w:hint="eastAsia" w:ascii="宋体" w:hAnsi="宋体" w:eastAsia="宋体" w:cs="宋体"/>
                <w:b/>
                <w:highlight w:val="none"/>
              </w:rPr>
              <w:t>前</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2.2.2</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投标截止时间</w:t>
            </w:r>
          </w:p>
        </w:tc>
        <w:tc>
          <w:tcPr>
            <w:tcW w:w="484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szCs w:val="21"/>
                <w:highlight w:val="none"/>
              </w:rPr>
            </w:pPr>
            <w:r>
              <w:rPr>
                <w:rFonts w:hint="eastAsia" w:ascii="宋体" w:hAnsi="宋体" w:eastAsia="宋体" w:cs="宋体"/>
                <w:b/>
                <w:highlight w:val="none"/>
              </w:rPr>
              <w:t>2021年</w:t>
            </w:r>
            <w:r>
              <w:rPr>
                <w:rFonts w:hint="eastAsia" w:ascii="宋体" w:hAnsi="宋体" w:eastAsia="宋体" w:cs="宋体"/>
                <w:b/>
                <w:highlight w:val="none"/>
                <w:u w:val="single"/>
              </w:rPr>
              <w:t xml:space="preserve"> </w:t>
            </w:r>
            <w:r>
              <w:rPr>
                <w:rFonts w:hint="eastAsia" w:ascii="宋体" w:hAnsi="宋体" w:cs="宋体"/>
                <w:b/>
                <w:highlight w:val="none"/>
                <w:u w:val="single"/>
                <w:lang w:val="en-US" w:eastAsia="zh-CN"/>
              </w:rPr>
              <w:t>10</w:t>
            </w:r>
            <w:r>
              <w:rPr>
                <w:rFonts w:hint="eastAsia" w:ascii="宋体" w:hAnsi="宋体" w:eastAsia="宋体" w:cs="宋体"/>
                <w:b/>
                <w:highlight w:val="none"/>
                <w:u w:val="single"/>
              </w:rPr>
              <w:t xml:space="preserve"> </w:t>
            </w:r>
            <w:r>
              <w:rPr>
                <w:rFonts w:hint="eastAsia" w:ascii="宋体" w:hAnsi="宋体" w:eastAsia="宋体" w:cs="宋体"/>
                <w:b/>
                <w:highlight w:val="none"/>
              </w:rPr>
              <w:t>月</w:t>
            </w:r>
            <w:r>
              <w:rPr>
                <w:rFonts w:hint="eastAsia" w:ascii="宋体" w:hAnsi="宋体" w:eastAsia="宋体" w:cs="宋体"/>
                <w:b/>
                <w:highlight w:val="none"/>
                <w:u w:val="single"/>
              </w:rPr>
              <w:t xml:space="preserve"> </w:t>
            </w:r>
            <w:r>
              <w:rPr>
                <w:rFonts w:hint="eastAsia" w:ascii="宋体" w:hAnsi="宋体" w:cs="宋体"/>
                <w:b/>
                <w:highlight w:val="none"/>
                <w:u w:val="single"/>
                <w:lang w:val="en-US" w:eastAsia="zh-CN"/>
              </w:rPr>
              <w:t>15</w:t>
            </w:r>
            <w:r>
              <w:rPr>
                <w:rFonts w:hint="eastAsia" w:ascii="宋体" w:hAnsi="宋体" w:eastAsia="宋体" w:cs="宋体"/>
                <w:b/>
                <w:highlight w:val="none"/>
                <w:u w:val="single"/>
              </w:rPr>
              <w:t xml:space="preserve"> </w:t>
            </w:r>
            <w:r>
              <w:rPr>
                <w:rFonts w:hint="eastAsia" w:ascii="宋体" w:hAnsi="宋体" w:eastAsia="宋体" w:cs="宋体"/>
                <w:b/>
                <w:highlight w:val="none"/>
              </w:rPr>
              <w:t>日上午</w:t>
            </w:r>
            <w:r>
              <w:rPr>
                <w:rFonts w:hint="eastAsia" w:ascii="宋体" w:hAnsi="宋体" w:cs="宋体"/>
                <w:b/>
                <w:highlight w:val="none"/>
                <w:lang w:val="en-US" w:eastAsia="zh-CN"/>
              </w:rPr>
              <w:t>10</w:t>
            </w:r>
            <w:r>
              <w:rPr>
                <w:rFonts w:hint="eastAsia" w:ascii="宋体" w:hAnsi="宋体" w:eastAsia="宋体" w:cs="宋体"/>
                <w:b/>
                <w:highlight w:val="none"/>
              </w:rPr>
              <w:t>:</w:t>
            </w:r>
            <w:r>
              <w:rPr>
                <w:rFonts w:hint="eastAsia" w:ascii="宋体" w:hAnsi="宋体" w:cs="宋体"/>
                <w:b/>
                <w:highlight w:val="none"/>
                <w:lang w:val="en-US" w:eastAsia="zh-CN"/>
              </w:rPr>
              <w:t>0</w:t>
            </w:r>
            <w:r>
              <w:rPr>
                <w:rFonts w:hint="eastAsia" w:ascii="宋体" w:hAnsi="宋体" w:eastAsia="宋体" w:cs="宋体"/>
                <w:b/>
                <w:highlight w:val="none"/>
              </w:rPr>
              <w:t>0 时</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2.2.3</w:t>
            </w:r>
          </w:p>
        </w:tc>
        <w:tc>
          <w:tcPr>
            <w:tcW w:w="28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投标人确认收到招标文件澄清的时间</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u w:val="single"/>
              </w:rPr>
            </w:pPr>
            <w:r>
              <w:rPr>
                <w:rFonts w:hint="eastAsia" w:ascii="宋体" w:hAnsi="宋体" w:eastAsia="宋体" w:cs="宋体"/>
                <w:szCs w:val="21"/>
                <w:highlight w:val="none"/>
              </w:rPr>
              <w:t>在收到相应澄清文件后</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2.3.2</w:t>
            </w:r>
          </w:p>
        </w:tc>
        <w:tc>
          <w:tcPr>
            <w:tcW w:w="28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投标人确认收到招标文件修改的时间</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在收到相应修改文件后</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3.1.1</w:t>
            </w:r>
          </w:p>
        </w:tc>
        <w:tc>
          <w:tcPr>
            <w:tcW w:w="28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构成投标文件的其他材料</w:t>
            </w:r>
          </w:p>
        </w:tc>
        <w:tc>
          <w:tcPr>
            <w:tcW w:w="484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szCs w:val="21"/>
                <w:highlight w:val="none"/>
              </w:rPr>
            </w:pPr>
            <w:r>
              <w:rPr>
                <w:rFonts w:hint="eastAsia" w:ascii="宋体" w:hAnsi="宋体" w:eastAsia="宋体" w:cs="宋体"/>
                <w:szCs w:val="21"/>
                <w:highlight w:val="none"/>
                <w:u w:val="single"/>
              </w:rPr>
              <w:t>工程量清单报价投标文件电子版</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3.2.3</w:t>
            </w:r>
          </w:p>
        </w:tc>
        <w:tc>
          <w:tcPr>
            <w:tcW w:w="28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最高投标限价或其计算方法</w:t>
            </w:r>
          </w:p>
        </w:tc>
        <w:tc>
          <w:tcPr>
            <w:tcW w:w="4848"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Cs w:val="21"/>
                <w:highlight w:val="none"/>
              </w:rPr>
            </w:pPr>
            <w:r>
              <w:rPr>
                <w:rFonts w:hint="eastAsia" w:ascii="宋体" w:hAnsi="宋体" w:eastAsia="宋体" w:cs="宋体"/>
                <w:szCs w:val="21"/>
                <w:highlight w:val="none"/>
              </w:rPr>
              <w:t>预算金额：</w:t>
            </w:r>
            <w:r>
              <w:rPr>
                <w:rFonts w:hint="eastAsia" w:ascii="宋体" w:hAnsi="宋体" w:cs="宋体"/>
                <w:highlight w:val="none"/>
                <w:lang w:val="en-US" w:eastAsia="zh-CN"/>
              </w:rPr>
              <w:t>108.64009</w:t>
            </w:r>
            <w:r>
              <w:rPr>
                <w:rFonts w:hint="eastAsia" w:ascii="宋体" w:hAnsi="宋体" w:eastAsia="宋体" w:cs="宋体"/>
                <w:highlight w:val="none"/>
              </w:rPr>
              <w:t>万元</w:t>
            </w:r>
            <w:r>
              <w:rPr>
                <w:rFonts w:hint="eastAsia" w:ascii="宋体" w:hAnsi="宋体" w:eastAsia="宋体" w:cs="宋体"/>
                <w:szCs w:val="21"/>
                <w:highlight w:val="none"/>
              </w:rPr>
              <w:t>万元</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3.3.1</w:t>
            </w:r>
          </w:p>
        </w:tc>
        <w:tc>
          <w:tcPr>
            <w:tcW w:w="28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投标有效期</w:t>
            </w:r>
          </w:p>
        </w:tc>
        <w:tc>
          <w:tcPr>
            <w:tcW w:w="484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szCs w:val="21"/>
                <w:highlight w:val="none"/>
              </w:rPr>
            </w:pPr>
            <w:r>
              <w:rPr>
                <w:rFonts w:hint="eastAsia" w:ascii="宋体" w:hAnsi="宋体" w:eastAsia="宋体" w:cs="宋体"/>
                <w:szCs w:val="21"/>
                <w:highlight w:val="none"/>
              </w:rPr>
              <w:t>90日历天（从投标截止之日算起）</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bCs/>
                <w:szCs w:val="21"/>
                <w:highlight w:val="none"/>
              </w:rPr>
            </w:pPr>
            <w:r>
              <w:rPr>
                <w:rFonts w:hint="eastAsia" w:ascii="宋体" w:hAnsi="宋体" w:eastAsia="宋体" w:cs="宋体"/>
                <w:b/>
                <w:bCs/>
                <w:szCs w:val="21"/>
                <w:highlight w:val="none"/>
              </w:rPr>
              <w:t>3.4.1</w:t>
            </w:r>
          </w:p>
        </w:tc>
        <w:tc>
          <w:tcPr>
            <w:tcW w:w="28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bCs/>
                <w:szCs w:val="21"/>
                <w:highlight w:val="none"/>
              </w:rPr>
            </w:pPr>
            <w:r>
              <w:rPr>
                <w:rFonts w:hint="eastAsia" w:ascii="宋体" w:hAnsi="宋体" w:eastAsia="宋体" w:cs="宋体"/>
                <w:b/>
                <w:bCs/>
                <w:szCs w:val="21"/>
                <w:highlight w:val="none"/>
              </w:rPr>
              <w:t>投标保证金</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收取投标保证金1万元</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投标保证金必须从投标企业基本账户支付</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投标保证金收取金额及办法参照本招标文件附件：</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《上海教育建设管理咨询有限公司投标保证金提交和退还操作须知》</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3.5.2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hint="eastAsia" w:ascii="宋体" w:hAnsi="宋体" w:eastAsia="宋体" w:cs="宋体"/>
                <w:szCs w:val="21"/>
                <w:highlight w:val="none"/>
              </w:rPr>
            </w:pPr>
            <w:r>
              <w:rPr>
                <w:rFonts w:hint="eastAsia" w:ascii="宋体" w:hAnsi="宋体" w:eastAsia="宋体" w:cs="宋体"/>
                <w:szCs w:val="21"/>
                <w:highlight w:val="none"/>
              </w:rPr>
              <w:t>近年财务状况的年份要求</w:t>
            </w:r>
          </w:p>
        </w:tc>
        <w:tc>
          <w:tcPr>
            <w:tcW w:w="484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szCs w:val="21"/>
                <w:highlight w:val="none"/>
              </w:rPr>
            </w:pPr>
            <w:r>
              <w:rPr>
                <w:rFonts w:hint="eastAsia" w:ascii="宋体" w:hAnsi="宋体" w:eastAsia="宋体" w:cs="宋体"/>
                <w:szCs w:val="21"/>
                <w:highlight w:val="none"/>
                <w:u w:val="single"/>
              </w:rPr>
              <w:t xml:space="preserve">  2018-2020  </w:t>
            </w:r>
            <w:r>
              <w:rPr>
                <w:rFonts w:hint="eastAsia" w:ascii="宋体" w:hAnsi="宋体" w:eastAsia="宋体" w:cs="宋体"/>
                <w:szCs w:val="21"/>
                <w:highlight w:val="none"/>
              </w:rPr>
              <w:t>年</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3.5.3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hint="eastAsia" w:ascii="宋体" w:hAnsi="宋体" w:eastAsia="宋体" w:cs="宋体"/>
                <w:szCs w:val="21"/>
                <w:highlight w:val="none"/>
              </w:rPr>
            </w:pPr>
            <w:r>
              <w:rPr>
                <w:rFonts w:hint="eastAsia" w:ascii="宋体" w:hAnsi="宋体" w:eastAsia="宋体" w:cs="宋体"/>
                <w:szCs w:val="21"/>
                <w:highlight w:val="none"/>
              </w:rPr>
              <w:t>近年完成的类似项目的年份要求</w:t>
            </w:r>
          </w:p>
        </w:tc>
        <w:tc>
          <w:tcPr>
            <w:tcW w:w="484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szCs w:val="21"/>
                <w:highlight w:val="none"/>
              </w:rPr>
            </w:pPr>
            <w:r>
              <w:rPr>
                <w:rFonts w:hint="eastAsia" w:ascii="宋体" w:hAnsi="宋体" w:eastAsia="宋体" w:cs="宋体"/>
                <w:szCs w:val="21"/>
                <w:highlight w:val="none"/>
                <w:u w:val="single"/>
              </w:rPr>
              <w:t xml:space="preserve">  2018-2021  </w:t>
            </w:r>
            <w:r>
              <w:rPr>
                <w:rFonts w:hint="eastAsia" w:ascii="宋体" w:hAnsi="宋体" w:eastAsia="宋体" w:cs="宋体"/>
                <w:szCs w:val="21"/>
                <w:highlight w:val="none"/>
              </w:rPr>
              <w:t>年</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3.6.4</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投标文件副本份数</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ind w:left="840" w:hanging="840" w:hangingChars="400"/>
              <w:rPr>
                <w:rFonts w:hint="eastAsia" w:ascii="宋体" w:hAnsi="宋体" w:eastAsia="宋体" w:cs="宋体"/>
                <w:highlight w:val="none"/>
              </w:rPr>
            </w:pPr>
            <w:r>
              <w:rPr>
                <w:rFonts w:hint="eastAsia" w:ascii="宋体" w:hAnsi="宋体" w:eastAsia="宋体" w:cs="宋体"/>
                <w:szCs w:val="21"/>
                <w:highlight w:val="none"/>
              </w:rPr>
              <w:t>商务标 ：1正4副</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技术标：1正4副</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综合单价分析：1正</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电子文档：</w:t>
            </w:r>
            <w:r>
              <w:rPr>
                <w:rFonts w:hint="eastAsia" w:ascii="宋体" w:hAnsi="宋体" w:eastAsia="宋体" w:cs="宋体"/>
                <w:szCs w:val="21"/>
                <w:highlight w:val="none"/>
                <w:u w:val="single"/>
              </w:rPr>
              <w:t>1</w:t>
            </w:r>
            <w:r>
              <w:rPr>
                <w:rFonts w:hint="eastAsia" w:ascii="宋体" w:hAnsi="宋体" w:eastAsia="宋体" w:cs="宋体"/>
                <w:szCs w:val="21"/>
                <w:highlight w:val="none"/>
              </w:rPr>
              <w:t>份，含所有投标文件正本扫描件（*.PDF）及工程报价文件（*.GBQ6），投标电子文件中的投标单位简称必须使用中文名称，光盘外注明投标单位名称。</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3.6.5</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装订要求</w:t>
            </w:r>
          </w:p>
        </w:tc>
        <w:tc>
          <w:tcPr>
            <w:tcW w:w="4848" w:type="dxa"/>
            <w:tcBorders>
              <w:top w:val="single" w:color="auto" w:sz="4" w:space="0"/>
              <w:left w:val="single" w:color="auto" w:sz="4" w:space="0"/>
              <w:bottom w:val="single" w:color="auto" w:sz="4" w:space="0"/>
              <w:right w:val="single" w:color="auto" w:sz="4" w:space="0"/>
            </w:tcBorders>
            <w:vAlign w:val="center"/>
          </w:tcPr>
          <w:p>
            <w:pPr>
              <w:tabs>
                <w:tab w:val="left" w:pos="592"/>
              </w:tabs>
              <w:adjustRightInd w:val="0"/>
              <w:snapToGrid w:val="0"/>
              <w:spacing w:line="320" w:lineRule="exact"/>
              <w:jc w:val="left"/>
              <w:rPr>
                <w:rFonts w:hint="eastAsia" w:ascii="宋体" w:hAnsi="宋体" w:eastAsia="宋体" w:cs="宋体"/>
                <w:szCs w:val="21"/>
                <w:highlight w:val="none"/>
              </w:rPr>
            </w:pPr>
            <w:r>
              <w:rPr>
                <w:rFonts w:hint="eastAsia" w:ascii="宋体" w:hAnsi="宋体" w:eastAsia="宋体" w:cs="宋体"/>
                <w:szCs w:val="21"/>
                <w:highlight w:val="none"/>
              </w:rPr>
              <w:t>按照投标人须知第3.1.1项规定的投标文件组成内容，投标文件应按以下要求装订：</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□不分册装订</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■分册装订，不得采用活页装订，且不得使用硬质封面</w:t>
            </w:r>
          </w:p>
          <w:p>
            <w:pPr>
              <w:spacing w:line="320" w:lineRule="exact"/>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共分</w:t>
            </w:r>
            <w:r>
              <w:rPr>
                <w:rFonts w:hint="eastAsia" w:ascii="宋体" w:hAnsi="宋体" w:eastAsia="宋体" w:cs="宋体"/>
                <w:szCs w:val="21"/>
                <w:highlight w:val="none"/>
                <w:u w:val="single"/>
              </w:rPr>
              <w:t>3</w:t>
            </w:r>
            <w:r>
              <w:rPr>
                <w:rFonts w:hint="eastAsia" w:ascii="宋体" w:hAnsi="宋体" w:eastAsia="宋体" w:cs="宋体"/>
                <w:szCs w:val="21"/>
                <w:highlight w:val="none"/>
              </w:rPr>
              <w:t>册，分别为：</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 xml:space="preserve">   </w:t>
            </w:r>
            <w:r>
              <w:rPr>
                <w:rFonts w:hint="eastAsia" w:ascii="宋体" w:hAnsi="宋体" w:eastAsia="宋体" w:cs="宋体"/>
                <w:b/>
                <w:szCs w:val="21"/>
                <w:highlight w:val="none"/>
              </w:rPr>
              <w:t>商务标</w:t>
            </w:r>
            <w:r>
              <w:rPr>
                <w:rFonts w:hint="eastAsia" w:ascii="宋体" w:hAnsi="宋体" w:eastAsia="宋体" w:cs="宋体"/>
                <w:szCs w:val="21"/>
                <w:highlight w:val="none"/>
              </w:rPr>
              <w:t>：3.1.1商务部分内容</w:t>
            </w:r>
          </w:p>
          <w:p>
            <w:pPr>
              <w:spacing w:line="320" w:lineRule="exact"/>
              <w:ind w:left="315" w:hanging="315" w:hangingChars="150"/>
              <w:rPr>
                <w:rFonts w:hint="eastAsia" w:ascii="宋体" w:hAnsi="宋体" w:eastAsia="宋体" w:cs="宋体"/>
                <w:szCs w:val="21"/>
                <w:highlight w:val="none"/>
              </w:rPr>
            </w:pPr>
            <w:r>
              <w:rPr>
                <w:rFonts w:hint="eastAsia" w:ascii="宋体" w:hAnsi="宋体" w:eastAsia="宋体" w:cs="宋体"/>
                <w:szCs w:val="21"/>
                <w:highlight w:val="none"/>
              </w:rPr>
              <w:t xml:space="preserve">   </w:t>
            </w:r>
            <w:r>
              <w:rPr>
                <w:rFonts w:hint="eastAsia" w:ascii="宋体" w:hAnsi="宋体" w:eastAsia="宋体" w:cs="宋体"/>
                <w:b/>
                <w:szCs w:val="21"/>
                <w:highlight w:val="none"/>
              </w:rPr>
              <w:t>技术标</w:t>
            </w:r>
            <w:r>
              <w:rPr>
                <w:rFonts w:hint="eastAsia" w:ascii="宋体" w:hAnsi="宋体" w:eastAsia="宋体" w:cs="宋体"/>
                <w:szCs w:val="21"/>
                <w:highlight w:val="none"/>
              </w:rPr>
              <w:t>：3.1.1技术部分内容，内容应针对该项目的关键技术、工艺、重点、难点，避免投标单位把标准、规范、规程、工法的具体内容载入技术标，但采用新工艺、新技术、新工法或招标文件有特殊要求的除外。文字部分统一采用宋体小四号字，行距为1.5倍，纸张规格为A4（除个别资料如平面布置图、进度计划可采用A3纸），</w:t>
            </w:r>
          </w:p>
          <w:p>
            <w:pPr>
              <w:spacing w:line="320" w:lineRule="exact"/>
              <w:ind w:firstLine="316" w:firstLineChars="150"/>
              <w:rPr>
                <w:rFonts w:hint="eastAsia" w:ascii="宋体" w:hAnsi="宋体" w:eastAsia="宋体" w:cs="宋体"/>
                <w:szCs w:val="21"/>
                <w:highlight w:val="none"/>
              </w:rPr>
            </w:pPr>
            <w:r>
              <w:rPr>
                <w:rFonts w:hint="eastAsia" w:ascii="宋体" w:hAnsi="宋体" w:eastAsia="宋体" w:cs="宋体"/>
                <w:b/>
                <w:szCs w:val="21"/>
                <w:highlight w:val="none"/>
              </w:rPr>
              <w:t>综合单价分析</w:t>
            </w:r>
            <w:r>
              <w:rPr>
                <w:rFonts w:hint="eastAsia" w:ascii="宋体" w:hAnsi="宋体" w:eastAsia="宋体" w:cs="宋体"/>
                <w:szCs w:val="21"/>
                <w:highlight w:val="none"/>
              </w:rPr>
              <w:t>，包括所有项目的综合单价分析1份</w:t>
            </w:r>
            <w:r>
              <w:rPr>
                <w:rStyle w:val="62"/>
                <w:rFonts w:hint="eastAsia" w:ascii="宋体" w:hAnsi="宋体" w:eastAsia="宋体" w:cs="宋体"/>
                <w:highlight w:val="none"/>
              </w:rPr>
              <w:t>（详见工程量清单）</w:t>
            </w:r>
          </w:p>
          <w:p>
            <w:pPr>
              <w:tabs>
                <w:tab w:val="left" w:pos="592"/>
              </w:tabs>
              <w:adjustRightInd w:val="0"/>
              <w:snapToGrid w:val="0"/>
              <w:spacing w:line="320" w:lineRule="exact"/>
              <w:ind w:left="321" w:leftChars="153" w:firstLine="1"/>
              <w:jc w:val="left"/>
              <w:rPr>
                <w:rFonts w:hint="eastAsia" w:ascii="宋体" w:hAnsi="宋体" w:eastAsia="宋体" w:cs="宋体"/>
                <w:szCs w:val="21"/>
                <w:highlight w:val="none"/>
              </w:rPr>
            </w:pPr>
            <w:r>
              <w:rPr>
                <w:rFonts w:hint="eastAsia" w:ascii="宋体" w:hAnsi="宋体" w:eastAsia="宋体" w:cs="宋体"/>
                <w:szCs w:val="21"/>
                <w:highlight w:val="none"/>
              </w:rPr>
              <w:t>上述文件均应采用双面印制（图纸除外）。</w:t>
            </w:r>
          </w:p>
          <w:p>
            <w:pPr>
              <w:tabs>
                <w:tab w:val="left" w:pos="592"/>
              </w:tabs>
              <w:adjustRightInd w:val="0"/>
              <w:snapToGrid w:val="0"/>
              <w:spacing w:line="320" w:lineRule="exact"/>
              <w:ind w:left="321" w:leftChars="153" w:firstLine="1"/>
              <w:jc w:val="left"/>
              <w:rPr>
                <w:rFonts w:hint="eastAsia" w:ascii="宋体" w:hAnsi="宋体" w:eastAsia="宋体" w:cs="宋体"/>
                <w:b/>
                <w:szCs w:val="21"/>
                <w:highlight w:val="none"/>
                <w:u w:val="single"/>
              </w:rPr>
            </w:pPr>
            <w:r>
              <w:rPr>
                <w:rFonts w:hint="eastAsia" w:ascii="宋体" w:hAnsi="宋体" w:eastAsia="宋体" w:cs="宋体"/>
                <w:b/>
                <w:szCs w:val="21"/>
                <w:highlight w:val="none"/>
                <w:u w:val="single"/>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页以及样本或图片等技术资料也必须连续编制页码</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4.1.2</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封套上应载明的信息</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bookmarkStart w:id="77" w:name="_Toc331170946"/>
            <w:r>
              <w:rPr>
                <w:rFonts w:hint="eastAsia" w:ascii="宋体" w:hAnsi="宋体" w:eastAsia="宋体" w:cs="宋体"/>
                <w:szCs w:val="21"/>
                <w:highlight w:val="none"/>
              </w:rPr>
              <w:t>招标人名称：</w:t>
            </w:r>
            <w:bookmarkEnd w:id="77"/>
            <w:r>
              <w:rPr>
                <w:rFonts w:hint="eastAsia" w:ascii="宋体" w:hAnsi="宋体" w:eastAsia="宋体" w:cs="宋体"/>
                <w:szCs w:val="21"/>
                <w:highlight w:val="none"/>
              </w:rPr>
              <w:t>复旦大学</w:t>
            </w:r>
          </w:p>
          <w:p>
            <w:pPr>
              <w:spacing w:line="320" w:lineRule="exact"/>
              <w:rPr>
                <w:rFonts w:hint="eastAsia" w:ascii="宋体" w:hAnsi="宋体" w:eastAsia="宋体" w:cs="宋体"/>
                <w:szCs w:val="21"/>
                <w:highlight w:val="none"/>
              </w:rPr>
            </w:pPr>
            <w:bookmarkStart w:id="78" w:name="_Toc331170947"/>
            <w:r>
              <w:rPr>
                <w:rFonts w:hint="eastAsia" w:ascii="宋体" w:hAnsi="宋体" w:eastAsia="宋体" w:cs="宋体"/>
                <w:szCs w:val="21"/>
                <w:highlight w:val="none"/>
                <w:u w:val="single"/>
              </w:rPr>
              <w:t>复旦大学江湾校区融合创新二号楼项目绿化搬迁工程</w:t>
            </w:r>
            <w:r>
              <w:rPr>
                <w:rFonts w:hint="eastAsia" w:ascii="宋体" w:hAnsi="宋体" w:eastAsia="宋体" w:cs="宋体"/>
                <w:szCs w:val="21"/>
                <w:highlight w:val="none"/>
              </w:rPr>
              <w:t>投标文件</w:t>
            </w:r>
            <w:bookmarkEnd w:id="78"/>
          </w:p>
          <w:p>
            <w:pPr>
              <w:spacing w:line="320" w:lineRule="exact"/>
              <w:rPr>
                <w:rFonts w:hint="eastAsia" w:ascii="宋体" w:hAnsi="宋体" w:eastAsia="宋体" w:cs="宋体"/>
                <w:szCs w:val="21"/>
                <w:highlight w:val="none"/>
              </w:rPr>
            </w:pPr>
            <w:bookmarkStart w:id="79" w:name="_Toc331170948"/>
            <w:r>
              <w:rPr>
                <w:rFonts w:hint="eastAsia" w:ascii="宋体" w:hAnsi="宋体" w:eastAsia="宋体" w:cs="宋体"/>
                <w:szCs w:val="21"/>
                <w:highlight w:val="none"/>
              </w:rPr>
              <w:t>在</w:t>
            </w:r>
            <w:r>
              <w:rPr>
                <w:rFonts w:hint="eastAsia" w:ascii="宋体" w:hAnsi="宋体" w:eastAsia="宋体" w:cs="宋体"/>
                <w:b/>
                <w:szCs w:val="21"/>
                <w:highlight w:val="none"/>
                <w:u w:val="single"/>
              </w:rPr>
              <w:t xml:space="preserve"> 2021 </w:t>
            </w:r>
            <w:r>
              <w:rPr>
                <w:rFonts w:hint="eastAsia" w:ascii="宋体" w:hAnsi="宋体" w:eastAsia="宋体" w:cs="宋体"/>
                <w:b/>
                <w:szCs w:val="21"/>
                <w:highlight w:val="none"/>
              </w:rPr>
              <w:t>年</w:t>
            </w:r>
            <w:r>
              <w:rPr>
                <w:rFonts w:hint="eastAsia" w:ascii="宋体" w:hAnsi="宋体" w:cs="宋体"/>
                <w:b/>
                <w:szCs w:val="21"/>
                <w:highlight w:val="none"/>
                <w:u w:val="single"/>
                <w:lang w:val="en-US" w:eastAsia="zh-CN"/>
              </w:rPr>
              <w:t>10</w:t>
            </w:r>
            <w:r>
              <w:rPr>
                <w:rFonts w:hint="eastAsia" w:ascii="宋体" w:hAnsi="宋体" w:eastAsia="宋体" w:cs="宋体"/>
                <w:b/>
                <w:szCs w:val="21"/>
                <w:highlight w:val="none"/>
              </w:rPr>
              <w:t>月</w:t>
            </w:r>
            <w:r>
              <w:rPr>
                <w:rFonts w:hint="eastAsia" w:ascii="宋体" w:hAnsi="宋体" w:cs="宋体"/>
                <w:b/>
                <w:szCs w:val="21"/>
                <w:highlight w:val="none"/>
                <w:u w:val="single"/>
                <w:lang w:val="en-US" w:eastAsia="zh-CN"/>
              </w:rPr>
              <w:t>15</w:t>
            </w:r>
            <w:r>
              <w:rPr>
                <w:rFonts w:hint="eastAsia" w:ascii="宋体" w:hAnsi="宋体" w:eastAsia="宋体" w:cs="宋体"/>
                <w:b/>
                <w:szCs w:val="21"/>
                <w:highlight w:val="none"/>
              </w:rPr>
              <w:t>日</w:t>
            </w:r>
            <w:r>
              <w:rPr>
                <w:rFonts w:hint="eastAsia" w:ascii="宋体" w:hAnsi="宋体" w:eastAsia="宋体" w:cs="宋体"/>
                <w:b/>
                <w:szCs w:val="21"/>
                <w:highlight w:val="none"/>
                <w:u w:val="single"/>
              </w:rPr>
              <w:t xml:space="preserve"> </w:t>
            </w:r>
            <w:r>
              <w:rPr>
                <w:rFonts w:hint="eastAsia" w:ascii="宋体" w:hAnsi="宋体" w:cs="宋体"/>
                <w:b/>
                <w:szCs w:val="21"/>
                <w:highlight w:val="none"/>
                <w:u w:val="single"/>
                <w:lang w:val="en-US" w:eastAsia="zh-CN"/>
              </w:rPr>
              <w:t>10</w:t>
            </w:r>
            <w:r>
              <w:rPr>
                <w:rFonts w:hint="eastAsia" w:ascii="宋体" w:hAnsi="宋体" w:eastAsia="宋体" w:cs="宋体"/>
                <w:b/>
                <w:szCs w:val="21"/>
                <w:highlight w:val="none"/>
                <w:u w:val="single"/>
              </w:rPr>
              <w:t xml:space="preserve"> </w:t>
            </w:r>
            <w:r>
              <w:rPr>
                <w:rFonts w:hint="eastAsia" w:ascii="宋体" w:hAnsi="宋体" w:eastAsia="宋体" w:cs="宋体"/>
                <w:b/>
                <w:szCs w:val="21"/>
                <w:highlight w:val="none"/>
              </w:rPr>
              <w:t>时</w:t>
            </w:r>
            <w:r>
              <w:rPr>
                <w:rFonts w:hint="eastAsia" w:ascii="宋体" w:hAnsi="宋体" w:eastAsia="宋体" w:cs="宋体"/>
                <w:b/>
                <w:szCs w:val="21"/>
                <w:highlight w:val="none"/>
                <w:u w:val="single"/>
              </w:rPr>
              <w:t xml:space="preserve"> </w:t>
            </w:r>
            <w:r>
              <w:rPr>
                <w:rFonts w:hint="eastAsia" w:ascii="宋体" w:hAnsi="宋体" w:cs="宋体"/>
                <w:b/>
                <w:szCs w:val="21"/>
                <w:highlight w:val="none"/>
                <w:u w:val="single"/>
                <w:lang w:val="en-US" w:eastAsia="zh-CN"/>
              </w:rPr>
              <w:t>0</w:t>
            </w:r>
            <w:r>
              <w:rPr>
                <w:rFonts w:hint="eastAsia" w:ascii="宋体" w:hAnsi="宋体" w:eastAsia="宋体" w:cs="宋体"/>
                <w:b/>
                <w:szCs w:val="21"/>
                <w:highlight w:val="none"/>
                <w:u w:val="single"/>
              </w:rPr>
              <w:t xml:space="preserve">0 </w:t>
            </w:r>
            <w:r>
              <w:rPr>
                <w:rFonts w:hint="eastAsia" w:ascii="宋体" w:hAnsi="宋体" w:eastAsia="宋体" w:cs="宋体"/>
                <w:b/>
                <w:szCs w:val="21"/>
                <w:highlight w:val="none"/>
              </w:rPr>
              <w:t>分</w:t>
            </w:r>
            <w:r>
              <w:rPr>
                <w:rFonts w:hint="eastAsia" w:ascii="宋体" w:hAnsi="宋体" w:eastAsia="宋体" w:cs="宋体"/>
                <w:szCs w:val="21"/>
                <w:highlight w:val="none"/>
              </w:rPr>
              <w:t>前不得开启</w:t>
            </w:r>
            <w:bookmarkEnd w:id="79"/>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4.2.2</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递交投标文件地点</w:t>
            </w:r>
          </w:p>
        </w:tc>
        <w:tc>
          <w:tcPr>
            <w:tcW w:w="484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szCs w:val="21"/>
                <w:highlight w:val="none"/>
              </w:rPr>
            </w:pPr>
            <w:r>
              <w:rPr>
                <w:rFonts w:hint="eastAsia" w:ascii="宋体" w:hAnsi="宋体" w:eastAsia="宋体" w:cs="宋体"/>
                <w:sz w:val="21"/>
                <w:szCs w:val="21"/>
                <w:highlight w:val="none"/>
                <w:u w:val="single"/>
              </w:rPr>
              <w:t>徐汇区钦江路88号东六楼626室（开标室详见电梯间大屏幕）</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4.2.3</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是否退还投标文件</w:t>
            </w:r>
          </w:p>
        </w:tc>
        <w:tc>
          <w:tcPr>
            <w:tcW w:w="4848" w:type="dxa"/>
            <w:tcBorders>
              <w:top w:val="single" w:color="auto" w:sz="4" w:space="0"/>
              <w:left w:val="single" w:color="auto" w:sz="4" w:space="0"/>
              <w:bottom w:val="single" w:color="auto" w:sz="4" w:space="0"/>
              <w:right w:val="single" w:color="auto" w:sz="4" w:space="0"/>
            </w:tcBorders>
            <w:vAlign w:val="center"/>
          </w:tcPr>
          <w:p>
            <w:pPr>
              <w:pStyle w:val="20"/>
              <w:topLinePunct/>
              <w:spacing w:after="0" w:line="320" w:lineRule="exact"/>
              <w:rPr>
                <w:rFonts w:hint="eastAsia" w:ascii="宋体" w:hAnsi="宋体" w:eastAsia="宋体" w:cs="宋体"/>
                <w:sz w:val="21"/>
                <w:szCs w:val="21"/>
                <w:highlight w:val="none"/>
                <w:lang w:val="en-US"/>
              </w:rPr>
            </w:pPr>
            <w:r>
              <w:rPr>
                <w:rFonts w:hint="eastAsia" w:ascii="宋体" w:hAnsi="宋体" w:eastAsia="宋体" w:cs="宋体"/>
                <w:sz w:val="21"/>
                <w:szCs w:val="21"/>
                <w:highlight w:val="none"/>
                <w:lang w:val="en-US"/>
              </w:rPr>
              <w:t>■否</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□是</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5.1</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投标人代表出席开标会需提交的材料</w:t>
            </w:r>
          </w:p>
        </w:tc>
        <w:tc>
          <w:tcPr>
            <w:tcW w:w="4848" w:type="dxa"/>
            <w:tcBorders>
              <w:top w:val="single" w:color="auto" w:sz="4" w:space="0"/>
              <w:left w:val="single" w:color="auto" w:sz="4" w:space="0"/>
              <w:bottom w:val="single" w:color="auto" w:sz="4" w:space="0"/>
              <w:right w:val="single" w:color="auto" w:sz="4" w:space="0"/>
            </w:tcBorders>
            <w:vAlign w:val="center"/>
          </w:tcPr>
          <w:p>
            <w:pPr>
              <w:pStyle w:val="20"/>
              <w:topLinePunct/>
              <w:spacing w:after="0" w:line="320" w:lineRule="exact"/>
              <w:rPr>
                <w:rFonts w:hint="eastAsia" w:ascii="宋体" w:hAnsi="宋体" w:eastAsia="宋体" w:cs="宋体"/>
                <w:sz w:val="21"/>
                <w:szCs w:val="21"/>
                <w:highlight w:val="none"/>
                <w:lang w:val="en-US"/>
              </w:rPr>
            </w:pPr>
            <w:r>
              <w:rPr>
                <w:rFonts w:hint="eastAsia" w:ascii="宋体" w:hAnsi="宋体" w:eastAsia="宋体" w:cs="宋体"/>
                <w:sz w:val="21"/>
                <w:szCs w:val="21"/>
                <w:highlight w:val="none"/>
                <w:lang w:val="en-US"/>
              </w:rPr>
              <w:t>法定代表人出席需携带：</w:t>
            </w:r>
          </w:p>
          <w:p>
            <w:pPr>
              <w:pStyle w:val="20"/>
              <w:topLinePunct/>
              <w:spacing w:after="0" w:line="320" w:lineRule="exact"/>
              <w:rPr>
                <w:rFonts w:hint="eastAsia" w:ascii="宋体" w:hAnsi="宋体" w:eastAsia="宋体" w:cs="宋体"/>
                <w:sz w:val="21"/>
                <w:szCs w:val="21"/>
                <w:highlight w:val="none"/>
                <w:lang w:val="en-US"/>
              </w:rPr>
            </w:pPr>
            <w:r>
              <w:rPr>
                <w:rFonts w:hint="eastAsia" w:ascii="宋体" w:hAnsi="宋体" w:eastAsia="宋体" w:cs="宋体"/>
                <w:sz w:val="21"/>
                <w:szCs w:val="21"/>
                <w:highlight w:val="none"/>
                <w:lang w:val="en-US"/>
              </w:rPr>
              <w:t>（1）法定代表人证明原件；</w:t>
            </w:r>
          </w:p>
          <w:p>
            <w:pPr>
              <w:pStyle w:val="20"/>
              <w:topLinePunct/>
              <w:spacing w:after="0" w:line="320" w:lineRule="exact"/>
              <w:rPr>
                <w:rFonts w:hint="eastAsia" w:ascii="宋体" w:hAnsi="宋体" w:eastAsia="宋体" w:cs="宋体"/>
                <w:sz w:val="21"/>
                <w:szCs w:val="21"/>
                <w:highlight w:val="none"/>
                <w:lang w:val="en-US"/>
              </w:rPr>
            </w:pPr>
            <w:r>
              <w:rPr>
                <w:rFonts w:hint="eastAsia" w:ascii="宋体" w:hAnsi="宋体" w:eastAsia="宋体" w:cs="宋体"/>
                <w:sz w:val="21"/>
                <w:szCs w:val="21"/>
                <w:highlight w:val="none"/>
                <w:lang w:val="en-US"/>
              </w:rPr>
              <w:t>（2）法定代表人身份证明原件及复印件；</w:t>
            </w:r>
          </w:p>
          <w:p>
            <w:pPr>
              <w:pStyle w:val="20"/>
              <w:topLinePunct/>
              <w:spacing w:after="0" w:line="320" w:lineRule="exact"/>
              <w:rPr>
                <w:rFonts w:hint="eastAsia" w:ascii="宋体" w:hAnsi="宋体" w:eastAsia="宋体" w:cs="宋体"/>
                <w:sz w:val="21"/>
                <w:szCs w:val="21"/>
                <w:highlight w:val="none"/>
                <w:lang w:val="en-US"/>
              </w:rPr>
            </w:pPr>
            <w:r>
              <w:rPr>
                <w:rFonts w:hint="eastAsia" w:ascii="宋体" w:hAnsi="宋体" w:eastAsia="宋体" w:cs="宋体"/>
                <w:sz w:val="21"/>
                <w:szCs w:val="21"/>
                <w:highlight w:val="none"/>
                <w:lang w:val="en-US"/>
              </w:rPr>
              <w:t>委托代理人出席需携带：</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（1）投标人的法定代表人证明原件；</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（2）法定代表人授权委托书原件；</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（3）委托代理人身份证明原件及复印件；</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未按上述要求单独携带以上资料的视为自行放弃投标</w:t>
            </w:r>
          </w:p>
        </w:tc>
      </w:tr>
      <w:tr>
        <w:tblPrEx>
          <w:tblCellMar>
            <w:top w:w="0" w:type="dxa"/>
            <w:left w:w="108" w:type="dxa"/>
            <w:bottom w:w="0" w:type="dxa"/>
            <w:right w:w="108" w:type="dxa"/>
          </w:tblCellMar>
        </w:tblPrEx>
        <w:trPr>
          <w:trHeight w:val="752" w:hRule="atLeast"/>
        </w:trPr>
        <w:tc>
          <w:tcPr>
            <w:tcW w:w="1135" w:type="dxa"/>
            <w:tcBorders>
              <w:top w:val="single" w:color="auto" w:sz="4" w:space="0"/>
              <w:left w:val="single" w:color="auto" w:sz="4" w:space="0"/>
              <w:bottom w:val="single" w:color="auto" w:sz="2" w:space="0"/>
              <w:right w:val="single" w:color="auto" w:sz="4" w:space="0"/>
            </w:tcBorders>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5.2</w:t>
            </w:r>
          </w:p>
        </w:tc>
        <w:tc>
          <w:tcPr>
            <w:tcW w:w="2835" w:type="dxa"/>
            <w:tcBorders>
              <w:top w:val="single" w:color="auto" w:sz="4" w:space="0"/>
              <w:left w:val="single" w:color="auto" w:sz="4" w:space="0"/>
              <w:bottom w:val="single" w:color="auto" w:sz="2" w:space="0"/>
              <w:right w:val="single" w:color="auto" w:sz="4" w:space="0"/>
            </w:tcBorders>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开标时间和地点</w:t>
            </w:r>
          </w:p>
        </w:tc>
        <w:tc>
          <w:tcPr>
            <w:tcW w:w="4848" w:type="dxa"/>
            <w:tcBorders>
              <w:top w:val="single" w:color="auto" w:sz="4" w:space="0"/>
              <w:left w:val="single" w:color="auto" w:sz="4" w:space="0"/>
              <w:bottom w:val="single" w:color="auto" w:sz="2" w:space="0"/>
              <w:right w:val="single" w:color="auto" w:sz="4" w:space="0"/>
            </w:tcBorders>
            <w:vAlign w:val="center"/>
          </w:tcPr>
          <w:p>
            <w:pPr>
              <w:spacing w:line="320" w:lineRule="exact"/>
              <w:rPr>
                <w:rFonts w:hint="eastAsia" w:ascii="宋体" w:hAnsi="宋体" w:eastAsia="宋体" w:cs="宋体"/>
                <w:szCs w:val="21"/>
                <w:highlight w:val="none"/>
                <w:u w:val="single"/>
              </w:rPr>
            </w:pPr>
            <w:r>
              <w:rPr>
                <w:rFonts w:hint="eastAsia" w:ascii="宋体" w:hAnsi="宋体" w:eastAsia="宋体" w:cs="宋体"/>
                <w:szCs w:val="21"/>
                <w:highlight w:val="none"/>
              </w:rPr>
              <w:t>开标时间：</w:t>
            </w:r>
            <w:r>
              <w:rPr>
                <w:rFonts w:hint="eastAsia" w:ascii="宋体" w:hAnsi="宋体" w:eastAsia="宋体" w:cs="宋体"/>
                <w:szCs w:val="21"/>
                <w:highlight w:val="none"/>
                <w:u w:val="single"/>
              </w:rPr>
              <w:t>2021年</w:t>
            </w:r>
            <w:r>
              <w:rPr>
                <w:rFonts w:hint="eastAsia" w:ascii="宋体" w:hAnsi="宋体" w:cs="宋体"/>
                <w:szCs w:val="21"/>
                <w:highlight w:val="none"/>
                <w:u w:val="single"/>
                <w:lang w:val="en-US" w:eastAsia="zh-CN"/>
              </w:rPr>
              <w:t>10</w:t>
            </w:r>
            <w:r>
              <w:rPr>
                <w:rFonts w:hint="eastAsia" w:ascii="宋体" w:hAnsi="宋体" w:eastAsia="宋体" w:cs="宋体"/>
                <w:szCs w:val="21"/>
                <w:highlight w:val="none"/>
                <w:u w:val="single"/>
              </w:rPr>
              <w:t>月</w:t>
            </w:r>
            <w:r>
              <w:rPr>
                <w:rFonts w:hint="eastAsia" w:ascii="宋体" w:hAnsi="宋体" w:cs="宋体"/>
                <w:szCs w:val="21"/>
                <w:highlight w:val="none"/>
                <w:u w:val="single"/>
                <w:lang w:val="en-US" w:eastAsia="zh-CN"/>
              </w:rPr>
              <w:t>15</w:t>
            </w:r>
            <w:r>
              <w:rPr>
                <w:rFonts w:hint="eastAsia" w:ascii="宋体" w:hAnsi="宋体" w:eastAsia="宋体" w:cs="宋体"/>
                <w:szCs w:val="21"/>
                <w:highlight w:val="none"/>
                <w:u w:val="single"/>
              </w:rPr>
              <w:t>日</w:t>
            </w:r>
            <w:r>
              <w:rPr>
                <w:rFonts w:hint="eastAsia" w:ascii="宋体" w:hAnsi="宋体" w:cs="宋体"/>
                <w:szCs w:val="21"/>
                <w:highlight w:val="none"/>
                <w:u w:val="single"/>
                <w:lang w:val="en-US" w:eastAsia="zh-CN"/>
              </w:rPr>
              <w:t>10</w:t>
            </w:r>
            <w:r>
              <w:rPr>
                <w:rFonts w:hint="eastAsia" w:ascii="宋体" w:hAnsi="宋体" w:eastAsia="宋体" w:cs="宋体"/>
                <w:szCs w:val="21"/>
                <w:highlight w:val="none"/>
                <w:u w:val="single"/>
              </w:rPr>
              <w:t xml:space="preserve"> 时</w:t>
            </w:r>
            <w:r>
              <w:rPr>
                <w:rFonts w:hint="eastAsia" w:ascii="宋体" w:hAnsi="宋体" w:cs="宋体"/>
                <w:szCs w:val="21"/>
                <w:highlight w:val="none"/>
                <w:u w:val="single"/>
                <w:lang w:val="en-US" w:eastAsia="zh-CN"/>
              </w:rPr>
              <w:t>0</w:t>
            </w:r>
            <w:r>
              <w:rPr>
                <w:rFonts w:hint="eastAsia" w:ascii="宋体" w:hAnsi="宋体" w:eastAsia="宋体" w:cs="宋体"/>
                <w:szCs w:val="21"/>
                <w:highlight w:val="none"/>
                <w:u w:val="single"/>
              </w:rPr>
              <w:t>0 分</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开标地点：</w:t>
            </w:r>
            <w:r>
              <w:rPr>
                <w:rFonts w:hint="eastAsia" w:ascii="宋体" w:hAnsi="宋体" w:eastAsia="宋体" w:cs="宋体"/>
                <w:sz w:val="21"/>
                <w:szCs w:val="21"/>
                <w:highlight w:val="none"/>
                <w:u w:val="single"/>
              </w:rPr>
              <w:t>徐汇区钦江路88号东六楼626室（开标室详见电梯间大屏幕）</w:t>
            </w:r>
          </w:p>
        </w:tc>
      </w:tr>
      <w:tr>
        <w:tblPrEx>
          <w:tblCellMar>
            <w:top w:w="0" w:type="dxa"/>
            <w:left w:w="108" w:type="dxa"/>
            <w:bottom w:w="0" w:type="dxa"/>
            <w:right w:w="108" w:type="dxa"/>
          </w:tblCellMar>
        </w:tblPrEx>
        <w:trPr>
          <w:trHeight w:val="3646" w:hRule="atLeast"/>
        </w:trPr>
        <w:tc>
          <w:tcPr>
            <w:tcW w:w="1135" w:type="dxa"/>
            <w:tcBorders>
              <w:top w:val="single" w:color="auto" w:sz="2" w:space="0"/>
              <w:left w:val="single" w:color="auto" w:sz="2" w:space="0"/>
              <w:bottom w:val="single" w:color="auto" w:sz="2" w:space="0"/>
              <w:right w:val="single" w:color="auto" w:sz="2"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5.3</w:t>
            </w:r>
          </w:p>
        </w:tc>
        <w:tc>
          <w:tcPr>
            <w:tcW w:w="2835" w:type="dxa"/>
            <w:tcBorders>
              <w:top w:val="single" w:color="auto" w:sz="2" w:space="0"/>
              <w:left w:val="single" w:color="auto" w:sz="2" w:space="0"/>
              <w:bottom w:val="single" w:color="auto" w:sz="2" w:space="0"/>
              <w:right w:val="single" w:color="auto" w:sz="2"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开标程序</w:t>
            </w:r>
          </w:p>
        </w:tc>
        <w:tc>
          <w:tcPr>
            <w:tcW w:w="4848" w:type="dxa"/>
            <w:tcBorders>
              <w:top w:val="single" w:color="auto" w:sz="2" w:space="0"/>
              <w:left w:val="single" w:color="auto" w:sz="2" w:space="0"/>
              <w:bottom w:val="single" w:color="auto" w:sz="2" w:space="0"/>
              <w:right w:val="single" w:color="auto" w:sz="2" w:space="0"/>
            </w:tcBorders>
            <w:vAlign w:val="center"/>
          </w:tcPr>
          <w:p>
            <w:pPr>
              <w:snapToGrid w:val="0"/>
              <w:spacing w:line="320" w:lineRule="exact"/>
              <w:rPr>
                <w:rFonts w:hint="eastAsia" w:ascii="宋体" w:hAnsi="宋体" w:eastAsia="宋体" w:cs="宋体"/>
                <w:szCs w:val="21"/>
                <w:highlight w:val="none"/>
              </w:rPr>
            </w:pPr>
            <w:r>
              <w:rPr>
                <w:rFonts w:hint="eastAsia" w:ascii="宋体" w:hAnsi="宋体" w:eastAsia="宋体" w:cs="宋体"/>
                <w:szCs w:val="21"/>
                <w:highlight w:val="none"/>
              </w:rPr>
              <w:t>密封情况检查：</w:t>
            </w:r>
          </w:p>
          <w:p>
            <w:pPr>
              <w:numPr>
                <w:ilvl w:val="0"/>
                <w:numId w:val="4"/>
              </w:numPr>
              <w:tabs>
                <w:tab w:val="left" w:pos="712"/>
              </w:tabs>
              <w:adjustRightInd w:val="0"/>
              <w:snapToGrid w:val="0"/>
              <w:spacing w:line="320" w:lineRule="exact"/>
              <w:jc w:val="left"/>
              <w:rPr>
                <w:rFonts w:hint="eastAsia" w:ascii="宋体" w:hAnsi="宋体" w:eastAsia="宋体" w:cs="宋体"/>
                <w:szCs w:val="21"/>
                <w:highlight w:val="none"/>
              </w:rPr>
            </w:pPr>
            <w:r>
              <w:rPr>
                <w:rFonts w:hint="eastAsia" w:ascii="宋体" w:hAnsi="宋体" w:eastAsia="宋体" w:cs="宋体"/>
                <w:szCs w:val="21"/>
                <w:highlight w:val="none"/>
              </w:rPr>
              <w:t>投标文件中的商务标（正本和副本）、综合单价分析表和技术标（正本和副本）应密封包装在密封袋内，并在密封袋上注明投标文件、工程名称以及招标单位及投标单位名称。</w:t>
            </w:r>
          </w:p>
          <w:p>
            <w:pPr>
              <w:numPr>
                <w:ilvl w:val="0"/>
                <w:numId w:val="4"/>
              </w:numPr>
              <w:tabs>
                <w:tab w:val="left" w:pos="712"/>
              </w:tabs>
              <w:adjustRightInd w:val="0"/>
              <w:snapToGrid w:val="0"/>
              <w:spacing w:line="320" w:lineRule="exact"/>
              <w:jc w:val="left"/>
              <w:rPr>
                <w:rFonts w:hint="eastAsia" w:ascii="宋体" w:hAnsi="宋体" w:eastAsia="宋体" w:cs="宋体"/>
                <w:szCs w:val="21"/>
                <w:highlight w:val="none"/>
              </w:rPr>
            </w:pPr>
            <w:r>
              <w:rPr>
                <w:rFonts w:hint="eastAsia" w:ascii="宋体" w:hAnsi="宋体" w:eastAsia="宋体" w:cs="宋体"/>
                <w:szCs w:val="21"/>
                <w:highlight w:val="none"/>
              </w:rPr>
              <w:t>投标文件以及其中的商务标和技术标的密封袋的封口处应骑缝加盖投标单位公章及法定代表人印章。</w:t>
            </w:r>
          </w:p>
          <w:p>
            <w:pPr>
              <w:numPr>
                <w:ilvl w:val="0"/>
                <w:numId w:val="4"/>
              </w:numPr>
              <w:tabs>
                <w:tab w:val="left" w:pos="712"/>
              </w:tabs>
              <w:adjustRightInd w:val="0"/>
              <w:snapToGrid w:val="0"/>
              <w:spacing w:line="320" w:lineRule="exact"/>
              <w:jc w:val="left"/>
              <w:rPr>
                <w:rFonts w:hint="eastAsia" w:ascii="宋体" w:hAnsi="宋体" w:eastAsia="宋体" w:cs="宋体"/>
                <w:szCs w:val="21"/>
                <w:highlight w:val="none"/>
              </w:rPr>
            </w:pPr>
            <w:r>
              <w:rPr>
                <w:rFonts w:hint="eastAsia" w:ascii="宋体" w:hAnsi="宋体" w:eastAsia="宋体" w:cs="宋体"/>
                <w:szCs w:val="21"/>
                <w:highlight w:val="none"/>
              </w:rPr>
              <w:t>电子投标文件应单独密封包装、密封袋上注明电子投标文件、招标工程名称、招标单位及投标单位名称。密封处加盖投标单位公章及法定代表人印章。</w:t>
            </w:r>
          </w:p>
          <w:p>
            <w:pPr>
              <w:snapToGrid w:val="0"/>
              <w:spacing w:line="320" w:lineRule="exact"/>
              <w:rPr>
                <w:rFonts w:hint="eastAsia" w:ascii="宋体" w:hAnsi="宋体" w:eastAsia="宋体" w:cs="宋体"/>
                <w:szCs w:val="21"/>
                <w:highlight w:val="none"/>
              </w:rPr>
            </w:pPr>
            <w:r>
              <w:rPr>
                <w:rFonts w:hint="eastAsia" w:ascii="宋体" w:hAnsi="宋体" w:eastAsia="宋体" w:cs="宋体"/>
                <w:szCs w:val="21"/>
                <w:highlight w:val="none"/>
              </w:rPr>
              <w:t>开标顺序：后到先开</w:t>
            </w:r>
          </w:p>
        </w:tc>
      </w:tr>
      <w:tr>
        <w:tblPrEx>
          <w:tblCellMar>
            <w:top w:w="0" w:type="dxa"/>
            <w:left w:w="108" w:type="dxa"/>
            <w:bottom w:w="0" w:type="dxa"/>
            <w:right w:w="108" w:type="dxa"/>
          </w:tblCellMar>
        </w:tblPrEx>
        <w:trPr>
          <w:trHeight w:val="495" w:hRule="atLeast"/>
        </w:trPr>
        <w:tc>
          <w:tcPr>
            <w:tcW w:w="1135" w:type="dxa"/>
            <w:tcBorders>
              <w:top w:val="single" w:color="auto" w:sz="2"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6.1.1</w:t>
            </w:r>
          </w:p>
        </w:tc>
        <w:tc>
          <w:tcPr>
            <w:tcW w:w="2835" w:type="dxa"/>
            <w:tcBorders>
              <w:top w:val="single" w:color="auto" w:sz="2"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评标委员会的组建</w:t>
            </w:r>
          </w:p>
        </w:tc>
        <w:tc>
          <w:tcPr>
            <w:tcW w:w="4848" w:type="dxa"/>
            <w:tcBorders>
              <w:top w:val="single" w:color="auto" w:sz="2"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bookmarkStart w:id="80" w:name="_Toc331170969"/>
            <w:r>
              <w:rPr>
                <w:rFonts w:hint="eastAsia" w:ascii="宋体" w:hAnsi="宋体" w:eastAsia="宋体" w:cs="宋体"/>
                <w:szCs w:val="21"/>
                <w:highlight w:val="none"/>
              </w:rPr>
              <w:t>评标委员会构成：</w:t>
            </w:r>
            <w:r>
              <w:rPr>
                <w:rFonts w:hint="eastAsia" w:ascii="宋体" w:hAnsi="宋体" w:eastAsia="宋体" w:cs="宋体"/>
                <w:szCs w:val="21"/>
                <w:highlight w:val="none"/>
                <w:u w:val="single"/>
              </w:rPr>
              <w:t xml:space="preserve">  5  </w:t>
            </w:r>
            <w:r>
              <w:rPr>
                <w:rFonts w:hint="eastAsia" w:ascii="宋体" w:hAnsi="宋体" w:eastAsia="宋体" w:cs="宋体"/>
                <w:szCs w:val="21"/>
                <w:highlight w:val="none"/>
              </w:rPr>
              <w:t>人，其中招标人代表</w:t>
            </w:r>
            <w:r>
              <w:rPr>
                <w:rFonts w:hint="eastAsia" w:ascii="宋体" w:hAnsi="宋体" w:eastAsia="宋体" w:cs="宋体"/>
                <w:szCs w:val="21"/>
                <w:highlight w:val="none"/>
                <w:u w:val="single"/>
              </w:rPr>
              <w:t xml:space="preserve">  1  </w:t>
            </w:r>
            <w:r>
              <w:rPr>
                <w:rFonts w:hint="eastAsia" w:ascii="宋体" w:hAnsi="宋体" w:eastAsia="宋体" w:cs="宋体"/>
                <w:szCs w:val="21"/>
                <w:highlight w:val="none"/>
              </w:rPr>
              <w:t>人，专家</w:t>
            </w:r>
            <w:r>
              <w:rPr>
                <w:rFonts w:hint="eastAsia" w:ascii="宋体" w:hAnsi="宋体" w:eastAsia="宋体" w:cs="宋体"/>
                <w:szCs w:val="21"/>
                <w:highlight w:val="none"/>
                <w:u w:val="single"/>
              </w:rPr>
              <w:t xml:space="preserve">  4 </w:t>
            </w:r>
            <w:r>
              <w:rPr>
                <w:rFonts w:hint="eastAsia" w:ascii="宋体" w:hAnsi="宋体" w:eastAsia="宋体" w:cs="宋体"/>
                <w:szCs w:val="21"/>
                <w:highlight w:val="none"/>
              </w:rPr>
              <w:t>人；</w:t>
            </w:r>
            <w:bookmarkEnd w:id="80"/>
          </w:p>
        </w:tc>
      </w:tr>
      <w:tr>
        <w:tblPrEx>
          <w:tblCellMar>
            <w:top w:w="0" w:type="dxa"/>
            <w:left w:w="108" w:type="dxa"/>
            <w:bottom w:w="0" w:type="dxa"/>
            <w:right w:w="108" w:type="dxa"/>
          </w:tblCellMar>
        </w:tblPrEx>
        <w:trPr>
          <w:trHeight w:val="2394" w:hRule="atLeast"/>
        </w:trPr>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7.1</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是否授权评标委员会确定中标人</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highlight w:val="none"/>
              </w:rPr>
            </w:pPr>
            <w:r>
              <w:rPr>
                <w:rFonts w:hint="eastAsia" w:ascii="宋体" w:hAnsi="宋体" w:eastAsia="宋体" w:cs="宋体"/>
                <w:highlight w:val="none"/>
              </w:rPr>
              <w:t>□是</w:t>
            </w:r>
          </w:p>
          <w:p>
            <w:pPr>
              <w:spacing w:line="320" w:lineRule="exact"/>
              <w:rPr>
                <w:rFonts w:hint="eastAsia" w:ascii="宋体" w:hAnsi="宋体" w:eastAsia="宋体" w:cs="宋体"/>
                <w:highlight w:val="none"/>
              </w:rPr>
            </w:pPr>
            <w:r>
              <w:rPr>
                <w:rFonts w:hint="eastAsia" w:ascii="宋体" w:hAnsi="宋体" w:eastAsia="宋体" w:cs="宋体"/>
                <w:highlight w:val="none"/>
              </w:rPr>
              <w:t>■否，推荐的中标候选人数：1。</w:t>
            </w:r>
          </w:p>
          <w:p>
            <w:pPr>
              <w:spacing w:line="320" w:lineRule="exact"/>
              <w:rPr>
                <w:rFonts w:hint="eastAsia" w:ascii="宋体" w:hAnsi="宋体" w:eastAsia="宋体" w:cs="宋体"/>
                <w:highlight w:val="none"/>
              </w:rPr>
            </w:pPr>
            <w:r>
              <w:rPr>
                <w:rFonts w:hint="eastAsia" w:ascii="宋体" w:hAnsi="宋体" w:eastAsia="宋体" w:cs="宋体"/>
                <w:highlight w:val="none"/>
              </w:rPr>
              <w:t>招标人根据评标委员会的评标报告确定排名第一的中标候选人为中标人。排名第一的中标候选人放弃中标、因不可抗力不能履行合同、未按招标文件要求提交履约保证金，或者被查实存在影响中标结果的违法行为，不符合中标条件的，招标人可以确定排名第二的投标人为中标人。依此类推。</w:t>
            </w:r>
          </w:p>
        </w:tc>
      </w:tr>
      <w:tr>
        <w:tblPrEx>
          <w:tblCellMar>
            <w:top w:w="0" w:type="dxa"/>
            <w:left w:w="108" w:type="dxa"/>
            <w:bottom w:w="0" w:type="dxa"/>
            <w:right w:w="108" w:type="dxa"/>
          </w:tblCellMar>
        </w:tblPrEx>
        <w:trPr>
          <w:trHeight w:val="463" w:hRule="atLeast"/>
        </w:trPr>
        <w:tc>
          <w:tcPr>
            <w:tcW w:w="1135" w:type="dxa"/>
            <w:tcBorders>
              <w:top w:val="single" w:color="auto" w:sz="4" w:space="0"/>
              <w:left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7.2</w:t>
            </w:r>
          </w:p>
        </w:tc>
        <w:tc>
          <w:tcPr>
            <w:tcW w:w="2835" w:type="dxa"/>
            <w:tcBorders>
              <w:top w:val="single" w:color="auto" w:sz="4" w:space="0"/>
              <w:left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中标候选人公示媒介</w:t>
            </w:r>
          </w:p>
        </w:tc>
        <w:tc>
          <w:tcPr>
            <w:tcW w:w="4848" w:type="dxa"/>
            <w:tcBorders>
              <w:top w:val="single" w:color="auto" w:sz="4" w:space="0"/>
              <w:left w:val="single" w:color="auto" w:sz="4" w:space="0"/>
              <w:right w:val="single" w:color="auto" w:sz="4" w:space="0"/>
            </w:tcBorders>
            <w:vAlign w:val="center"/>
          </w:tcPr>
          <w:p>
            <w:pPr>
              <w:spacing w:line="320" w:lineRule="exact"/>
              <w:rPr>
                <w:rFonts w:hint="eastAsia" w:ascii="宋体" w:hAnsi="宋体" w:eastAsia="宋体" w:cs="宋体"/>
                <w:highlight w:val="none"/>
              </w:rPr>
            </w:pPr>
            <w:r>
              <w:rPr>
                <w:rFonts w:hint="eastAsia" w:ascii="宋体" w:hAnsi="宋体" w:eastAsia="宋体" w:cs="宋体"/>
                <w:highlight w:val="none"/>
              </w:rPr>
              <w:t>中国招标投标公共服务平台（</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"http://www.cebpubservice.com" </w:instrText>
            </w:r>
            <w:r>
              <w:rPr>
                <w:rFonts w:hint="eastAsia" w:ascii="宋体" w:hAnsi="宋体" w:eastAsia="宋体" w:cs="宋体"/>
                <w:highlight w:val="none"/>
              </w:rPr>
              <w:fldChar w:fldCharType="separate"/>
            </w:r>
            <w:r>
              <w:rPr>
                <w:rStyle w:val="61"/>
                <w:rFonts w:hint="eastAsia" w:ascii="宋体" w:hAnsi="宋体" w:eastAsia="宋体" w:cs="宋体"/>
                <w:color w:val="auto"/>
                <w:sz w:val="21"/>
                <w:szCs w:val="22"/>
                <w:highlight w:val="none"/>
              </w:rPr>
              <w:t>www.cebpubservice.com</w:t>
            </w:r>
            <w:r>
              <w:rPr>
                <w:rStyle w:val="61"/>
                <w:rFonts w:hint="eastAsia" w:ascii="宋体" w:hAnsi="宋体" w:eastAsia="宋体" w:cs="宋体"/>
                <w:color w:val="auto"/>
                <w:sz w:val="21"/>
                <w:szCs w:val="22"/>
                <w:highlight w:val="none"/>
              </w:rPr>
              <w:fldChar w:fldCharType="end"/>
            </w:r>
            <w:r>
              <w:rPr>
                <w:rFonts w:hint="eastAsia" w:ascii="宋体" w:hAnsi="宋体" w:eastAsia="宋体" w:cs="宋体"/>
                <w:highlight w:val="none"/>
              </w:rPr>
              <w:t>）</w:t>
            </w:r>
          </w:p>
          <w:p>
            <w:pPr>
              <w:spacing w:line="320" w:lineRule="exact"/>
              <w:rPr>
                <w:rFonts w:hint="eastAsia" w:ascii="宋体" w:hAnsi="宋体" w:eastAsia="宋体" w:cs="宋体"/>
                <w:szCs w:val="21"/>
                <w:highlight w:val="none"/>
              </w:rPr>
            </w:pPr>
            <w:r>
              <w:rPr>
                <w:rFonts w:hint="eastAsia" w:ascii="宋体" w:hAnsi="宋体" w:eastAsia="宋体" w:cs="宋体"/>
                <w:highlight w:val="none"/>
              </w:rPr>
              <w:t>、复旦大学信息公开网（www.xxgk.fudan.edu.cn）</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7.4.1</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履约担保</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履约担保的形式：否</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履约担保的金额：否</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10</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电子招标投标</w:t>
            </w:r>
          </w:p>
        </w:tc>
        <w:tc>
          <w:tcPr>
            <w:tcW w:w="484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rPr>
                <w:rFonts w:hint="eastAsia" w:ascii="宋体" w:hAnsi="宋体" w:eastAsia="宋体" w:cs="宋体"/>
                <w:szCs w:val="21"/>
                <w:highlight w:val="none"/>
              </w:rPr>
            </w:pPr>
            <w:r>
              <w:rPr>
                <w:rFonts w:hint="eastAsia" w:ascii="宋体" w:hAnsi="宋体" w:eastAsia="宋体" w:cs="宋体"/>
                <w:szCs w:val="21"/>
                <w:highlight w:val="none"/>
              </w:rPr>
              <w:t>■否</w:t>
            </w:r>
          </w:p>
          <w:p>
            <w:pPr>
              <w:adjustRightInd w:val="0"/>
              <w:snapToGrid w:val="0"/>
              <w:spacing w:line="320" w:lineRule="exact"/>
              <w:rPr>
                <w:rFonts w:hint="eastAsia" w:ascii="宋体" w:hAnsi="宋体" w:eastAsia="宋体" w:cs="宋体"/>
                <w:szCs w:val="21"/>
                <w:highlight w:val="none"/>
              </w:rPr>
            </w:pPr>
            <w:r>
              <w:rPr>
                <w:rFonts w:hint="eastAsia" w:ascii="宋体" w:hAnsi="宋体" w:eastAsia="宋体" w:cs="宋体"/>
                <w:szCs w:val="21"/>
                <w:highlight w:val="none"/>
              </w:rPr>
              <w:t>□是，具体要求：</w:t>
            </w:r>
          </w:p>
          <w:p>
            <w:pPr>
              <w:numPr>
                <w:ilvl w:val="0"/>
                <w:numId w:val="5"/>
              </w:numPr>
              <w:adjustRightInd w:val="0"/>
              <w:snapToGrid w:val="0"/>
              <w:spacing w:line="320" w:lineRule="exact"/>
              <w:rPr>
                <w:rFonts w:hint="eastAsia" w:ascii="宋体" w:hAnsi="宋体" w:eastAsia="宋体" w:cs="宋体"/>
                <w:szCs w:val="21"/>
                <w:highlight w:val="none"/>
              </w:rPr>
            </w:pPr>
            <w:r>
              <w:rPr>
                <w:rFonts w:hint="eastAsia" w:ascii="宋体" w:hAnsi="宋体" w:eastAsia="宋体" w:cs="宋体"/>
                <w:szCs w:val="21"/>
                <w:highlight w:val="none"/>
              </w:rPr>
              <w:t>电子商务标包括：清单计价文件（GBQ6）。</w:t>
            </w:r>
          </w:p>
          <w:p>
            <w:pPr>
              <w:numPr>
                <w:ilvl w:val="0"/>
                <w:numId w:val="5"/>
              </w:numPr>
              <w:adjustRightInd w:val="0"/>
              <w:snapToGrid w:val="0"/>
              <w:spacing w:line="320" w:lineRule="exact"/>
              <w:rPr>
                <w:rFonts w:hint="eastAsia" w:ascii="宋体" w:hAnsi="宋体" w:eastAsia="宋体" w:cs="宋体"/>
                <w:szCs w:val="21"/>
                <w:highlight w:val="none"/>
              </w:rPr>
            </w:pPr>
            <w:r>
              <w:rPr>
                <w:rFonts w:hint="eastAsia" w:ascii="宋体" w:hAnsi="宋体" w:eastAsia="宋体" w:cs="宋体"/>
                <w:szCs w:val="21"/>
                <w:highlight w:val="none"/>
              </w:rPr>
              <w:t>电子投标文件应单独密封包装、密封袋上注明电子投标文件、招标工程名称、招标单位及投标单位名称。</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11</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bCs/>
                <w:highlight w:val="none"/>
              </w:rPr>
            </w:pPr>
            <w:r>
              <w:rPr>
                <w:rFonts w:hint="eastAsia" w:ascii="宋体" w:hAnsi="宋体" w:eastAsia="宋体" w:cs="宋体"/>
                <w:szCs w:val="21"/>
                <w:highlight w:val="none"/>
              </w:rPr>
              <w:t>招标人拒收条款</w:t>
            </w:r>
          </w:p>
        </w:tc>
        <w:tc>
          <w:tcPr>
            <w:tcW w:w="48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①</w:t>
            </w:r>
            <w:r>
              <w:rPr>
                <w:rFonts w:hint="eastAsia" w:ascii="宋体" w:hAnsi="宋体" w:eastAsia="宋体" w:cs="宋体"/>
                <w:szCs w:val="21"/>
                <w:highlight w:val="none"/>
              </w:rPr>
              <w:tab/>
            </w:r>
            <w:r>
              <w:rPr>
                <w:rFonts w:hint="eastAsia" w:ascii="宋体" w:hAnsi="宋体" w:eastAsia="宋体" w:cs="宋体"/>
                <w:szCs w:val="21"/>
                <w:highlight w:val="none"/>
              </w:rPr>
              <w:t>逾期送达的或者未送达指定地点的投标文件；</w:t>
            </w:r>
          </w:p>
          <w:p>
            <w:pPr>
              <w:spacing w:line="320" w:lineRule="exact"/>
              <w:rPr>
                <w:rFonts w:hint="eastAsia" w:ascii="宋体" w:hAnsi="宋体" w:eastAsia="宋体" w:cs="宋体"/>
                <w:b/>
                <w:bCs/>
                <w:highlight w:val="none"/>
              </w:rPr>
            </w:pPr>
            <w:r>
              <w:rPr>
                <w:rFonts w:hint="eastAsia" w:ascii="宋体" w:hAnsi="宋体" w:eastAsia="宋体" w:cs="宋体"/>
                <w:szCs w:val="21"/>
                <w:highlight w:val="none"/>
              </w:rPr>
              <w:t>②</w:t>
            </w:r>
            <w:r>
              <w:rPr>
                <w:rFonts w:hint="eastAsia" w:ascii="宋体" w:hAnsi="宋体" w:eastAsia="宋体" w:cs="宋体"/>
                <w:szCs w:val="21"/>
                <w:highlight w:val="none"/>
              </w:rPr>
              <w:tab/>
            </w:r>
            <w:r>
              <w:rPr>
                <w:rFonts w:hint="eastAsia" w:ascii="宋体" w:hAnsi="宋体" w:eastAsia="宋体" w:cs="宋体"/>
                <w:szCs w:val="21"/>
                <w:highlight w:val="none"/>
              </w:rPr>
              <w:t>未按招标文件要求密封的投标文件。</w:t>
            </w:r>
          </w:p>
        </w:tc>
      </w:tr>
      <w:tr>
        <w:tblPrEx>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12</w:t>
            </w:r>
          </w:p>
        </w:tc>
        <w:tc>
          <w:tcPr>
            <w:tcW w:w="283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bCs/>
                <w:highlight w:val="none"/>
              </w:rPr>
            </w:pPr>
            <w:r>
              <w:rPr>
                <w:rFonts w:hint="eastAsia" w:ascii="宋体" w:hAnsi="宋体" w:eastAsia="宋体" w:cs="宋体"/>
                <w:szCs w:val="21"/>
                <w:highlight w:val="none"/>
              </w:rPr>
              <w:t>投标人被视为自动放弃投标</w:t>
            </w:r>
          </w:p>
        </w:tc>
        <w:tc>
          <w:tcPr>
            <w:tcW w:w="4848" w:type="dxa"/>
            <w:tcBorders>
              <w:top w:val="single" w:color="auto" w:sz="4" w:space="0"/>
              <w:left w:val="single" w:color="auto" w:sz="4" w:space="0"/>
              <w:bottom w:val="single" w:color="auto" w:sz="4" w:space="0"/>
              <w:right w:val="single" w:color="auto" w:sz="4" w:space="0"/>
            </w:tcBorders>
            <w:vAlign w:val="center"/>
          </w:tcPr>
          <w:p>
            <w:pPr>
              <w:pStyle w:val="93"/>
              <w:spacing w:line="320" w:lineRule="exact"/>
              <w:ind w:firstLine="0" w:firstLineChars="0"/>
              <w:rPr>
                <w:rFonts w:hint="eastAsia" w:ascii="宋体" w:hAnsi="宋体" w:eastAsia="宋体" w:cs="宋体"/>
                <w:szCs w:val="21"/>
                <w:highlight w:val="none"/>
              </w:rPr>
            </w:pPr>
            <w:r>
              <w:rPr>
                <w:rFonts w:hint="eastAsia" w:ascii="宋体" w:hAnsi="宋体" w:eastAsia="宋体" w:cs="宋体"/>
                <w:szCs w:val="21"/>
                <w:highlight w:val="none"/>
              </w:rPr>
              <w:t>①</w:t>
            </w:r>
            <w:r>
              <w:rPr>
                <w:rFonts w:hint="eastAsia" w:ascii="宋体" w:hAnsi="宋体" w:eastAsia="宋体" w:cs="宋体"/>
                <w:szCs w:val="21"/>
                <w:highlight w:val="none"/>
              </w:rPr>
              <w:tab/>
            </w:r>
            <w:r>
              <w:rPr>
                <w:rFonts w:hint="eastAsia" w:ascii="宋体" w:hAnsi="宋体" w:eastAsia="宋体" w:cs="宋体"/>
                <w:szCs w:val="21"/>
                <w:highlight w:val="none"/>
              </w:rPr>
              <w:t>投标单位递交投标文件时，必须同时携带法人代表证明书原件、法人代表人委托书原件、 法定代表人委托书中受托人的身份证原件复印件。以上资料在投标文件启封唱标前经核验如不齐全的。</w:t>
            </w:r>
          </w:p>
          <w:p>
            <w:pPr>
              <w:spacing w:line="320" w:lineRule="exact"/>
              <w:rPr>
                <w:rFonts w:hint="eastAsia" w:ascii="宋体" w:hAnsi="宋体" w:eastAsia="宋体" w:cs="宋体"/>
                <w:szCs w:val="21"/>
                <w:highlight w:val="none"/>
              </w:rPr>
            </w:pPr>
            <w:r>
              <w:rPr>
                <w:rFonts w:hint="eastAsia" w:ascii="宋体" w:hAnsi="宋体" w:eastAsia="宋体" w:cs="宋体"/>
                <w:szCs w:val="21"/>
                <w:highlight w:val="none"/>
              </w:rPr>
              <w:t>②</w:t>
            </w:r>
            <w:r>
              <w:rPr>
                <w:rFonts w:hint="eastAsia" w:ascii="宋体" w:hAnsi="宋体" w:eastAsia="宋体" w:cs="宋体"/>
                <w:szCs w:val="21"/>
                <w:highlight w:val="none"/>
              </w:rPr>
              <w:tab/>
            </w:r>
            <w:r>
              <w:rPr>
                <w:rFonts w:hint="eastAsia" w:ascii="宋体" w:hAnsi="宋体" w:eastAsia="宋体" w:cs="宋体"/>
                <w:szCs w:val="21"/>
                <w:highlight w:val="none"/>
              </w:rPr>
              <w:t>投标单位法定代表人或授权委托人未参加开标会议的。</w:t>
            </w:r>
          </w:p>
        </w:tc>
      </w:tr>
    </w:tbl>
    <w:p>
      <w:pPr>
        <w:tabs>
          <w:tab w:val="left" w:pos="1046"/>
        </w:tabs>
        <w:spacing w:line="320" w:lineRule="exact"/>
        <w:rPr>
          <w:rFonts w:hint="eastAsia" w:ascii="宋体" w:hAnsi="宋体" w:eastAsia="宋体" w:cs="宋体"/>
          <w:b/>
          <w:sz w:val="24"/>
          <w:szCs w:val="24"/>
          <w:highlight w:val="none"/>
        </w:rPr>
      </w:pPr>
      <w:r>
        <w:rPr>
          <w:rFonts w:hint="eastAsia" w:ascii="宋体" w:hAnsi="宋体" w:eastAsia="宋体" w:cs="宋体"/>
          <w:sz w:val="24"/>
          <w:highlight w:val="none"/>
        </w:rPr>
        <w:tab/>
      </w:r>
    </w:p>
    <w:p>
      <w:pPr>
        <w:widowControl/>
        <w:jc w:val="left"/>
        <w:rPr>
          <w:rFonts w:hint="eastAsia" w:ascii="宋体" w:hAnsi="宋体" w:eastAsia="宋体" w:cs="宋体"/>
          <w:b/>
          <w:sz w:val="24"/>
          <w:szCs w:val="24"/>
          <w:highlight w:val="none"/>
        </w:rPr>
      </w:pPr>
      <w:r>
        <w:rPr>
          <w:rFonts w:hint="eastAsia" w:ascii="宋体" w:hAnsi="宋体" w:eastAsia="宋体" w:cs="宋体"/>
          <w:b/>
          <w:sz w:val="24"/>
          <w:szCs w:val="24"/>
          <w:highlight w:val="none"/>
        </w:rPr>
        <w:br w:type="page"/>
      </w:r>
    </w:p>
    <w:p>
      <w:pPr>
        <w:tabs>
          <w:tab w:val="left" w:pos="1440"/>
          <w:tab w:val="left" w:pos="9500"/>
        </w:tabs>
        <w:spacing w:line="400" w:lineRule="exact"/>
        <w:ind w:firstLine="280"/>
        <w:jc w:val="center"/>
        <w:outlineLvl w:val="0"/>
        <w:rPr>
          <w:rFonts w:hint="eastAsia" w:ascii="宋体" w:hAnsi="宋体" w:eastAsia="宋体" w:cs="宋体"/>
          <w:b/>
          <w:sz w:val="24"/>
          <w:szCs w:val="24"/>
          <w:highlight w:val="none"/>
        </w:rPr>
      </w:pPr>
      <w:bookmarkStart w:id="81" w:name="_Toc12956"/>
      <w:r>
        <w:rPr>
          <w:rFonts w:hint="eastAsia" w:ascii="宋体" w:hAnsi="宋体" w:eastAsia="宋体" w:cs="宋体"/>
          <w:b/>
          <w:sz w:val="24"/>
          <w:szCs w:val="24"/>
          <w:highlight w:val="none"/>
        </w:rPr>
        <w:t>第一章 投标须知</w:t>
      </w:r>
      <w:bookmarkEnd w:id="81"/>
    </w:p>
    <w:p>
      <w:pPr>
        <w:tabs>
          <w:tab w:val="left" w:pos="1440"/>
          <w:tab w:val="left" w:pos="9500"/>
        </w:tabs>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 xml:space="preserve">第一条  总则 </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1.1 工程名称：复旦大学江湾校区融合创新二号楼项目绿化搬迁工程</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1.2 建设地点：复旦大学江湾校区</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本次招标的内容为：本项目为复旦大学江湾校区融合创新二号楼项目绿化搬迁工程招标。本工程位于复旦大学江湾校区，为支持本项目建设工作，对建设临时生活区及建设规划范围内现有的园林树木进行迁移</w:t>
      </w:r>
      <w:r>
        <w:rPr>
          <w:rFonts w:hint="eastAsia" w:ascii="宋体" w:hAnsi="宋体" w:cs="宋体"/>
          <w:sz w:val="24"/>
          <w:szCs w:val="24"/>
          <w:highlight w:val="none"/>
          <w:lang w:val="en-US" w:eastAsia="zh-CN"/>
        </w:rPr>
        <w:t>及养护</w:t>
      </w:r>
      <w:r>
        <w:rPr>
          <w:rFonts w:hint="eastAsia" w:ascii="宋体" w:hAnsi="宋体" w:eastAsia="宋体" w:cs="宋体"/>
          <w:sz w:val="24"/>
          <w:szCs w:val="24"/>
          <w:highlight w:val="none"/>
        </w:rPr>
        <w:t>。</w:t>
      </w:r>
      <w:r>
        <w:rPr>
          <w:rFonts w:hint="eastAsia" w:ascii="宋体" w:hAnsi="宋体" w:eastAsia="宋体" w:cs="宋体"/>
          <w:sz w:val="24"/>
          <w:szCs w:val="24"/>
          <w:highlight w:val="none"/>
        </w:rPr>
        <w:t>此项工程需迁移的乔木类主要包含有：桂花、马褂木、夹竹桃、银杏、红枫、柳树、重阳木、苦楝树、桧柏球、海棠、红叶石楠球、小叶</w:t>
      </w:r>
      <w:r>
        <w:rPr>
          <w:rFonts w:hint="eastAsia" w:ascii="宋体" w:hAnsi="宋体" w:cs="宋体"/>
          <w:sz w:val="24"/>
          <w:szCs w:val="24"/>
          <w:highlight w:val="none"/>
          <w:lang w:val="en-US" w:eastAsia="zh-CN"/>
        </w:rPr>
        <w:t>女贞</w:t>
      </w:r>
      <w:r>
        <w:rPr>
          <w:rFonts w:hint="eastAsia" w:ascii="宋体" w:hAnsi="宋体" w:eastAsia="宋体" w:cs="宋体"/>
          <w:sz w:val="24"/>
          <w:szCs w:val="24"/>
          <w:highlight w:val="none"/>
        </w:rPr>
        <w:t>球、小叶黄杨球、结香、丛生结香、红花继木球、茶花、樱花、香樟、豪猪刺、香樟、无患子、雪松、棕榈、栾树、合欢、紫玉兰、剑兰、海桐球、木槿、女贞、丛生石楠、石楠。搬迁区域：纬五河以南，经二路以西，纬五路以北，经一路以东。搬迁至：月湖南侧。</w:t>
      </w:r>
      <w:r>
        <w:rPr>
          <w:rFonts w:hint="eastAsia" w:ascii="宋体" w:hAnsi="宋体" w:eastAsia="宋体" w:cs="宋体"/>
          <w:sz w:val="24"/>
          <w:szCs w:val="24"/>
          <w:highlight w:val="none"/>
        </w:rPr>
        <w:t>中标单位工作内容包含但不限于：绿化搬迁范围内的所有绿化苗木起挖，绿化场地整理、绿化拍照建档、运输、种植，</w:t>
      </w:r>
      <w:r>
        <w:rPr>
          <w:rFonts w:hint="eastAsia" w:ascii="宋体" w:hAnsi="宋体" w:eastAsia="宋体" w:cs="宋体"/>
          <w:sz w:val="24"/>
          <w:szCs w:val="24"/>
          <w:highlight w:val="none"/>
          <w:lang w:val="en-US" w:eastAsia="zh-CN"/>
        </w:rPr>
        <w:t>两</w:t>
      </w:r>
      <w:r>
        <w:rPr>
          <w:rFonts w:hint="eastAsia" w:ascii="宋体" w:hAnsi="宋体" w:eastAsia="宋体" w:cs="宋体"/>
          <w:sz w:val="24"/>
          <w:szCs w:val="24"/>
          <w:highlight w:val="none"/>
          <w:lang w:eastAsia="zh-CN"/>
        </w:rPr>
        <w:t>年期的养护保活</w:t>
      </w:r>
      <w:r>
        <w:rPr>
          <w:rFonts w:hint="eastAsia" w:ascii="宋体" w:hAnsi="宋体" w:eastAsia="宋体" w:cs="宋体"/>
          <w:sz w:val="24"/>
          <w:szCs w:val="24"/>
          <w:highlight w:val="none"/>
        </w:rPr>
        <w:t>，负责绿化搬迁过程中所有可能发生的行政手续办理及协调等一系列工作（含所有费用）。</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 建设单位：复旦大学</w:t>
      </w:r>
    </w:p>
    <w:p>
      <w:pPr>
        <w:spacing w:line="400" w:lineRule="exact"/>
        <w:ind w:firstLine="480" w:firstLineChars="200"/>
        <w:rPr>
          <w:rFonts w:hint="eastAsia" w:ascii="宋体" w:hAnsi="宋体" w:eastAsia="宋体" w:cs="宋体"/>
          <w:kern w:val="0"/>
          <w:sz w:val="24"/>
          <w:szCs w:val="24"/>
          <w:highlight w:val="none"/>
        </w:rPr>
      </w:pPr>
      <w:r>
        <w:rPr>
          <w:rFonts w:hint="eastAsia" w:ascii="宋体" w:hAnsi="宋体" w:eastAsia="宋体" w:cs="宋体"/>
          <w:sz w:val="24"/>
          <w:szCs w:val="24"/>
          <w:highlight w:val="none"/>
        </w:rPr>
        <w:t>1.4 本工程施工企业资质要求为：</w:t>
      </w:r>
      <w:r>
        <w:rPr>
          <w:rFonts w:hint="eastAsia" w:ascii="宋体" w:hAnsi="宋体" w:eastAsia="宋体" w:cs="宋体"/>
          <w:kern w:val="0"/>
          <w:sz w:val="24"/>
          <w:szCs w:val="24"/>
          <w:highlight w:val="none"/>
        </w:rPr>
        <w:t xml:space="preserve">见前附表。 </w:t>
      </w:r>
    </w:p>
    <w:p>
      <w:pPr>
        <w:tabs>
          <w:tab w:val="left" w:pos="380"/>
          <w:tab w:val="left" w:pos="760"/>
        </w:tabs>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1.5本招标文件是本工程招标过程中的规定文件，是各投标单位编制投标书的依据，是与绿化搬迁单位签订施工合同的依据，也是本工程合同文件的主要组成部分。</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1.6 本工程的技术要求总说明：</w:t>
      </w:r>
    </w:p>
    <w:p>
      <w:pPr>
        <w:tabs>
          <w:tab w:val="left" w:pos="380"/>
          <w:tab w:val="left" w:pos="760"/>
        </w:tabs>
        <w:spacing w:line="400" w:lineRule="exact"/>
        <w:ind w:firstLine="723" w:firstLineChars="300"/>
        <w:rPr>
          <w:rFonts w:hint="eastAsia" w:ascii="宋体" w:hAnsi="宋体" w:eastAsia="宋体" w:cs="宋体"/>
          <w:b/>
          <w:sz w:val="24"/>
          <w:szCs w:val="24"/>
          <w:highlight w:val="none"/>
          <w:lang w:val="en-US" w:eastAsia="zh-CN"/>
        </w:rPr>
      </w:pPr>
      <w:r>
        <w:rPr>
          <w:rFonts w:hint="eastAsia" w:ascii="宋体" w:hAnsi="宋体" w:eastAsia="宋体" w:cs="宋体"/>
          <w:b/>
          <w:sz w:val="24"/>
          <w:szCs w:val="24"/>
          <w:highlight w:val="none"/>
        </w:rPr>
        <w:t>1.6.1  承包人必须满足工程质量要求：一次验收合格率100%,</w:t>
      </w:r>
      <w:r>
        <w:rPr>
          <w:rFonts w:hint="eastAsia" w:ascii="宋体" w:hAnsi="宋体" w:eastAsia="宋体" w:cs="宋体"/>
          <w:b/>
          <w:sz w:val="24"/>
          <w:szCs w:val="24"/>
          <w:highlight w:val="none"/>
          <w:lang w:val="en-US" w:eastAsia="zh-CN"/>
        </w:rPr>
        <w:t>两年内</w:t>
      </w:r>
      <w:r>
        <w:rPr>
          <w:rFonts w:hint="eastAsia" w:ascii="宋体" w:hAnsi="宋体" w:eastAsia="宋体" w:cs="宋体"/>
          <w:b/>
          <w:sz w:val="24"/>
          <w:szCs w:val="24"/>
          <w:highlight w:val="none"/>
        </w:rPr>
        <w:t>苗木存活率100%，并且长势良好</w:t>
      </w:r>
      <w:r>
        <w:rPr>
          <w:rFonts w:hint="eastAsia" w:ascii="宋体" w:hAnsi="宋体" w:eastAsia="宋体" w:cs="宋体"/>
          <w:b/>
          <w:sz w:val="24"/>
          <w:szCs w:val="24"/>
          <w:highlight w:val="none"/>
          <w:lang w:val="en-US" w:eastAsia="zh-CN"/>
        </w:rPr>
        <w:t>。</w:t>
      </w:r>
    </w:p>
    <w:p>
      <w:pPr>
        <w:tabs>
          <w:tab w:val="left" w:pos="380"/>
          <w:tab w:val="left" w:pos="760"/>
        </w:tabs>
        <w:spacing w:line="400" w:lineRule="exact"/>
        <w:ind w:firstLine="723" w:firstLineChars="300"/>
        <w:rPr>
          <w:rFonts w:hint="eastAsia" w:ascii="宋体" w:hAnsi="宋体" w:eastAsia="宋体" w:cs="宋体"/>
          <w:b/>
          <w:sz w:val="24"/>
          <w:szCs w:val="24"/>
          <w:highlight w:val="none"/>
        </w:rPr>
      </w:pPr>
      <w:r>
        <w:rPr>
          <w:rFonts w:hint="eastAsia" w:ascii="宋体" w:hAnsi="宋体" w:eastAsia="宋体" w:cs="宋体"/>
          <w:b/>
          <w:sz w:val="24"/>
          <w:szCs w:val="24"/>
          <w:highlight w:val="none"/>
        </w:rPr>
        <w:t>1.6.2  承包人应严格按照现行各项规范和标准，从绿化起挖、搬迁、</w:t>
      </w:r>
      <w:r>
        <w:rPr>
          <w:rFonts w:hint="eastAsia" w:ascii="宋体" w:hAnsi="宋体" w:cs="宋体"/>
          <w:b/>
          <w:sz w:val="24"/>
          <w:szCs w:val="24"/>
          <w:highlight w:val="none"/>
          <w:lang w:val="en-US" w:eastAsia="zh-CN"/>
        </w:rPr>
        <w:t>养护、</w:t>
      </w:r>
      <w:r>
        <w:rPr>
          <w:rFonts w:hint="eastAsia" w:ascii="宋体" w:hAnsi="宋体" w:eastAsia="宋体" w:cs="宋体"/>
          <w:b/>
          <w:sz w:val="24"/>
          <w:szCs w:val="24"/>
          <w:highlight w:val="none"/>
          <w:lang w:val="en-US" w:eastAsia="zh-CN"/>
        </w:rPr>
        <w:t>种植</w:t>
      </w:r>
      <w:r>
        <w:rPr>
          <w:rFonts w:hint="eastAsia" w:ascii="宋体" w:hAnsi="宋体" w:eastAsia="宋体" w:cs="宋体"/>
          <w:b/>
          <w:sz w:val="24"/>
          <w:szCs w:val="24"/>
          <w:highlight w:val="none"/>
        </w:rPr>
        <w:t>各方面入手，严把质量关，严格按照图纸及规范施工，确保安全性、美观性。</w:t>
      </w:r>
    </w:p>
    <w:p>
      <w:pPr>
        <w:tabs>
          <w:tab w:val="left" w:pos="380"/>
          <w:tab w:val="left" w:pos="760"/>
        </w:tabs>
        <w:spacing w:line="400" w:lineRule="exact"/>
        <w:ind w:firstLine="723" w:firstLineChars="300"/>
        <w:rPr>
          <w:rFonts w:hint="eastAsia" w:ascii="宋体" w:hAnsi="宋体" w:eastAsia="宋体" w:cs="宋体"/>
          <w:b/>
          <w:sz w:val="24"/>
          <w:szCs w:val="24"/>
          <w:highlight w:val="none"/>
        </w:rPr>
      </w:pPr>
      <w:r>
        <w:rPr>
          <w:rFonts w:hint="eastAsia" w:ascii="宋体" w:hAnsi="宋体" w:eastAsia="宋体" w:cs="宋体"/>
          <w:b/>
          <w:sz w:val="24"/>
          <w:szCs w:val="24"/>
          <w:highlight w:val="none"/>
        </w:rPr>
        <w:t>1.6.3  承包人需配合完成工程政府相关部门的报验、验收等一切手续的办理，承担由此可能发生的费用（包括但不限于这次内容）。时间符合建设单位要求，工期要求：不大于</w:t>
      </w:r>
      <w:r>
        <w:rPr>
          <w:rFonts w:hint="eastAsia" w:ascii="宋体" w:hAnsi="宋体" w:cs="宋体"/>
          <w:b/>
          <w:sz w:val="24"/>
          <w:szCs w:val="24"/>
          <w:highlight w:val="none"/>
          <w:lang w:val="en-US" w:eastAsia="zh-CN"/>
        </w:rPr>
        <w:t>30</w:t>
      </w:r>
      <w:r>
        <w:rPr>
          <w:rFonts w:hint="eastAsia" w:ascii="宋体" w:hAnsi="宋体" w:eastAsia="宋体" w:cs="宋体"/>
          <w:b/>
          <w:sz w:val="24"/>
          <w:szCs w:val="24"/>
          <w:highlight w:val="none"/>
        </w:rPr>
        <w:t xml:space="preserve">天； </w:t>
      </w:r>
    </w:p>
    <w:p>
      <w:pPr>
        <w:tabs>
          <w:tab w:val="left" w:pos="380"/>
          <w:tab w:val="left" w:pos="760"/>
        </w:tabs>
        <w:spacing w:line="400" w:lineRule="exact"/>
        <w:ind w:left="359" w:leftChars="171" w:firstLine="1"/>
        <w:rPr>
          <w:rFonts w:hint="eastAsia" w:ascii="宋体" w:hAnsi="宋体" w:eastAsia="宋体" w:cs="宋体"/>
          <w:b/>
          <w:sz w:val="24"/>
          <w:szCs w:val="24"/>
          <w:highlight w:val="none"/>
        </w:rPr>
      </w:pPr>
    </w:p>
    <w:p>
      <w:pPr>
        <w:tabs>
          <w:tab w:val="left" w:pos="1440"/>
          <w:tab w:val="left" w:pos="9500"/>
        </w:tabs>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第二条  工程现场条件</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2.1  本工程可供施工用水、用电已接至现场指定地点，各投标单位应在踏勘现场时自行查明；施工单位生活、施工过程中必须安装的管、线、计量表具的费用应在措施费中单独列支，一经中标，包干使用。</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2.2  工地进出场道路业已畅通，施工单位不得擅自在施工场地以外的路面上堆放土方或停放机械，中断交通。场内堆土必须保护好原有路面，如有损坏，由施工单位负责。</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2.3  本工程供施工单位使用的场地仅限于施工作业区内，各施工单位的生活区自行解决，需要在作业区搭建临设、必须经建设单位同意。</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2.4  投标人应认真踏勘现场，熟悉施工现场及场内地形、地貌、交通道路等情况，仔细检查场地内现有设施和施工用空间，以获得一切可能影响投标的直接资料，如有需要发生的费用在措施费中单列（无论是否开列费用，建设方将一律视为投标方已确认所有现场条件和预计到了可能发生的异常情况），中标后，不得以不完全了解现场情况为理由而提出额外的费用或延长竣工日期等要求。</w:t>
      </w:r>
    </w:p>
    <w:p>
      <w:pPr>
        <w:spacing w:line="400" w:lineRule="exact"/>
        <w:ind w:firstLine="560"/>
        <w:rPr>
          <w:rFonts w:hint="eastAsia" w:ascii="宋体" w:hAnsi="宋体" w:eastAsia="宋体" w:cs="宋体"/>
          <w:sz w:val="24"/>
          <w:szCs w:val="24"/>
          <w:highlight w:val="none"/>
        </w:rPr>
      </w:pPr>
    </w:p>
    <w:p>
      <w:pPr>
        <w:tabs>
          <w:tab w:val="left" w:pos="1440"/>
          <w:tab w:val="left" w:pos="9500"/>
        </w:tabs>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第三条  招标文件组成</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3.1  招标公告</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3.2  投标须知；</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3.3  图纸及技术要求； </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3.4  政府采购中小企业政策；</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3.5  工程量清单；</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3.6  附件</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3.7  评标打分标准</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3.8  合同格式</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3.9  《上海教育建设管理咨询有限公司投标保证金提交和退还操作须知》</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3.10  招标单位为澄清或修改招标文件所发布的书面补充文件。</w:t>
      </w:r>
    </w:p>
    <w:p>
      <w:pPr>
        <w:tabs>
          <w:tab w:val="left" w:pos="1440"/>
          <w:tab w:val="left" w:pos="9500"/>
        </w:tabs>
        <w:spacing w:line="400" w:lineRule="exact"/>
        <w:rPr>
          <w:rFonts w:hint="eastAsia" w:ascii="宋体" w:hAnsi="宋体" w:eastAsia="宋体" w:cs="宋体"/>
          <w:b/>
          <w:sz w:val="24"/>
          <w:szCs w:val="24"/>
          <w:highlight w:val="none"/>
        </w:rPr>
      </w:pPr>
    </w:p>
    <w:p>
      <w:pPr>
        <w:tabs>
          <w:tab w:val="left" w:pos="1440"/>
          <w:tab w:val="left" w:pos="9500"/>
        </w:tabs>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第四条  工程承包内容、范围和方式</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4.1  工程承包范围及内容：本项目工程量范围内的包工、包料、包工期、包质量、包安全、</w:t>
      </w:r>
      <w:r>
        <w:rPr>
          <w:rFonts w:hint="eastAsia" w:ascii="宋体" w:hAnsi="宋体" w:cs="宋体"/>
          <w:sz w:val="24"/>
          <w:szCs w:val="24"/>
          <w:highlight w:val="none"/>
          <w:lang w:val="en-US" w:eastAsia="zh-CN"/>
        </w:rPr>
        <w:t>包苗木养护保活、</w:t>
      </w:r>
      <w:r>
        <w:rPr>
          <w:rFonts w:hint="eastAsia" w:ascii="宋体" w:hAnsi="宋体" w:eastAsia="宋体" w:cs="宋体"/>
          <w:sz w:val="24"/>
          <w:szCs w:val="24"/>
          <w:highlight w:val="none"/>
        </w:rPr>
        <w:t>包工资及材料价之任何市场差价、管理费、利润、保险、必须的加班费、费率或汇率的变动、专利费、包装空运、国外及本地存仓、运输、因材料或设备迟到工地的窝工费等的固定综合单价方式。</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4.2  承包方式：施工总承包。</w:t>
      </w:r>
    </w:p>
    <w:p>
      <w:pPr>
        <w:tabs>
          <w:tab w:val="left" w:pos="1440"/>
          <w:tab w:val="left" w:pos="9500"/>
        </w:tabs>
        <w:spacing w:line="400" w:lineRule="exact"/>
        <w:ind w:firstLine="280"/>
        <w:rPr>
          <w:rFonts w:hint="eastAsia" w:ascii="宋体" w:hAnsi="宋体" w:eastAsia="宋体" w:cs="宋体"/>
          <w:b/>
          <w:sz w:val="24"/>
          <w:szCs w:val="24"/>
          <w:highlight w:val="none"/>
        </w:rPr>
      </w:pPr>
    </w:p>
    <w:p>
      <w:pPr>
        <w:tabs>
          <w:tab w:val="left" w:pos="1440"/>
          <w:tab w:val="left" w:pos="9500"/>
        </w:tabs>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第五条  完工时间要求</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5.1  本工程约2021年</w:t>
      </w:r>
      <w:r>
        <w:rPr>
          <w:rFonts w:hint="eastAsia" w:ascii="宋体" w:hAnsi="宋体" w:cs="宋体"/>
          <w:sz w:val="24"/>
          <w:szCs w:val="24"/>
          <w:highlight w:val="none"/>
          <w:lang w:val="en-US" w:eastAsia="zh-CN"/>
        </w:rPr>
        <w:t>10</w:t>
      </w:r>
      <w:r>
        <w:rPr>
          <w:rFonts w:hint="eastAsia" w:ascii="宋体" w:hAnsi="宋体" w:eastAsia="宋体" w:cs="宋体"/>
          <w:sz w:val="24"/>
          <w:szCs w:val="24"/>
          <w:highlight w:val="none"/>
        </w:rPr>
        <w:t>月</w:t>
      </w:r>
      <w:r>
        <w:rPr>
          <w:rFonts w:hint="eastAsia" w:ascii="宋体" w:hAnsi="宋体" w:cs="宋体"/>
          <w:sz w:val="24"/>
          <w:szCs w:val="24"/>
          <w:highlight w:val="none"/>
          <w:lang w:val="en-US" w:eastAsia="zh-CN"/>
        </w:rPr>
        <w:t>31</w:t>
      </w:r>
      <w:r>
        <w:rPr>
          <w:rFonts w:hint="eastAsia" w:ascii="宋体" w:hAnsi="宋体" w:eastAsia="宋体" w:cs="宋体"/>
          <w:sz w:val="24"/>
          <w:szCs w:val="24"/>
          <w:highlight w:val="none"/>
        </w:rPr>
        <w:t>日进场（最终进场时间以开工令为准)。投标单位可根据各自的优势进行竞争，投标单位在投标书中所报的工期，一旦中标则作为合同工期。</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5.2  除《合同条款》所列可以相应顺延工期的情况外，工期不能按合同规定的时间竣工，中标单位应承担违约责任，每延期一天支付不小于结算总价千分之一误期赔偿费（投标单位自报）。</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5.3  中标单位接到通知书后,应做好进场准备,接到业主进场通知后,立即进场。 </w:t>
      </w:r>
    </w:p>
    <w:p>
      <w:pPr>
        <w:tabs>
          <w:tab w:val="left" w:pos="1440"/>
          <w:tab w:val="left" w:pos="9500"/>
        </w:tabs>
        <w:spacing w:line="400" w:lineRule="exact"/>
        <w:ind w:firstLine="280"/>
        <w:rPr>
          <w:rFonts w:hint="eastAsia" w:ascii="宋体" w:hAnsi="宋体" w:eastAsia="宋体" w:cs="宋体"/>
          <w:b/>
          <w:sz w:val="24"/>
          <w:szCs w:val="24"/>
          <w:highlight w:val="none"/>
        </w:rPr>
      </w:pPr>
    </w:p>
    <w:p>
      <w:pPr>
        <w:tabs>
          <w:tab w:val="left" w:pos="1440"/>
          <w:tab w:val="left" w:pos="9500"/>
        </w:tabs>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第六条  工程质量及安全要求</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6.1  建设单位要求本工程中达到一次验收合格率100%,</w:t>
      </w:r>
      <w:r>
        <w:rPr>
          <w:rFonts w:hint="eastAsia" w:ascii="宋体" w:hAnsi="宋体" w:eastAsia="宋体" w:cs="宋体"/>
          <w:sz w:val="24"/>
          <w:szCs w:val="24"/>
          <w:highlight w:val="none"/>
          <w:lang w:val="en-US" w:eastAsia="zh-CN"/>
        </w:rPr>
        <w:t>两年内</w:t>
      </w:r>
      <w:r>
        <w:rPr>
          <w:rFonts w:hint="eastAsia" w:ascii="宋体" w:hAnsi="宋体" w:eastAsia="宋体" w:cs="宋体"/>
          <w:sz w:val="24"/>
          <w:szCs w:val="24"/>
          <w:highlight w:val="none"/>
        </w:rPr>
        <w:t>苗木存活率100%，并且长势良好。若因本单位原因造成本工程达不到质量要求，需赔偿建设单位的损失。投标单位应自报质量处罚承诺，若达不到质量要求，按不低于工程结算造价的3%扣罚（投标单位需对此明确承诺）。</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6.2  工程质量等级以</w:t>
      </w:r>
      <w:r>
        <w:rPr>
          <w:rFonts w:hint="eastAsia" w:ascii="宋体" w:hAnsi="宋体" w:cs="宋体"/>
          <w:sz w:val="24"/>
          <w:szCs w:val="24"/>
          <w:highlight w:val="none"/>
          <w:lang w:val="en-US" w:eastAsia="zh-CN"/>
        </w:rPr>
        <w:t>相关</w:t>
      </w:r>
      <w:r>
        <w:rPr>
          <w:rFonts w:hint="eastAsia" w:ascii="宋体" w:hAnsi="宋体" w:eastAsia="宋体" w:cs="宋体"/>
          <w:sz w:val="24"/>
          <w:szCs w:val="24"/>
          <w:highlight w:val="none"/>
        </w:rPr>
        <w:t>部门评定为准，达不到质量等级要求，承包单位应自费进行返工，工期不予顺延。</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6.3  中标单位应根据有关规范标准，严密组织，精心施工，确保工程质量，同时还应做到文明施工，确保施工区域内部及外部道路清洁安全。中标单位与建设单位签订施工承包合同的同时签订廉政责任书、安全生产协议书及文明施工协议书。</w:t>
      </w:r>
    </w:p>
    <w:p>
      <w:pPr>
        <w:tabs>
          <w:tab w:val="left" w:pos="1440"/>
          <w:tab w:val="left" w:pos="9500"/>
        </w:tabs>
        <w:spacing w:line="400" w:lineRule="exact"/>
        <w:ind w:firstLine="120" w:firstLineChars="50"/>
        <w:rPr>
          <w:rFonts w:hint="eastAsia" w:ascii="宋体" w:hAnsi="宋体" w:eastAsia="宋体" w:cs="宋体"/>
          <w:b/>
          <w:sz w:val="24"/>
          <w:szCs w:val="24"/>
          <w:highlight w:val="none"/>
        </w:rPr>
      </w:pPr>
      <w:r>
        <w:rPr>
          <w:rFonts w:hint="eastAsia" w:ascii="宋体" w:hAnsi="宋体" w:eastAsia="宋体" w:cs="宋体"/>
          <w:b/>
          <w:sz w:val="24"/>
          <w:szCs w:val="24"/>
          <w:highlight w:val="none"/>
        </w:rPr>
        <w:t xml:space="preserve">  </w:t>
      </w:r>
    </w:p>
    <w:p>
      <w:pPr>
        <w:tabs>
          <w:tab w:val="left" w:pos="1440"/>
          <w:tab w:val="left" w:pos="9500"/>
        </w:tabs>
        <w:spacing w:line="400" w:lineRule="exact"/>
        <w:ind w:firstLine="120" w:firstLineChars="50"/>
        <w:rPr>
          <w:rFonts w:hint="eastAsia" w:ascii="宋体" w:hAnsi="宋体" w:eastAsia="宋体" w:cs="宋体"/>
          <w:b/>
          <w:sz w:val="24"/>
          <w:szCs w:val="24"/>
          <w:highlight w:val="none"/>
        </w:rPr>
      </w:pPr>
      <w:r>
        <w:rPr>
          <w:rFonts w:hint="eastAsia" w:ascii="宋体" w:hAnsi="宋体" w:eastAsia="宋体" w:cs="宋体"/>
          <w:b/>
          <w:sz w:val="24"/>
          <w:szCs w:val="24"/>
          <w:highlight w:val="none"/>
        </w:rPr>
        <w:t>第七条  合同价款及调整</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7.1  在标书有效期内，承包人根据建设单位发出的中标通知书中指定的时间和地点合同。本工程采用工程量暂定，</w:t>
      </w:r>
      <w:r>
        <w:rPr>
          <w:rFonts w:hint="eastAsia" w:ascii="宋体" w:hAnsi="宋体" w:eastAsia="宋体" w:cs="宋体"/>
          <w:b/>
          <w:sz w:val="24"/>
          <w:szCs w:val="24"/>
          <w:highlight w:val="none"/>
        </w:rPr>
        <w:t>固定综合单价</w:t>
      </w:r>
      <w:r>
        <w:rPr>
          <w:rFonts w:hint="eastAsia" w:ascii="宋体" w:hAnsi="宋体" w:eastAsia="宋体" w:cs="宋体"/>
          <w:sz w:val="24"/>
          <w:szCs w:val="24"/>
          <w:highlight w:val="none"/>
        </w:rPr>
        <w:t>（包括但不限于：包工、包料、包工期、包质量、包材料检测、包安全、包验收、</w:t>
      </w:r>
      <w:r>
        <w:rPr>
          <w:rFonts w:hint="eastAsia" w:ascii="宋体" w:hAnsi="宋体" w:cs="宋体"/>
          <w:sz w:val="24"/>
          <w:szCs w:val="24"/>
          <w:highlight w:val="none"/>
          <w:lang w:val="en-US" w:eastAsia="zh-CN"/>
        </w:rPr>
        <w:t>包养护、</w:t>
      </w:r>
      <w:r>
        <w:rPr>
          <w:rFonts w:hint="eastAsia" w:ascii="宋体" w:hAnsi="宋体" w:eastAsia="宋体" w:cs="宋体"/>
          <w:sz w:val="24"/>
          <w:szCs w:val="24"/>
          <w:highlight w:val="none"/>
        </w:rPr>
        <w:t>包测试费、包工资及材料价之任何市场差价、管理费、利润、税金、社会保险、必须的加班费、费率或汇率的变动、专利费、包装空运、国外及本地存仓、运输、因材料或设备迟到工地的窝工费等等）的合同方式确定。如有变更，以签证形式纳入结算。</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7.2  由于下列原因合同价款可作调整：</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业主代表确认的工程量增减及签证；业主代表确认的设计变更或工程洽商。</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法律、行政法规和国家有关政策重大变化影响合同价款情况；</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7.3  签订合同后，如工程发生设计变更，则按下列原则结算：</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A、 合同中已有适用于变更项目的单价，按合同已有的单价计算变更项目价款；</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B、 合同中只有类似变更项目的单价，可以参考类似单价计算变更项目价款；</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C、 合同中没有适用或类似于变更项目的单价，按招标文件规定编制变更项目单价，变更项目的含量参照《上海市园林绿化工程预算定额（2016）》、《上海市建筑工程预算定额（2016）》、《上海市安装工程预算定额（2016）》消耗量为基数，人工、材料、机械单价，合同中有相同或类似的单价参照合同单价，无类似单价则参照施工期间的市场平均价格，并报发包人核批。材料或部分材料如适用于原投标书内的材料，则适用材料单价仍按投标书材料价格，变更人工单价仍执行原投标人工单价，所有费率按原投标书费率。</w:t>
      </w:r>
    </w:p>
    <w:p>
      <w:pPr>
        <w:spacing w:line="400" w:lineRule="exact"/>
        <w:ind w:firstLine="570"/>
        <w:rPr>
          <w:rFonts w:hint="eastAsia" w:ascii="宋体" w:hAnsi="宋体" w:eastAsia="宋体" w:cs="宋体"/>
          <w:sz w:val="24"/>
          <w:szCs w:val="24"/>
          <w:highlight w:val="none"/>
        </w:rPr>
      </w:pPr>
    </w:p>
    <w:p>
      <w:pPr>
        <w:tabs>
          <w:tab w:val="left" w:pos="1440"/>
          <w:tab w:val="left" w:pos="9500"/>
        </w:tabs>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 xml:space="preserve">第八条  合同价款的支付  </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8.1工程款支付由承包方向发包方方提出申请，经发包方签字盖章确认后，支付给承包方。</w:t>
      </w:r>
    </w:p>
    <w:p>
      <w:pPr>
        <w:spacing w:line="400" w:lineRule="exact"/>
        <w:ind w:firstLine="480" w:firstLineChars="200"/>
        <w:rPr>
          <w:rFonts w:hint="eastAsia" w:ascii="宋体" w:hAnsi="宋体" w:cs="宋体"/>
          <w:sz w:val="24"/>
          <w:szCs w:val="24"/>
          <w:highlight w:val="none"/>
          <w:lang w:eastAsia="zh-CN"/>
        </w:rPr>
      </w:pPr>
      <w:r>
        <w:rPr>
          <w:rFonts w:hint="eastAsia" w:ascii="宋体" w:hAnsi="宋体" w:eastAsia="宋体" w:cs="宋体"/>
          <w:sz w:val="24"/>
          <w:szCs w:val="24"/>
          <w:highlight w:val="none"/>
        </w:rPr>
        <w:t>8.2</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1</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本项目范围内所有绿化搬迁工作完成，</w:t>
      </w:r>
      <w:r>
        <w:rPr>
          <w:rFonts w:hint="eastAsia" w:ascii="宋体" w:hAnsi="宋体" w:cs="宋体"/>
          <w:sz w:val="24"/>
          <w:szCs w:val="24"/>
          <w:highlight w:val="none"/>
          <w:lang w:val="en-US" w:eastAsia="zh-CN"/>
        </w:rPr>
        <w:t>各部门验收完成</w:t>
      </w:r>
      <w:r>
        <w:rPr>
          <w:rFonts w:hint="eastAsia" w:ascii="宋体" w:hAnsi="宋体" w:eastAsia="宋体" w:cs="宋体"/>
          <w:sz w:val="24"/>
          <w:szCs w:val="24"/>
          <w:highlight w:val="none"/>
        </w:rPr>
        <w:t>发包人支付至合同价的</w:t>
      </w:r>
      <w:r>
        <w:rPr>
          <w:rFonts w:hint="eastAsia" w:ascii="宋体" w:hAnsi="宋体" w:cs="宋体"/>
          <w:sz w:val="24"/>
          <w:szCs w:val="24"/>
          <w:highlight w:val="none"/>
          <w:lang w:val="en-US" w:eastAsia="zh-CN"/>
        </w:rPr>
        <w:t>70</w:t>
      </w:r>
      <w:r>
        <w:rPr>
          <w:rFonts w:hint="eastAsia" w:ascii="宋体" w:hAnsi="宋体" w:eastAsia="宋体" w:cs="宋体"/>
          <w:sz w:val="24"/>
          <w:szCs w:val="24"/>
          <w:highlight w:val="none"/>
        </w:rPr>
        <w:t>%</w:t>
      </w:r>
      <w:r>
        <w:rPr>
          <w:rFonts w:hint="eastAsia" w:ascii="宋体" w:hAnsi="宋体" w:cs="宋体"/>
          <w:sz w:val="24"/>
          <w:szCs w:val="24"/>
          <w:highlight w:val="none"/>
          <w:lang w:eastAsia="zh-CN"/>
        </w:rPr>
        <w:t>；</w:t>
      </w:r>
    </w:p>
    <w:p>
      <w:pPr>
        <w:numPr>
          <w:ilvl w:val="0"/>
          <w:numId w:val="6"/>
        </w:numPr>
        <w:spacing w:line="400" w:lineRule="exact"/>
        <w:ind w:left="479" w:leftChars="228" w:firstLine="0" w:firstLineChars="0"/>
        <w:rPr>
          <w:rFonts w:hint="eastAsia" w:ascii="宋体" w:hAnsi="宋体" w:cs="宋体"/>
          <w:sz w:val="24"/>
          <w:szCs w:val="24"/>
          <w:highlight w:val="none"/>
          <w:lang w:val="en-US" w:eastAsia="zh-CN"/>
        </w:rPr>
      </w:pPr>
      <w:r>
        <w:rPr>
          <w:rFonts w:hint="eastAsia" w:ascii="宋体" w:hAnsi="宋体" w:eastAsia="宋体" w:cs="宋体"/>
          <w:sz w:val="24"/>
          <w:szCs w:val="24"/>
          <w:highlight w:val="none"/>
        </w:rPr>
        <w:t>经全过程投资控制单位审核、</w:t>
      </w:r>
      <w:r>
        <w:rPr>
          <w:rFonts w:hint="eastAsia" w:ascii="宋体" w:hAnsi="宋体" w:cs="宋体"/>
          <w:sz w:val="24"/>
          <w:szCs w:val="24"/>
          <w:highlight w:val="none"/>
          <w:lang w:val="en-US" w:eastAsia="zh-CN"/>
        </w:rPr>
        <w:t>发包人</w:t>
      </w:r>
      <w:r>
        <w:rPr>
          <w:rFonts w:hint="eastAsia" w:ascii="宋体" w:hAnsi="宋体" w:eastAsia="宋体" w:cs="宋体"/>
          <w:sz w:val="24"/>
          <w:szCs w:val="24"/>
          <w:highlight w:val="none"/>
        </w:rPr>
        <w:t>审计结束后</w:t>
      </w:r>
      <w:r>
        <w:rPr>
          <w:rFonts w:hint="eastAsia" w:ascii="宋体" w:hAnsi="宋体" w:cs="宋体"/>
          <w:sz w:val="24"/>
          <w:szCs w:val="24"/>
          <w:highlight w:val="none"/>
          <w:lang w:val="en-US" w:eastAsia="zh-CN"/>
        </w:rPr>
        <w:t>支付至</w:t>
      </w:r>
      <w:r>
        <w:rPr>
          <w:rFonts w:hint="eastAsia" w:ascii="宋体" w:hAnsi="宋体" w:eastAsia="宋体" w:cs="宋体"/>
          <w:sz w:val="24"/>
          <w:szCs w:val="24"/>
          <w:highlight w:val="none"/>
        </w:rPr>
        <w:t>审定价</w:t>
      </w:r>
      <w:r>
        <w:rPr>
          <w:rFonts w:hint="eastAsia" w:ascii="宋体" w:hAnsi="宋体" w:cs="宋体"/>
          <w:sz w:val="24"/>
          <w:szCs w:val="24"/>
          <w:highlight w:val="none"/>
          <w:lang w:val="en-US" w:eastAsia="zh-CN"/>
        </w:rPr>
        <w:t>的80%</w:t>
      </w:r>
    </w:p>
    <w:p>
      <w:pPr>
        <w:numPr>
          <w:ilvl w:val="0"/>
          <w:numId w:val="0"/>
        </w:numPr>
        <w:spacing w:line="400" w:lineRule="exact"/>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养护期2年到期后学校相关职能部门组织验收达到100%存活率</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且长势良好</w:t>
      </w:r>
      <w:r>
        <w:rPr>
          <w:rFonts w:hint="eastAsia" w:ascii="宋体" w:hAnsi="宋体" w:eastAsia="宋体" w:cs="宋体"/>
          <w:sz w:val="24"/>
          <w:szCs w:val="24"/>
          <w:highlight w:val="none"/>
        </w:rPr>
        <w:t>后</w:t>
      </w:r>
      <w:r>
        <w:rPr>
          <w:rFonts w:hint="eastAsia" w:ascii="宋体" w:hAnsi="宋体" w:cs="宋体"/>
          <w:sz w:val="24"/>
          <w:szCs w:val="24"/>
          <w:highlight w:val="none"/>
          <w:lang w:val="en-US" w:eastAsia="zh-CN"/>
        </w:rPr>
        <w:t>无息</w:t>
      </w:r>
      <w:r>
        <w:rPr>
          <w:rFonts w:hint="eastAsia" w:ascii="宋体" w:hAnsi="宋体" w:eastAsia="宋体" w:cs="宋体"/>
          <w:sz w:val="24"/>
          <w:szCs w:val="24"/>
          <w:highlight w:val="none"/>
        </w:rPr>
        <w:t>支付余款</w:t>
      </w:r>
      <w:r>
        <w:rPr>
          <w:rFonts w:hint="eastAsia" w:ascii="宋体" w:hAnsi="宋体" w:cs="宋体"/>
          <w:sz w:val="24"/>
          <w:szCs w:val="24"/>
          <w:highlight w:val="none"/>
          <w:lang w:eastAsia="zh-CN"/>
        </w:rPr>
        <w:t>。</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8.4所有因变更或约定可调整的合同价款或追加合同价款，不与工程进度款同步调整，仅限于在最终结算时支付。</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8.5本工程项目发包人已委托造价咨询单位承担全过程造价控制及竣工结算审价服务。承包人编制的结算造价与审核后造价相差5%以上的，承包人将承担核减额超过5%以上的审价费用，并由发包人代扣代付。项目核减、核增5%以上部分分别按差额定率累进收费，计算标准如下： </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100万元以下（含100万元）按6.3%，100至500万元 （含500万元）按5.7%，500至1000万元（含1000万元）按5.1%，1000至3000万元 （含3000万元）按4.0%，3000至5000万元 （含5000万元）按3.8%，5000至10000万元 （含10000万元）按3.6%，10000万元以上按3.2%。</w:t>
      </w:r>
    </w:p>
    <w:p>
      <w:pPr>
        <w:tabs>
          <w:tab w:val="left" w:pos="1440"/>
          <w:tab w:val="left" w:pos="9500"/>
        </w:tabs>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第九条  材料采购、运输、仓储及保护</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9.1  本工程需要的材料由承包方自行投标、采购、运输并送到现场。</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9.2  承包方所采购的材料必须符合设计和规范要求，如因材料不合格而造成的返工等各种经济损失，均由承包方自负。</w:t>
      </w:r>
    </w:p>
    <w:p>
      <w:pPr>
        <w:pStyle w:val="29"/>
        <w:spacing w:line="400" w:lineRule="exact"/>
        <w:ind w:firstLine="120" w:firstLineChars="50"/>
        <w:rPr>
          <w:rFonts w:hint="eastAsia" w:ascii="宋体" w:hAnsi="宋体" w:eastAsia="宋体" w:cs="宋体"/>
          <w:b/>
          <w:sz w:val="24"/>
          <w:szCs w:val="24"/>
          <w:highlight w:val="none"/>
        </w:rPr>
      </w:pPr>
    </w:p>
    <w:p>
      <w:pPr>
        <w:pStyle w:val="29"/>
        <w:tabs>
          <w:tab w:val="left" w:pos="2984"/>
        </w:tabs>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第十条  投标说明</w:t>
      </w:r>
      <w:r>
        <w:rPr>
          <w:rFonts w:hint="eastAsia" w:ascii="宋体" w:hAnsi="宋体" w:eastAsia="宋体" w:cs="宋体"/>
          <w:b/>
          <w:sz w:val="24"/>
          <w:szCs w:val="24"/>
          <w:highlight w:val="none"/>
        </w:rPr>
        <w:tab/>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10.1  投标编制依据：</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10.1.1 《建设工程工程量清单计价规范》GB50500－2013、《上海市园林绿化工程预算定额（2016）》、《上海市建筑工程预算定额（2016）》、《上海市安装工程预算定额（2016）》</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10.1.2  市政府、市建委、市定额站的有关文件；</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10.1.3  上海市建设主管部门颁发的与计价规范相配套的其他现行文件和规定；</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10.1.4  图纸（电子版）；</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10.1.5  本招标文件及答疑会纪要等补充招标文件；</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10.1.6  工程量清单；</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10.1.7  投标应根据招标文件中的工程量清单和有关要求、施工现场实际情况及拟定的施工方案、施工组织设计，依据企业定额和参照建设行政主管部门发布的社会平均消耗量定额，参照市场信息价格，结合自身实力，充分考虑市场风险进行编制；</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10.2  工程量清单及投标的有关说明、规定：</w:t>
      </w:r>
    </w:p>
    <w:p>
      <w:pPr>
        <w:pStyle w:val="31"/>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10.2.1  工程量清单由分部分项工程量清单、措施项目清单和其他项目清单组成。其工程总造价由分部分项工程量清单总费用、措施项目清单总费用组成。</w:t>
      </w:r>
    </w:p>
    <w:p>
      <w:pPr>
        <w:pStyle w:val="29"/>
        <w:spacing w:line="400" w:lineRule="exact"/>
        <w:ind w:firstLine="720" w:firstLineChars="300"/>
        <w:rPr>
          <w:rFonts w:hint="eastAsia" w:ascii="宋体" w:hAnsi="宋体" w:eastAsia="宋体" w:cs="宋体"/>
          <w:kern w:val="0"/>
          <w:sz w:val="24"/>
          <w:szCs w:val="24"/>
          <w:highlight w:val="none"/>
          <w:lang w:val="en-US"/>
        </w:rPr>
      </w:pPr>
      <w:r>
        <w:rPr>
          <w:rFonts w:hint="eastAsia" w:ascii="宋体" w:hAnsi="宋体" w:eastAsia="宋体" w:cs="宋体"/>
          <w:sz w:val="24"/>
          <w:szCs w:val="24"/>
          <w:highlight w:val="none"/>
        </w:rPr>
        <w:t>10.2.2  措施项目费是指分部分项工程费用以外，为完成该工程项目施工，发生于该工程施工前和施工过程中技术、生活、安全等方面的非工程实体项目</w:t>
      </w:r>
      <w:r>
        <w:rPr>
          <w:rFonts w:hint="eastAsia" w:ascii="宋体" w:hAnsi="宋体" w:eastAsia="宋体" w:cs="宋体"/>
          <w:b/>
          <w:sz w:val="24"/>
          <w:szCs w:val="24"/>
          <w:highlight w:val="none"/>
        </w:rPr>
        <w:t>。包括：临时设施</w:t>
      </w:r>
      <w:r>
        <w:rPr>
          <w:rFonts w:hint="eastAsia" w:ascii="宋体" w:hAnsi="宋体" w:eastAsia="宋体" w:cs="宋体"/>
          <w:b/>
          <w:kern w:val="0"/>
          <w:sz w:val="24"/>
          <w:szCs w:val="24"/>
          <w:highlight w:val="none"/>
          <w:lang w:val="en-US"/>
        </w:rPr>
        <w:t>费、现场安全文明施工措施费</w:t>
      </w:r>
      <w:r>
        <w:rPr>
          <w:rFonts w:hint="eastAsia" w:hAnsi="宋体" w:cs="宋体"/>
          <w:b/>
          <w:kern w:val="0"/>
          <w:sz w:val="24"/>
          <w:szCs w:val="24"/>
          <w:highlight w:val="none"/>
          <w:lang w:val="en-US" w:eastAsia="zh-CN"/>
        </w:rPr>
        <w:t>、</w:t>
      </w:r>
      <w:r>
        <w:rPr>
          <w:rFonts w:hint="eastAsia" w:ascii="宋体" w:hAnsi="宋体" w:eastAsia="宋体" w:cs="宋体"/>
          <w:b/>
          <w:kern w:val="0"/>
          <w:sz w:val="24"/>
          <w:szCs w:val="24"/>
          <w:highlight w:val="none"/>
          <w:lang w:val="en-US"/>
        </w:rPr>
        <w:t>吊运等</w:t>
      </w:r>
      <w:r>
        <w:rPr>
          <w:rFonts w:hint="eastAsia" w:ascii="宋体" w:hAnsi="宋体" w:eastAsia="宋体" w:cs="宋体"/>
          <w:kern w:val="0"/>
          <w:sz w:val="24"/>
          <w:szCs w:val="24"/>
          <w:highlight w:val="none"/>
          <w:lang w:val="en-US"/>
        </w:rPr>
        <w:t>。</w:t>
      </w:r>
      <w:r>
        <w:rPr>
          <w:rFonts w:hint="eastAsia" w:ascii="宋体" w:hAnsi="宋体" w:eastAsia="宋体" w:cs="宋体"/>
          <w:b/>
          <w:bCs/>
          <w:kern w:val="0"/>
          <w:sz w:val="24"/>
          <w:szCs w:val="24"/>
          <w:highlight w:val="none"/>
          <w:lang w:val="en-US"/>
        </w:rPr>
        <w:t>措施费包干使用，不因工程量的增减及设计变更等原因调整。</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10.2.5  综合单价是指完成工程量清单中一个规定计量单位项目所需的人工费、材料费、机械使用费、管理费</w:t>
      </w:r>
      <w:r>
        <w:rPr>
          <w:rFonts w:hint="eastAsia" w:hAnsi="宋体" w:cs="宋体"/>
          <w:sz w:val="24"/>
          <w:szCs w:val="24"/>
          <w:highlight w:val="none"/>
          <w:lang w:eastAsia="zh-CN"/>
        </w:rPr>
        <w:t>、</w:t>
      </w:r>
      <w:r>
        <w:rPr>
          <w:rFonts w:hint="eastAsia" w:ascii="宋体" w:hAnsi="宋体" w:eastAsia="宋体" w:cs="宋体"/>
          <w:sz w:val="24"/>
          <w:szCs w:val="24"/>
          <w:highlight w:val="none"/>
        </w:rPr>
        <w:t>利润</w:t>
      </w:r>
      <w:r>
        <w:rPr>
          <w:rFonts w:hint="eastAsia" w:ascii="宋体" w:hAnsi="宋体" w:eastAsia="宋体" w:cs="宋体"/>
          <w:sz w:val="24"/>
          <w:szCs w:val="24"/>
          <w:highlight w:val="none"/>
          <w:lang w:val="en-US" w:eastAsia="zh-CN"/>
        </w:rPr>
        <w:t>和两年养护费</w:t>
      </w:r>
      <w:r>
        <w:rPr>
          <w:rFonts w:hint="eastAsia" w:ascii="宋体" w:hAnsi="宋体" w:eastAsia="宋体" w:cs="宋体"/>
          <w:sz w:val="24"/>
          <w:szCs w:val="24"/>
          <w:highlight w:val="none"/>
        </w:rPr>
        <w:t>等，并考虑风险因素。</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10.2.6  投标单位投标时应根据设计图纸、现场踏勘情况及招标文件所提供的承包范围、内容、要求和工程量清单，结合该工程的施工组织设计进行综合考虑，按照《建设工程工程量清单计价规范》规定的统一格式投标。工程量清单与施工图纸有矛盾或缺漏的，以工程量清单为准。</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10.2.7  投标单位在利用自身的优势（企业综合管理能力、劳动效率、材料采购渠道等）进行投标时，如果意识到自身的总投标有可能明显低于其他投标、或主要材料投标明显低于合理市场价格并有可能被评标委员会认为低于个别成本价的，投标单位在投标文件综合说明条款中作出书面说明并提供相关证明材料。</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10.2.9  中标后，承包单位由于考虑不周、漏报、少报而要求追加投标将不会被建设方所接受。</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10.2.10  投标清单中的每一单项均需填写单价和合价，对没有填写单价或合价的项目的费用，应视为已包括在投标清单的其他单价或合价之中，业主方不会因此而免除承包人应承担的一切责任。</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10.2.11 一旦中标，投标人投标中的综合单价将作为工程结算付款的依据，除非合同条款另有规定，不得擅自变更。施工过程中若发生重大设计变更引起工程量变化的，则投标的综合单价不变，工程价款相应调整，调整原则同本招标文件7.3条规定。</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10.2.12  投标单位按工程量清单，</w:t>
      </w:r>
      <w:r>
        <w:rPr>
          <w:rFonts w:hint="eastAsia" w:ascii="宋体" w:hAnsi="宋体" w:eastAsia="宋体" w:cs="宋体"/>
          <w:b/>
          <w:bCs/>
          <w:sz w:val="24"/>
          <w:szCs w:val="24"/>
          <w:highlight w:val="none"/>
        </w:rPr>
        <w:t>并根据现行市场价格和投标单位自身经济实力进行投标，优惠及下浮考虑在综合报价内，</w:t>
      </w:r>
      <w:r>
        <w:rPr>
          <w:rFonts w:hint="eastAsia" w:ascii="宋体" w:hAnsi="宋体" w:eastAsia="宋体" w:cs="宋体"/>
          <w:sz w:val="24"/>
          <w:szCs w:val="24"/>
          <w:highlight w:val="none"/>
        </w:rPr>
        <w:t>单价填入工程量清单投标表的综合单价栏中。填入《上海市建设工程施工投标标书情况汇总表》中的分项投标及总投标必须与工程量清单投标表中的相应栏目中的金额保持对应关系，如出现不相符合的情况，该投标将被视为无效标。</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10.2.13  本次招标的投标，暂按本文件提供的“工程量清单”为准，实际工作量的修正，按上述10.2.11款的有关规定执行。</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10.2.14  投标单位应在提供的工程量清单电子文本中，按照招标单位要求附上清单项目的单价分析，如没有附以上项目单价分析的，则按无效标处理。</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10.2.15  如在投标中，出现电子文本投标与书面文本投标不一致时，以书面文本投标为准进行调整。</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10.2.16  开标后对商务标进行初步回标分析，由评标委员会进一步评审，并可就有关问题要求投标单位予以书面澄清。投标单位的商务标如存在以下情况的，经评标委员会评审后可作为废标：</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A、招标文件规定须加盖投标人公章和法定代表人或法定代表人授权代表人的盖章或签字，但投标文件无盖章或盖章、签字不齐全的；</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B、</w:t>
      </w:r>
      <w:bookmarkStart w:id="82" w:name="_Hlk2335774"/>
      <w:r>
        <w:rPr>
          <w:rFonts w:hint="eastAsia" w:ascii="宋体" w:hAnsi="宋体" w:eastAsia="宋体" w:cs="宋体"/>
          <w:sz w:val="24"/>
          <w:szCs w:val="24"/>
          <w:highlight w:val="none"/>
        </w:rPr>
        <w:t>投标文件未按照招标文件规定的格式填写</w:t>
      </w:r>
      <w:bookmarkEnd w:id="82"/>
      <w:r>
        <w:rPr>
          <w:rFonts w:hint="eastAsia" w:ascii="宋体" w:hAnsi="宋体" w:eastAsia="宋体" w:cs="宋体"/>
          <w:sz w:val="24"/>
          <w:szCs w:val="24"/>
          <w:highlight w:val="none"/>
        </w:rPr>
        <w:t>，内容不全或者关键字迹模糊、无法确认的；投标文件未按照招标文件规定的要求装订的</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C、投标人递交两份或多份内容不同的投标文件，或在一份投标文件中对同一招标项目报有两个或多个报价，且未声明哪一个有效；按招标文件规定提交备选投标方案的除外；</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D、投标文件载明的招标项目完成期限超过招标文件规定的期限；</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E、投标文件附有招标人不能接受的其它条件（包括但不限于以下情况）：</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 投标人未接受招标文件规定的风险划分原则，或者投标人提出新的风险划分办法；</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2) 投标人增加招标单位的责任范围，或者减少投标人义务；</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3) 投标人提出不同的工程验收、计量、支付办法；</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4) 投标人对合同、事故处理办法提出异议；</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5) 投标文件中拟派的项目经理不符合施工要求的；</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6) 投标人对合同条款出现重要保留；</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F、投标人在投标活动中出现欺诈行为；</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G、投标文件明显不符合招标文件规定的技术规格、技术标准的要求；</w:t>
      </w:r>
    </w:p>
    <w:p>
      <w:pPr>
        <w:spacing w:line="400" w:lineRule="exact"/>
        <w:ind w:firstLine="723" w:firstLineChars="300"/>
        <w:rPr>
          <w:rFonts w:hint="eastAsia" w:ascii="宋体" w:hAnsi="宋体" w:eastAsia="宋体" w:cs="宋体"/>
          <w:b/>
          <w:sz w:val="24"/>
          <w:szCs w:val="24"/>
          <w:highlight w:val="none"/>
        </w:rPr>
      </w:pPr>
      <w:r>
        <w:rPr>
          <w:rFonts w:hint="eastAsia" w:ascii="宋体" w:hAnsi="宋体" w:eastAsia="宋体" w:cs="宋体"/>
          <w:b/>
          <w:sz w:val="24"/>
          <w:szCs w:val="24"/>
          <w:highlight w:val="none"/>
        </w:rPr>
        <w:t>H、投标文件报价明显不符合招标文件规定的有关报价要求（不限于以下）：</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1）本工程工料消耗依据：《上海市园林绿化工程预算定额（2016）》、《上海市建筑工程预算定额（2016）》、《上海市安装工程预算定额（2016）》。</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2）企业管理费和利润费率参照“沪建市管〔2016〕42号文”文件进行报价。</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3）措施项目清单中的安全防护、文明施工措施费应进行费用明细报价，其合计金额不得低于以分部分项工程费为基数，乘以最低费率1.31%的90%（即1.179%）。（最低费率与上限费率应根据《上海市建设工程安全防护、文明施工措施费用管理暂行规定》（沪建交〔2006〕445号）明确）。依据“沪建交（2006）445号文”文件中附件2指定控制措施项目总报价的费率。</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4）增值税参照“沪建市管[2019]19文”文件进行报价，增值税税率9%</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5）社会保险费及住房公积金 按沪建市管〔2019〕24号文执行。</w:t>
      </w:r>
    </w:p>
    <w:p>
      <w:pPr>
        <w:tabs>
          <w:tab w:val="left" w:pos="1780"/>
        </w:tabs>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6）发生10.3条款所规定的情况时，其修正值的总和大于或等于“该投标人的工程量清单报价”的5%。（“该投标人的工程量清单报价”指已扣除了暂定价材料和设备的报价金额）；</w:t>
      </w:r>
    </w:p>
    <w:p>
      <w:pPr>
        <w:tabs>
          <w:tab w:val="left" w:pos="1780"/>
        </w:tabs>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7）提供材料或设备的“指定单价”或“暂定单价”的子目，投标单位变动其主材或设备报价的。</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8) 本次投标的人工费参照建设工程（上海地区）《建材与造价咨讯》发布的2021年6月建设工程价格市场信息中人工、主材单价（定额工日劳务发包承包价）的范围内进行报价。</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I、评标委员会发现投标人以他人的名义投标、串通投标、以行贿手段谋取中标或者以其他弄虚作假方式投标的，该投标人的投标应作废标处理。</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J、高于招标控制价或低于企业成本的报价：评标委员会发现投标人的报价明显低于其他投标人，或者其投标报价明显低于社会平均报价水平。</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K、未按招标文件规定的方式递交投标保证金的</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L、评标委员会认为不符合招标文件规定的其他实质性要求。</w:t>
      </w:r>
    </w:p>
    <w:p>
      <w:pPr>
        <w:spacing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sz w:val="24"/>
          <w:szCs w:val="24"/>
          <w:highlight w:val="none"/>
        </w:rPr>
        <w:t>10.3  投标报价的修正</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10.3.1细微偏差：投标文件实质上响应招标文件的要求，但在个别地方存在漏项或者提供了不完整的技术信息和数据等情况，并且补正这些遗漏或者不完整不会对其他投标人造成不公平的结果。评标委员会应当书面要求投标人对其细微偏差进行补正，原则为对其作不利于该投标人的量化。报价的补正、量化标准应符合招投标法的规定，不得有实质性的改变和调整。</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10.3.2计算上或累计上的错误，修正的原则如下：</w:t>
      </w:r>
    </w:p>
    <w:p>
      <w:pPr>
        <w:pStyle w:val="43"/>
        <w:spacing w:after="0" w:line="400" w:lineRule="exact"/>
        <w:ind w:left="0" w:leftChars="0"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1)用数字表示的数额与用文字表示的数额不一致时，以文字数额为准；单价与工程量的乘积与总价之间不一致时，以单价为准；若单价有明显的小数点错位，应以合价为准，同时修正单价。</w:t>
      </w:r>
    </w:p>
    <w:p>
      <w:pPr>
        <w:pStyle w:val="43"/>
        <w:spacing w:after="0" w:line="400" w:lineRule="exact"/>
        <w:ind w:left="0" w:leftChars="0"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2)投标的书面文件与电子文本应当一致，总报价与分项报价之和应当相符，综合单价报价与综合单价分析表应当相符，工、料、机清单单价与分部分项综合单价中的工、料、机单价应当相符；当出现不一致或不相符的情况时，评标委员会在评审时将按最不利于该投标人的原则进行修正。综合单价明显低于市场平均价的，经评标委员会评定后（包括对其提供证明材料的真实性的评定）评标委员会有权对其作不利于该投标人的量化（量化标准为：按照该项目有效标中最高报价予以修正）</w:t>
      </w:r>
    </w:p>
    <w:p>
      <w:pPr>
        <w:pStyle w:val="29"/>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10.3.3评标综合单价及总报价修正的原则如下：</w:t>
      </w:r>
    </w:p>
    <w:p>
      <w:pPr>
        <w:pStyle w:val="43"/>
        <w:spacing w:after="0" w:line="400" w:lineRule="exact"/>
        <w:ind w:left="0" w:leftChars="0"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1）主要分部分项的综合单价报价低于“平均报价”且明显低于市场合理低价的，经评标委员会评审后，按照该项的有效投标人中最高报价予以修正。</w:t>
      </w:r>
    </w:p>
    <w:p>
      <w:pPr>
        <w:pStyle w:val="43"/>
        <w:spacing w:after="0" w:line="400" w:lineRule="exact"/>
        <w:ind w:left="0" w:leftChars="0"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2）综合单价报“0”或“负”的报价，投标人无充分理由说明的，按照此项有效投标人中最高报价予以修正。</w:t>
      </w:r>
    </w:p>
    <w:p>
      <w:pPr>
        <w:pStyle w:val="43"/>
        <w:spacing w:after="0" w:line="400" w:lineRule="exact"/>
        <w:ind w:left="0" w:leftChars="0"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3）工程内相同子目（项目特征、工作内容及主材相同）的综合单价报价前后不一致，评标委员会评审时有权对其作不利于该投标人的量化； </w:t>
      </w:r>
    </w:p>
    <w:p>
      <w:pPr>
        <w:pStyle w:val="43"/>
        <w:spacing w:after="0" w:line="400" w:lineRule="exact"/>
        <w:ind w:left="0" w:leftChars="0"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4）上述修正总报价作为评标打分的依据，不等于中标价；一旦中标后，中标价应按原投标价计。</w:t>
      </w:r>
    </w:p>
    <w:p>
      <w:pPr>
        <w:spacing w:line="400" w:lineRule="exact"/>
        <w:ind w:firstLine="482" w:firstLineChars="200"/>
        <w:rPr>
          <w:rFonts w:hint="eastAsia" w:ascii="宋体" w:hAnsi="宋体" w:eastAsia="宋体" w:cs="宋体"/>
          <w:sz w:val="24"/>
          <w:szCs w:val="24"/>
          <w:highlight w:val="none"/>
        </w:rPr>
      </w:pPr>
      <w:r>
        <w:rPr>
          <w:rFonts w:hint="eastAsia" w:ascii="宋体" w:hAnsi="宋体" w:eastAsia="宋体" w:cs="宋体"/>
          <w:b/>
          <w:sz w:val="24"/>
          <w:szCs w:val="24"/>
          <w:highlight w:val="none"/>
        </w:rPr>
        <w:t>10.4  投标报价的优惠：</w:t>
      </w:r>
      <w:r>
        <w:rPr>
          <w:rFonts w:hint="eastAsia" w:ascii="宋体" w:hAnsi="宋体" w:eastAsia="宋体" w:cs="宋体"/>
          <w:sz w:val="24"/>
          <w:szCs w:val="24"/>
          <w:highlight w:val="none"/>
        </w:rPr>
        <w:t>投标人对报价作出优惠、让利应在投标文件中说明并提供相应的证明，没有列入投标文件，而在澄清、说明和补正时作的补充说明，评标时不予考虑。</w:t>
      </w:r>
    </w:p>
    <w:p>
      <w:pPr>
        <w:pStyle w:val="29"/>
        <w:spacing w:line="400" w:lineRule="exact"/>
        <w:ind w:firstLine="361" w:firstLineChars="150"/>
        <w:rPr>
          <w:rFonts w:hint="eastAsia" w:ascii="宋体" w:hAnsi="宋体" w:eastAsia="宋体" w:cs="宋体"/>
          <w:b/>
          <w:sz w:val="24"/>
          <w:szCs w:val="24"/>
          <w:highlight w:val="none"/>
        </w:rPr>
      </w:pPr>
    </w:p>
    <w:p>
      <w:pPr>
        <w:pStyle w:val="29"/>
        <w:spacing w:line="400" w:lineRule="exact"/>
        <w:rPr>
          <w:rFonts w:hint="eastAsia" w:ascii="宋体" w:hAnsi="宋体" w:eastAsia="宋体" w:cs="宋体"/>
          <w:sz w:val="24"/>
          <w:szCs w:val="24"/>
          <w:highlight w:val="none"/>
        </w:rPr>
      </w:pPr>
      <w:r>
        <w:rPr>
          <w:rFonts w:hint="eastAsia" w:ascii="宋体" w:hAnsi="宋体" w:eastAsia="宋体" w:cs="宋体"/>
          <w:b/>
          <w:sz w:val="24"/>
          <w:szCs w:val="24"/>
          <w:highlight w:val="none"/>
        </w:rPr>
        <w:t>第十一条  工程管理要求</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11.1中标施工单位应严格按照已确认的施工组织设计组织施工，并无条件地接受项目管理单位和投资监理单位对工程施工质量、进度、造价、安全及文明施工的监督管理。</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11.2承包人对施工招标承包范围内的工程项目一律不得转包 ，否则一经查实，立即取消中标单位的承包资格，并承担由此引起的一切后果。</w:t>
      </w:r>
    </w:p>
    <w:p>
      <w:pPr>
        <w:pStyle w:val="29"/>
        <w:spacing w:line="400" w:lineRule="exact"/>
        <w:rPr>
          <w:rFonts w:hint="eastAsia" w:ascii="宋体" w:hAnsi="宋体" w:eastAsia="宋体" w:cs="宋体"/>
          <w:sz w:val="24"/>
          <w:szCs w:val="24"/>
          <w:highlight w:val="none"/>
        </w:rPr>
      </w:pPr>
    </w:p>
    <w:p>
      <w:pPr>
        <w:snapToGrid w:val="0"/>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第十二条  投标书内容</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12.1  商务标内容 </w:t>
      </w:r>
    </w:p>
    <w:p>
      <w:pPr>
        <w:tabs>
          <w:tab w:val="left" w:pos="1440"/>
          <w:tab w:val="left" w:pos="9500"/>
        </w:tabs>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12.1.1  投标书综合说明</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12.1.2  投标保证书</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12.1.3  投标书附录</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12.1.4  投标书情况汇总表（上海市建设工程投标标书情况汇总表（表九）） </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12.1.5  工程量投标清单（按工程量清单计价规范格式），同时提供GBQ6电子商务文件一份。</w:t>
      </w:r>
    </w:p>
    <w:p>
      <w:pPr>
        <w:pStyle w:val="31"/>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12.1.6  法定代表人资格证明书</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12.1.7  授权委托书</w:t>
      </w:r>
    </w:p>
    <w:p>
      <w:pPr>
        <w:spacing w:line="400" w:lineRule="exact"/>
        <w:ind w:firstLine="720" w:firstLineChars="300"/>
        <w:rPr>
          <w:rFonts w:hint="eastAsia" w:ascii="宋体" w:hAnsi="宋体" w:eastAsia="宋体" w:cs="宋体"/>
          <w:spacing w:val="-14"/>
          <w:sz w:val="24"/>
          <w:szCs w:val="24"/>
          <w:highlight w:val="none"/>
        </w:rPr>
      </w:pPr>
      <w:r>
        <w:rPr>
          <w:rFonts w:hint="eastAsia" w:ascii="宋体" w:hAnsi="宋体" w:eastAsia="宋体" w:cs="宋体"/>
          <w:sz w:val="24"/>
          <w:szCs w:val="24"/>
          <w:highlight w:val="none"/>
        </w:rPr>
        <w:t>12.1.8  提供优惠条件的说明（如有）可填入投标标书情况汇总表的说明栏内</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12.2  技术标内容</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12.2.1  技术标总体说明</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12.2.2  施工准备工作计划。</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12.2.3  施工方案和技术措施</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12.2.4  施工进度计划</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12.2.5  施工现场平面布置</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12.2.6  主要劳动力配备（并单独注明预计使用外地从业人员的工日数）</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12.2.7  主要施工机械设备表（规格型号、数量、性能）</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12.2.8  材料等供应计划</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12.2.9  质量保证措施</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12.2.10  安全、文明施工措施</w:t>
      </w:r>
    </w:p>
    <w:p>
      <w:pPr>
        <w:pStyle w:val="31"/>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12.2.11  </w:t>
      </w:r>
      <w:r>
        <w:rPr>
          <w:rFonts w:hint="eastAsia" w:ascii="宋体" w:hAnsi="宋体" w:eastAsia="宋体" w:cs="宋体"/>
          <w:spacing w:val="-14"/>
          <w:sz w:val="24"/>
          <w:szCs w:val="24"/>
          <w:highlight w:val="none"/>
        </w:rPr>
        <w:t>工程项目管理人员名单（包括年龄、履历、简介及职务等）</w:t>
      </w:r>
    </w:p>
    <w:p>
      <w:pPr>
        <w:tabs>
          <w:tab w:val="left" w:pos="0"/>
        </w:tabs>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12.2.12  附件（包括企业资质证书、营业执照、诚信手册等有关文件资料复印件）</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12.3  电子文本内容（GBQ6商务文件）</w:t>
      </w:r>
    </w:p>
    <w:p>
      <w:pPr>
        <w:pStyle w:val="31"/>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12.3.1  工程量清单总费用及组成</w:t>
      </w:r>
    </w:p>
    <w:p>
      <w:pPr>
        <w:pStyle w:val="31"/>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12.3.2  措施项目清单总费用及组成</w:t>
      </w:r>
    </w:p>
    <w:p>
      <w:pPr>
        <w:tabs>
          <w:tab w:val="left" w:pos="0"/>
        </w:tabs>
        <w:spacing w:line="400" w:lineRule="exact"/>
        <w:ind w:firstLine="471"/>
        <w:rPr>
          <w:rFonts w:hint="eastAsia" w:ascii="宋体" w:hAnsi="宋体" w:eastAsia="宋体" w:cs="宋体"/>
          <w:sz w:val="24"/>
          <w:szCs w:val="24"/>
          <w:highlight w:val="none"/>
        </w:rPr>
      </w:pPr>
    </w:p>
    <w:p>
      <w:pPr>
        <w:tabs>
          <w:tab w:val="left" w:pos="1440"/>
          <w:tab w:val="left" w:pos="9500"/>
        </w:tabs>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第十三条  投标文件编制要求</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13.1  投标人应对本招标标书进行充分分析，并在熟悉图纸和现场的基础上，编写投标标书。</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13.2  本工程投标书必须内容齐全，字迹清楚，并符合招标文件书所附的投标书有关张页的规定格式编写。</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13.3  投标标书内下列各页必须加盖单位公章和法定代表人章。</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（1）投标编制说明。</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（2）投标标书情况汇总表。 </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（3）投标投标清单各页</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（4）投标书中规定格式标有盖章处之各页。</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13.4  投标书（书面）一式伍份，其中正本壹份，副本肆份，商务文件电子文本一份。</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13.5  商务标内容应按招标文件(包括答疑会纪要、招标补充文件)规定的所有内容和条目顺序编制，如有省缺，将被视作不响应招标文件而成为无效标。 技术标的内容应按照招标文件规定的内容条目和顺序编写，不要任意增加、减少或顺序颠倒，但每一条目下的内容则可根据本工程及投标人的实际情况自行分段安排，如出现规定的条目无法涵盖的内容，可安排在第一个条目“技术标总体说明”中叙述。</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w:t>
      </w: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 xml:space="preserve">  电子文本一套，在表面贴上标签并加盖单位公章和法定代表人章。</w:t>
      </w:r>
    </w:p>
    <w:p>
      <w:pPr>
        <w:spacing w:line="400" w:lineRule="exact"/>
        <w:ind w:firstLine="480" w:firstLineChars="200"/>
        <w:rPr>
          <w:rFonts w:hint="eastAsia" w:ascii="宋体" w:hAnsi="宋体" w:eastAsia="宋体" w:cs="宋体"/>
          <w:sz w:val="24"/>
          <w:szCs w:val="24"/>
          <w:highlight w:val="none"/>
        </w:rPr>
      </w:pPr>
    </w:p>
    <w:p>
      <w:pPr>
        <w:tabs>
          <w:tab w:val="left" w:pos="1440"/>
          <w:tab w:val="left" w:pos="9500"/>
        </w:tabs>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第十四条 开标</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14.1  投标文件有下列情况之一者将当场宣布无效：</w:t>
      </w:r>
    </w:p>
    <w:p>
      <w:pPr>
        <w:spacing w:line="400" w:lineRule="exact"/>
        <w:ind w:firstLine="720" w:firstLineChars="300"/>
        <w:rPr>
          <w:rFonts w:hint="eastAsia" w:ascii="宋体" w:hAnsi="宋体" w:eastAsia="宋体" w:cs="宋体"/>
          <w:sz w:val="24"/>
          <w:szCs w:val="24"/>
          <w:highlight w:val="none"/>
        </w:rPr>
      </w:pPr>
      <w:r>
        <w:rPr>
          <w:rFonts w:hint="eastAsia" w:ascii="宋体" w:hAnsi="宋体" w:eastAsia="宋体" w:cs="宋体"/>
          <w:sz w:val="24"/>
          <w:szCs w:val="24"/>
          <w:highlight w:val="none"/>
        </w:rPr>
        <w:t>14.1.1  投标文件未按规定标志、密封；</w:t>
      </w:r>
    </w:p>
    <w:p>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14.1.2  未经法定代表人签署或未加盖投标单位公章或未加盖法定代表人印鉴；</w:t>
      </w:r>
    </w:p>
    <w:p>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14.1.3  未按规定的格式填写，内容不全或字迹模糊辨认不清；</w:t>
      </w:r>
    </w:p>
    <w:p>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14.1.4  投标截止时间以后送达的投标文件；</w:t>
      </w:r>
    </w:p>
    <w:p>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14.1.5  未提交法人授权委托书的；</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14.2  未被当场宣布无效的投标文件，在评标过程中如发现有其他不符合招标文件要求的情况，不排除其被评标委员会确定为无效标的可能。</w:t>
      </w:r>
    </w:p>
    <w:p>
      <w:pPr>
        <w:snapToGrid w:val="0"/>
        <w:spacing w:line="400" w:lineRule="exact"/>
        <w:ind w:firstLine="480"/>
        <w:rPr>
          <w:rFonts w:hint="eastAsia" w:ascii="宋体" w:hAnsi="宋体" w:eastAsia="宋体" w:cs="宋体"/>
          <w:sz w:val="24"/>
          <w:szCs w:val="24"/>
          <w:highlight w:val="none"/>
        </w:rPr>
      </w:pPr>
    </w:p>
    <w:p>
      <w:pPr>
        <w:tabs>
          <w:tab w:val="left" w:pos="1440"/>
          <w:tab w:val="left" w:pos="9500"/>
        </w:tabs>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第十五条  投标注意事项</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15.1  投标单位必须按招标文件所规定的日程安排，准时参加有关活动。</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15.2  投标单位必须自行承担投标过程中的一切费用。   </w:t>
      </w:r>
    </w:p>
    <w:p>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15.3  招标单位若在投标截止时间仍未收到投标单位的投标书，则一律视为弃权，标书不再予以接受。</w:t>
      </w:r>
    </w:p>
    <w:p>
      <w:pPr>
        <w:spacing w:line="400" w:lineRule="exact"/>
        <w:ind w:firstLine="600" w:firstLineChars="250"/>
        <w:rPr>
          <w:rFonts w:hint="eastAsia" w:ascii="宋体" w:hAnsi="宋体" w:eastAsia="宋体" w:cs="宋体"/>
          <w:sz w:val="24"/>
          <w:szCs w:val="24"/>
          <w:highlight w:val="none"/>
        </w:rPr>
      </w:pPr>
    </w:p>
    <w:p>
      <w:pPr>
        <w:spacing w:line="400" w:lineRule="exact"/>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br w:type="page"/>
      </w:r>
      <w:bookmarkStart w:id="83" w:name="_Hlt70489487"/>
      <w:bookmarkEnd w:id="83"/>
    </w:p>
    <w:p>
      <w:pPr>
        <w:autoSpaceDE w:val="0"/>
        <w:autoSpaceDN w:val="0"/>
        <w:adjustRightInd w:val="0"/>
        <w:jc w:val="center"/>
        <w:outlineLvl w:val="0"/>
        <w:rPr>
          <w:rFonts w:hint="eastAsia" w:ascii="宋体" w:hAnsi="宋体" w:eastAsia="宋体" w:cs="宋体"/>
          <w:b/>
          <w:sz w:val="24"/>
          <w:szCs w:val="24"/>
          <w:highlight w:val="none"/>
          <w:lang w:val="zh-CN"/>
        </w:rPr>
      </w:pPr>
      <w:bookmarkStart w:id="84" w:name="_Toc19665"/>
      <w:r>
        <w:rPr>
          <w:rFonts w:hint="eastAsia" w:ascii="宋体" w:hAnsi="宋体" w:eastAsia="宋体" w:cs="宋体"/>
          <w:b/>
          <w:sz w:val="24"/>
          <w:szCs w:val="24"/>
          <w:highlight w:val="none"/>
          <w:lang w:val="zh-CN"/>
        </w:rPr>
        <w:t>第</w:t>
      </w:r>
      <w:r>
        <w:rPr>
          <w:rFonts w:hint="eastAsia" w:ascii="宋体" w:hAnsi="宋体" w:eastAsia="宋体" w:cs="宋体"/>
          <w:b/>
          <w:sz w:val="24"/>
          <w:szCs w:val="24"/>
          <w:highlight w:val="none"/>
        </w:rPr>
        <w:t>二</w:t>
      </w:r>
      <w:r>
        <w:rPr>
          <w:rFonts w:hint="eastAsia" w:ascii="宋体" w:hAnsi="宋体" w:eastAsia="宋体" w:cs="宋体"/>
          <w:b/>
          <w:sz w:val="24"/>
          <w:szCs w:val="24"/>
          <w:highlight w:val="none"/>
          <w:lang w:val="zh-CN"/>
        </w:rPr>
        <w:t>章 评标打分标准</w:t>
      </w:r>
      <w:bookmarkEnd w:id="84"/>
    </w:p>
    <w:p>
      <w:pPr>
        <w:tabs>
          <w:tab w:val="left" w:pos="425"/>
        </w:tabs>
        <w:spacing w:before="120" w:beforeLines="50" w:line="360" w:lineRule="auto"/>
        <w:rPr>
          <w:rFonts w:hint="eastAsia" w:ascii="宋体" w:hAnsi="宋体" w:eastAsia="宋体" w:cs="宋体"/>
          <w:szCs w:val="21"/>
          <w:highlight w:val="none"/>
        </w:rPr>
      </w:pPr>
      <w:r>
        <w:rPr>
          <w:rFonts w:hint="eastAsia" w:ascii="宋体" w:hAnsi="宋体" w:eastAsia="宋体" w:cs="宋体"/>
          <w:szCs w:val="21"/>
          <w:highlight w:val="none"/>
        </w:rPr>
        <w:t>一、评标办法</w:t>
      </w:r>
    </w:p>
    <w:p>
      <w:pPr>
        <w:tabs>
          <w:tab w:val="left" w:pos="425"/>
        </w:tabs>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本工程评标办法按照中华人民共和国招标投标法制定本工程的评标办法，作为本工程择优选择施工企业的依据。</w:t>
      </w:r>
    </w:p>
    <w:p>
      <w:pPr>
        <w:tabs>
          <w:tab w:val="left" w:pos="425"/>
        </w:tabs>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1. 本工程评标、决标工作由评标委员会负责。</w:t>
      </w:r>
    </w:p>
    <w:p>
      <w:pPr>
        <w:tabs>
          <w:tab w:val="left" w:pos="425"/>
        </w:tabs>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2. 本工程采用“综合评估法”评标，设总分为100分；技术标为45分，商务标为55分。</w:t>
      </w:r>
    </w:p>
    <w:p>
      <w:pPr>
        <w:tabs>
          <w:tab w:val="left" w:pos="425"/>
        </w:tabs>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3. 评标原则：</w:t>
      </w:r>
    </w:p>
    <w:p>
      <w:pPr>
        <w:tabs>
          <w:tab w:val="left" w:pos="425"/>
        </w:tabs>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本工程评标将以招标文件规定内容为主要依据，由评委对各投标单位的报价、施工组织设计等内容进行分析评定，根据评标方法细则对商务标及技术标各自打分，在分项记分时保留小数点两位，小数点后第三位数四舍五入。最后以各评委人员打分后的算术平均分为依据，得分最高的投标单位为中标单位，如出现最高分并列时，则由评委无记名投票表决，得票最多者为中标单位。</w:t>
      </w:r>
    </w:p>
    <w:p>
      <w:pPr>
        <w:tabs>
          <w:tab w:val="left" w:pos="425"/>
        </w:tabs>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4. 评标人员必须在评分表和汇总表上签字。</w:t>
      </w:r>
    </w:p>
    <w:p>
      <w:pPr>
        <w:tabs>
          <w:tab w:val="left" w:pos="425"/>
        </w:tabs>
        <w:spacing w:before="120" w:beforeLines="50" w:line="360" w:lineRule="auto"/>
        <w:ind w:firstLine="411" w:firstLineChars="196"/>
        <w:rPr>
          <w:rFonts w:hint="eastAsia" w:ascii="宋体" w:hAnsi="宋体" w:eastAsia="宋体" w:cs="宋体"/>
          <w:szCs w:val="21"/>
          <w:highlight w:val="none"/>
        </w:rPr>
      </w:pPr>
    </w:p>
    <w:p>
      <w:pPr>
        <w:tabs>
          <w:tab w:val="left" w:pos="425"/>
        </w:tabs>
        <w:spacing w:before="120" w:beforeLines="50" w:line="360" w:lineRule="auto"/>
        <w:rPr>
          <w:rFonts w:hint="eastAsia" w:ascii="宋体" w:hAnsi="宋体" w:eastAsia="宋体" w:cs="宋体"/>
          <w:szCs w:val="21"/>
          <w:highlight w:val="none"/>
        </w:rPr>
      </w:pPr>
      <w:r>
        <w:rPr>
          <w:rFonts w:hint="eastAsia" w:ascii="宋体" w:hAnsi="宋体" w:eastAsia="宋体" w:cs="宋体"/>
          <w:szCs w:val="21"/>
          <w:highlight w:val="none"/>
        </w:rPr>
        <w:t>二、评标细则</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5. 商务标部分（55分）</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 xml:space="preserve">5.1 工程总造价（50分）： </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由招标工作小组对各投标人的商务标进行统计和分析，并向评标委员会提交初步分析统计报告。评标委员会的经济专家对经初步评审合格的投标文件参考初步分析统计报告和澄清、说明和补正结果后进行详细评审，确认各投标人经评审的投标报价，并形成书面的商务标评审报告。在商务标评审过程中有异议时，可由评委讨论后，以少数服从多数的原则认定，最后经全体专家签名确认。</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基准价的计算方法:</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a、若投标单位&gt;=7家，去除最高、最低价以后剩余投标单位报价的算术平均值作为基准价；若投标单位&lt;7家，所有投标单位报价的算术平均值作为基准价。</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b、计算各投标单位投标价得分：得出基准商务评标价后确定基准分为47分，然后根据以下规定，求出各投标单位的商务评标价得分（商务评标价得分值保留两位小数，最小计分单位0.01分，小数点第三位四舍五入）。</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商务评标价报价每高出基准价2%，商务报价得分在基准分的基础上减0.5分，最少减至45分；</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商务评标价报价每低于基准价2%，商务报价得分在基准分的基础上增0.5分，最高增至50分；</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C、根据《政府采购促进中小企业发展管理办法》（财库[2020]46号），本项目专门面向中小企业进行招标。本项目所属行业为建筑业。故投标人应为建筑业中小企业。为此，投标人或投标联合体成员如果是中小企业的话，应按（财库[2020]46号）《政府采购促进中小企业发展管理办法》的规定填写和提交中小企业正本声明函，且评标时评标委员会将按工信部联企业〔2011〕300号文的规定对声明的中型、小型和微型企业作出认定。一旦投标人中标，则将在中标公告中公告其声明函，接受社会监督，若提供声明函与事实不符的，将依照《中华人民共和国政府采购法》等国家有关规定追究其法律责任。</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5.2  施工总工期（分值：3分）</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满足招标文件工期要求2分，在此基础上承诺每延误一日历天工期承担违约金≥合同总价的千分之一，得3分。</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5.3 质量等级（分值：2分）</w:t>
      </w:r>
    </w:p>
    <w:p>
      <w:pPr>
        <w:tabs>
          <w:tab w:val="left" w:pos="425"/>
        </w:tabs>
        <w:spacing w:line="360" w:lineRule="auto"/>
        <w:ind w:firstLine="411" w:firstLineChars="196"/>
        <w:rPr>
          <w:rFonts w:hint="eastAsia" w:ascii="宋体" w:hAnsi="宋体" w:eastAsia="宋体" w:cs="宋体"/>
          <w:szCs w:val="21"/>
          <w:highlight w:val="none"/>
        </w:rPr>
      </w:pPr>
      <w:r>
        <w:rPr>
          <w:rFonts w:hint="eastAsia" w:ascii="宋体" w:hAnsi="宋体" w:eastAsia="宋体" w:cs="宋体"/>
          <w:szCs w:val="21"/>
          <w:highlight w:val="none"/>
        </w:rPr>
        <w:t>满足招标文件质量要求工程一次验收合格率100%,</w:t>
      </w:r>
      <w:r>
        <w:rPr>
          <w:rFonts w:hint="eastAsia" w:ascii="宋体" w:hAnsi="宋体" w:cs="宋体"/>
          <w:szCs w:val="21"/>
          <w:highlight w:val="none"/>
          <w:lang w:val="en-US" w:eastAsia="zh-CN"/>
        </w:rPr>
        <w:t>两年内</w:t>
      </w:r>
      <w:r>
        <w:rPr>
          <w:rFonts w:hint="eastAsia" w:ascii="宋体" w:hAnsi="宋体" w:eastAsia="宋体" w:cs="宋体"/>
          <w:szCs w:val="21"/>
          <w:highlight w:val="none"/>
        </w:rPr>
        <w:t>苗木存活率100%，并且长势良好得1分。在此基础上承诺达不到的按≥合同总价的3%承担违约金，得2分。</w:t>
      </w:r>
    </w:p>
    <w:p>
      <w:pPr>
        <w:pStyle w:val="93"/>
        <w:tabs>
          <w:tab w:val="left" w:pos="425"/>
        </w:tabs>
        <w:spacing w:line="360" w:lineRule="auto"/>
        <w:ind w:left="420" w:firstLine="0" w:firstLineChars="0"/>
        <w:rPr>
          <w:rFonts w:hint="eastAsia" w:ascii="宋体" w:hAnsi="宋体" w:eastAsia="宋体" w:cs="宋体"/>
          <w:szCs w:val="21"/>
          <w:highlight w:val="none"/>
        </w:rPr>
      </w:pPr>
      <w:r>
        <w:rPr>
          <w:rFonts w:hint="eastAsia" w:ascii="宋体" w:hAnsi="宋体" w:eastAsia="宋体" w:cs="宋体"/>
          <w:szCs w:val="21"/>
          <w:highlight w:val="none"/>
        </w:rPr>
        <w:t>6.技术标部分（45分）</w:t>
      </w:r>
    </w:p>
    <w:tbl>
      <w:tblPr>
        <w:tblStyle w:val="55"/>
        <w:tblW w:w="0" w:type="auto"/>
        <w:tblInd w:w="4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09"/>
        <w:gridCol w:w="1701"/>
        <w:gridCol w:w="709"/>
        <w:gridCol w:w="48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序号</w:t>
            </w:r>
          </w:p>
        </w:tc>
        <w:tc>
          <w:tcPr>
            <w:tcW w:w="1701"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评审因素</w:t>
            </w:r>
          </w:p>
        </w:tc>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分值</w:t>
            </w:r>
          </w:p>
        </w:tc>
        <w:tc>
          <w:tcPr>
            <w:tcW w:w="4820"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评分细则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1</w:t>
            </w:r>
          </w:p>
        </w:tc>
        <w:tc>
          <w:tcPr>
            <w:tcW w:w="1701"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施工组织设计、重难点分析</w:t>
            </w:r>
          </w:p>
        </w:tc>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7-15</w:t>
            </w:r>
          </w:p>
        </w:tc>
        <w:tc>
          <w:tcPr>
            <w:tcW w:w="4820" w:type="dxa"/>
            <w:vAlign w:val="center"/>
          </w:tcPr>
          <w:p>
            <w:pPr>
              <w:pStyle w:val="93"/>
              <w:spacing w:line="360" w:lineRule="auto"/>
              <w:ind w:firstLine="0" w:firstLineChars="0"/>
              <w:jc w:val="left"/>
              <w:rPr>
                <w:rFonts w:hint="eastAsia" w:ascii="宋体" w:hAnsi="宋体" w:eastAsia="宋体" w:cs="宋体"/>
                <w:sz w:val="18"/>
                <w:szCs w:val="18"/>
                <w:highlight w:val="none"/>
              </w:rPr>
            </w:pPr>
            <w:r>
              <w:rPr>
                <w:rFonts w:hint="eastAsia" w:ascii="宋体" w:hAnsi="宋体" w:eastAsia="宋体" w:cs="宋体"/>
                <w:sz w:val="18"/>
                <w:szCs w:val="18"/>
                <w:highlight w:val="none"/>
              </w:rPr>
              <w:t>理解本次招标需求，制定有针对性的施工组织设计，具有质量保证措施、施工安全措施、应急响应保证措施、本项目技术和施工管理上的重点和难点的针对性措施，包括施工期间配合招标人的保障工作等。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2</w:t>
            </w:r>
          </w:p>
        </w:tc>
        <w:tc>
          <w:tcPr>
            <w:tcW w:w="1701"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施工进度计划</w:t>
            </w:r>
          </w:p>
        </w:tc>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3-6</w:t>
            </w:r>
          </w:p>
        </w:tc>
        <w:tc>
          <w:tcPr>
            <w:tcW w:w="4820" w:type="dxa"/>
            <w:vAlign w:val="center"/>
          </w:tcPr>
          <w:p>
            <w:pPr>
              <w:pStyle w:val="93"/>
              <w:spacing w:line="360" w:lineRule="auto"/>
              <w:ind w:firstLine="0" w:firstLineChars="0"/>
              <w:jc w:val="left"/>
              <w:rPr>
                <w:rFonts w:hint="eastAsia" w:ascii="宋体" w:hAnsi="宋体" w:eastAsia="宋体" w:cs="宋体"/>
                <w:sz w:val="18"/>
                <w:szCs w:val="18"/>
                <w:highlight w:val="none"/>
              </w:rPr>
            </w:pPr>
            <w:r>
              <w:rPr>
                <w:rFonts w:hint="eastAsia" w:ascii="宋体" w:hAnsi="宋体" w:eastAsia="宋体" w:cs="宋体"/>
                <w:sz w:val="18"/>
                <w:szCs w:val="18"/>
                <w:highlight w:val="none"/>
              </w:rPr>
              <w:t>施工工期符合招标要求，制定施工进度网络图或施工进度表，注明关键时间节点日期，保证施工过程规范、科学、可行、安全。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3</w:t>
            </w:r>
          </w:p>
        </w:tc>
        <w:tc>
          <w:tcPr>
            <w:tcW w:w="1701"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项目负责人</w:t>
            </w:r>
          </w:p>
        </w:tc>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1-</w:t>
            </w:r>
            <w:r>
              <w:rPr>
                <w:rFonts w:hint="eastAsia" w:ascii="宋体" w:hAnsi="宋体" w:cs="宋体"/>
                <w:sz w:val="18"/>
                <w:szCs w:val="18"/>
                <w:highlight w:val="none"/>
                <w:lang w:val="en-US" w:eastAsia="zh-CN"/>
              </w:rPr>
              <w:t>3</w:t>
            </w:r>
          </w:p>
        </w:tc>
        <w:tc>
          <w:tcPr>
            <w:tcW w:w="4820" w:type="dxa"/>
            <w:vAlign w:val="center"/>
          </w:tcPr>
          <w:p>
            <w:pPr>
              <w:pStyle w:val="93"/>
              <w:spacing w:line="360" w:lineRule="auto"/>
              <w:ind w:firstLine="0" w:firstLineChars="0"/>
              <w:jc w:val="left"/>
              <w:rPr>
                <w:rFonts w:hint="eastAsia" w:ascii="宋体" w:hAnsi="宋体" w:eastAsia="宋体" w:cs="宋体"/>
                <w:sz w:val="18"/>
                <w:szCs w:val="18"/>
                <w:highlight w:val="none"/>
              </w:rPr>
            </w:pPr>
            <w:r>
              <w:rPr>
                <w:rFonts w:hint="eastAsia" w:ascii="宋体" w:hAnsi="宋体" w:eastAsia="宋体" w:cs="宋体"/>
                <w:sz w:val="18"/>
                <w:szCs w:val="18"/>
                <w:highlight w:val="none"/>
              </w:rPr>
              <w:t>项目负责人执业资格、类似项目业绩、到场时间承诺等。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4</w:t>
            </w:r>
          </w:p>
        </w:tc>
        <w:tc>
          <w:tcPr>
            <w:tcW w:w="1701"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项目管理团队</w:t>
            </w:r>
          </w:p>
        </w:tc>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4-8</w:t>
            </w:r>
          </w:p>
        </w:tc>
        <w:tc>
          <w:tcPr>
            <w:tcW w:w="4820" w:type="dxa"/>
            <w:vAlign w:val="center"/>
          </w:tcPr>
          <w:p>
            <w:pPr>
              <w:pStyle w:val="93"/>
              <w:spacing w:line="360" w:lineRule="auto"/>
              <w:ind w:firstLine="0" w:firstLineChars="0"/>
              <w:jc w:val="left"/>
              <w:rPr>
                <w:rFonts w:hint="eastAsia" w:ascii="宋体" w:hAnsi="宋体" w:eastAsia="宋体" w:cs="宋体"/>
                <w:sz w:val="18"/>
                <w:szCs w:val="18"/>
                <w:highlight w:val="none"/>
              </w:rPr>
            </w:pPr>
            <w:r>
              <w:rPr>
                <w:rFonts w:hint="eastAsia" w:ascii="宋体" w:hAnsi="宋体" w:eastAsia="宋体" w:cs="宋体"/>
                <w:sz w:val="18"/>
                <w:szCs w:val="18"/>
                <w:highlight w:val="none"/>
              </w:rPr>
              <w:t>项目管理团队执业资格、各专业配置合理，各岗位人数安排</w:t>
            </w:r>
            <w:r>
              <w:rPr>
                <w:rFonts w:hint="eastAsia" w:ascii="宋体" w:hAnsi="宋体" w:cs="宋体"/>
                <w:sz w:val="18"/>
                <w:szCs w:val="18"/>
                <w:highlight w:val="none"/>
                <w:lang w:val="en-US" w:eastAsia="zh-CN"/>
              </w:rPr>
              <w:t>的</w:t>
            </w:r>
            <w:r>
              <w:rPr>
                <w:rFonts w:hint="eastAsia" w:ascii="宋体" w:hAnsi="宋体" w:eastAsia="宋体" w:cs="宋体"/>
                <w:sz w:val="18"/>
                <w:szCs w:val="18"/>
                <w:highlight w:val="none"/>
              </w:rPr>
              <w:t>合理</w:t>
            </w:r>
            <w:r>
              <w:rPr>
                <w:rFonts w:hint="eastAsia" w:ascii="宋体" w:hAnsi="宋体" w:cs="宋体"/>
                <w:sz w:val="18"/>
                <w:szCs w:val="18"/>
                <w:highlight w:val="none"/>
                <w:lang w:val="en-US" w:eastAsia="zh-CN"/>
              </w:rPr>
              <w:t>性等</w:t>
            </w:r>
            <w:r>
              <w:rPr>
                <w:rFonts w:hint="eastAsia" w:ascii="宋体" w:hAnsi="宋体" w:eastAsia="宋体" w:cs="宋体"/>
                <w:sz w:val="18"/>
                <w:szCs w:val="18"/>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5</w:t>
            </w:r>
          </w:p>
        </w:tc>
        <w:tc>
          <w:tcPr>
            <w:tcW w:w="1701"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cs="宋体"/>
                <w:sz w:val="18"/>
                <w:szCs w:val="18"/>
                <w:highlight w:val="none"/>
                <w:lang w:val="en-US" w:eastAsia="zh-CN"/>
              </w:rPr>
              <w:t>造价</w:t>
            </w:r>
            <w:r>
              <w:rPr>
                <w:rFonts w:hint="eastAsia" w:ascii="宋体" w:hAnsi="宋体" w:eastAsia="宋体" w:cs="宋体"/>
                <w:sz w:val="18"/>
                <w:szCs w:val="18"/>
                <w:highlight w:val="none"/>
              </w:rPr>
              <w:t>质量进度保障措施</w:t>
            </w:r>
          </w:p>
        </w:tc>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cs="宋体"/>
                <w:sz w:val="18"/>
                <w:szCs w:val="18"/>
                <w:highlight w:val="none"/>
                <w:lang w:val="en-US" w:eastAsia="zh-CN"/>
              </w:rPr>
              <w:t>3</w:t>
            </w:r>
            <w:r>
              <w:rPr>
                <w:rFonts w:hint="eastAsia" w:ascii="宋体" w:hAnsi="宋体" w:eastAsia="宋体" w:cs="宋体"/>
                <w:sz w:val="18"/>
                <w:szCs w:val="18"/>
                <w:highlight w:val="none"/>
              </w:rPr>
              <w:t>-</w:t>
            </w:r>
            <w:r>
              <w:rPr>
                <w:rFonts w:hint="eastAsia" w:ascii="宋体" w:hAnsi="宋体" w:cs="宋体"/>
                <w:sz w:val="18"/>
                <w:szCs w:val="18"/>
                <w:highlight w:val="none"/>
                <w:lang w:val="en-US" w:eastAsia="zh-CN"/>
              </w:rPr>
              <w:t>5</w:t>
            </w:r>
          </w:p>
        </w:tc>
        <w:tc>
          <w:tcPr>
            <w:tcW w:w="4820" w:type="dxa"/>
            <w:vAlign w:val="center"/>
          </w:tcPr>
          <w:p>
            <w:pPr>
              <w:pStyle w:val="93"/>
              <w:spacing w:line="360" w:lineRule="auto"/>
              <w:ind w:firstLine="0" w:firstLineChars="0"/>
              <w:jc w:val="left"/>
              <w:rPr>
                <w:rFonts w:hint="eastAsia" w:ascii="宋体" w:hAnsi="宋体" w:eastAsia="宋体" w:cs="宋体"/>
                <w:sz w:val="18"/>
                <w:szCs w:val="18"/>
                <w:highlight w:val="none"/>
              </w:rPr>
            </w:pPr>
            <w:r>
              <w:rPr>
                <w:rFonts w:hint="eastAsia" w:ascii="宋体" w:hAnsi="宋体" w:eastAsia="宋体" w:cs="宋体"/>
                <w:sz w:val="18"/>
                <w:szCs w:val="18"/>
                <w:highlight w:val="none"/>
              </w:rPr>
              <w:t>控制造价、保证质量、进度控制的措施，并有书面承诺及处罚措施等。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6</w:t>
            </w:r>
          </w:p>
        </w:tc>
        <w:tc>
          <w:tcPr>
            <w:tcW w:w="1701"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类似项目业绩</w:t>
            </w:r>
          </w:p>
        </w:tc>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0-5</w:t>
            </w:r>
          </w:p>
        </w:tc>
        <w:tc>
          <w:tcPr>
            <w:tcW w:w="4820" w:type="dxa"/>
            <w:vAlign w:val="center"/>
          </w:tcPr>
          <w:p>
            <w:pPr>
              <w:pStyle w:val="93"/>
              <w:spacing w:line="360" w:lineRule="auto"/>
              <w:ind w:firstLine="0" w:firstLineChars="0"/>
              <w:jc w:val="left"/>
              <w:rPr>
                <w:rFonts w:hint="eastAsia" w:ascii="宋体" w:hAnsi="宋体" w:eastAsia="宋体" w:cs="宋体"/>
                <w:sz w:val="18"/>
                <w:szCs w:val="18"/>
                <w:highlight w:val="none"/>
              </w:rPr>
            </w:pPr>
            <w:r>
              <w:rPr>
                <w:rFonts w:hint="eastAsia" w:ascii="宋体" w:hAnsi="宋体" w:eastAsia="宋体" w:cs="宋体"/>
                <w:sz w:val="18"/>
                <w:szCs w:val="18"/>
                <w:highlight w:val="none"/>
              </w:rPr>
              <w:t>投标人近三年（2018年</w:t>
            </w:r>
            <w:r>
              <w:rPr>
                <w:rFonts w:hint="eastAsia" w:ascii="宋体" w:hAnsi="宋体" w:cs="宋体"/>
                <w:sz w:val="18"/>
                <w:szCs w:val="18"/>
                <w:highlight w:val="none"/>
                <w:lang w:val="en-US" w:eastAsia="zh-CN"/>
              </w:rPr>
              <w:t>9</w:t>
            </w:r>
            <w:r>
              <w:rPr>
                <w:rFonts w:hint="eastAsia" w:ascii="宋体" w:hAnsi="宋体" w:eastAsia="宋体" w:cs="宋体"/>
                <w:sz w:val="18"/>
                <w:szCs w:val="18"/>
                <w:highlight w:val="none"/>
              </w:rPr>
              <w:t>月至今）</w:t>
            </w:r>
            <w:r>
              <w:rPr>
                <w:rFonts w:hint="eastAsia" w:ascii="宋体" w:hAnsi="宋体" w:cs="宋体"/>
                <w:sz w:val="18"/>
                <w:szCs w:val="18"/>
                <w:highlight w:val="none"/>
                <w:lang w:val="en-US" w:eastAsia="zh-CN"/>
              </w:rPr>
              <w:t>完成</w:t>
            </w:r>
            <w:r>
              <w:rPr>
                <w:rFonts w:hint="eastAsia" w:ascii="宋体" w:hAnsi="宋体" w:eastAsia="宋体" w:cs="宋体"/>
                <w:sz w:val="18"/>
                <w:szCs w:val="18"/>
                <w:highlight w:val="none"/>
              </w:rPr>
              <w:t>类似项目</w:t>
            </w:r>
            <w:r>
              <w:rPr>
                <w:rFonts w:hint="eastAsia" w:ascii="宋体" w:hAnsi="宋体" w:cs="宋体"/>
                <w:sz w:val="18"/>
                <w:szCs w:val="18"/>
                <w:highlight w:val="none"/>
                <w:lang w:val="en-US" w:eastAsia="zh-CN"/>
              </w:rPr>
              <w:t>的证明</w:t>
            </w:r>
            <w:r>
              <w:rPr>
                <w:rFonts w:hint="eastAsia" w:ascii="宋体" w:hAnsi="宋体" w:eastAsia="宋体" w:cs="宋体"/>
                <w:sz w:val="18"/>
                <w:szCs w:val="18"/>
                <w:highlight w:val="none"/>
              </w:rPr>
              <w:t>，</w:t>
            </w:r>
            <w:r>
              <w:rPr>
                <w:rFonts w:hint="eastAsia" w:ascii="宋体" w:hAnsi="宋体" w:cs="宋体"/>
                <w:sz w:val="18"/>
                <w:szCs w:val="18"/>
                <w:highlight w:val="none"/>
                <w:lang w:val="en-US" w:eastAsia="zh-CN"/>
              </w:rPr>
              <w:t>提供</w:t>
            </w:r>
            <w:r>
              <w:rPr>
                <w:rFonts w:hint="eastAsia" w:ascii="宋体" w:hAnsi="宋体" w:eastAsia="宋体" w:cs="宋体"/>
                <w:sz w:val="18"/>
                <w:szCs w:val="18"/>
                <w:highlight w:val="none"/>
              </w:rPr>
              <w:t>一个1分，最多5分。（提供合同复印件或中标通知书复印件加盖公章</w:t>
            </w:r>
            <w:r>
              <w:rPr>
                <w:rFonts w:hint="eastAsia" w:ascii="宋体" w:hAnsi="宋体" w:eastAsia="宋体" w:cs="宋体"/>
                <w:sz w:val="18"/>
                <w:szCs w:val="18"/>
                <w:highlight w:val="none"/>
                <w:lang w:eastAsia="zh-CN"/>
              </w:rPr>
              <w:t>，</w:t>
            </w:r>
            <w:r>
              <w:rPr>
                <w:rFonts w:hint="eastAsia" w:ascii="宋体" w:hAnsi="宋体" w:eastAsia="宋体" w:cs="宋体"/>
                <w:sz w:val="18"/>
                <w:szCs w:val="18"/>
                <w:highlight w:val="none"/>
              </w:rPr>
              <w:t>且证明材料中需体现时间）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7</w:t>
            </w:r>
          </w:p>
        </w:tc>
        <w:tc>
          <w:tcPr>
            <w:tcW w:w="1701"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绿化</w:t>
            </w:r>
            <w:r>
              <w:rPr>
                <w:rFonts w:hint="eastAsia" w:ascii="宋体" w:hAnsi="宋体" w:cs="宋体"/>
                <w:sz w:val="18"/>
                <w:szCs w:val="18"/>
                <w:highlight w:val="none"/>
                <w:lang w:val="en-US" w:eastAsia="zh-CN"/>
              </w:rPr>
              <w:t>养护</w:t>
            </w:r>
            <w:r>
              <w:rPr>
                <w:rFonts w:hint="eastAsia" w:ascii="宋体" w:hAnsi="宋体" w:eastAsia="宋体" w:cs="宋体"/>
                <w:sz w:val="18"/>
                <w:szCs w:val="18"/>
                <w:highlight w:val="none"/>
              </w:rPr>
              <w:t>及安全文明施工</w:t>
            </w:r>
          </w:p>
        </w:tc>
        <w:tc>
          <w:tcPr>
            <w:tcW w:w="709" w:type="dxa"/>
            <w:vAlign w:val="center"/>
          </w:tcPr>
          <w:p>
            <w:pPr>
              <w:pStyle w:val="93"/>
              <w:spacing w:line="360" w:lineRule="auto"/>
              <w:ind w:firstLine="0" w:firstLineChars="0"/>
              <w:jc w:val="center"/>
              <w:rPr>
                <w:rFonts w:hint="eastAsia" w:ascii="宋体" w:hAnsi="宋体" w:eastAsia="宋体" w:cs="宋体"/>
                <w:sz w:val="18"/>
                <w:szCs w:val="18"/>
                <w:highlight w:val="none"/>
              </w:rPr>
            </w:pPr>
            <w:r>
              <w:rPr>
                <w:rFonts w:hint="eastAsia" w:ascii="宋体" w:hAnsi="宋体" w:eastAsia="宋体" w:cs="宋体"/>
                <w:sz w:val="18"/>
                <w:szCs w:val="18"/>
                <w:highlight w:val="none"/>
              </w:rPr>
              <w:t>1-3</w:t>
            </w:r>
          </w:p>
        </w:tc>
        <w:tc>
          <w:tcPr>
            <w:tcW w:w="4820" w:type="dxa"/>
            <w:vAlign w:val="center"/>
          </w:tcPr>
          <w:p>
            <w:pPr>
              <w:pStyle w:val="93"/>
              <w:spacing w:line="360" w:lineRule="auto"/>
              <w:ind w:firstLine="0" w:firstLineChars="0"/>
              <w:jc w:val="left"/>
              <w:rPr>
                <w:rFonts w:hint="eastAsia" w:ascii="宋体" w:hAnsi="宋体" w:eastAsia="宋体" w:cs="宋体"/>
                <w:sz w:val="18"/>
                <w:szCs w:val="18"/>
                <w:highlight w:val="none"/>
              </w:rPr>
            </w:pPr>
            <w:r>
              <w:rPr>
                <w:rFonts w:hint="eastAsia" w:ascii="宋体" w:hAnsi="宋体" w:eastAsia="宋体" w:cs="宋体"/>
                <w:sz w:val="18"/>
                <w:szCs w:val="18"/>
                <w:highlight w:val="none"/>
              </w:rPr>
              <w:t>绿化养护措施及安全文明施工措施，根据保障措施的针对性、合理性综合评审。</w:t>
            </w:r>
          </w:p>
        </w:tc>
      </w:tr>
    </w:tbl>
    <w:p>
      <w:pPr>
        <w:pStyle w:val="93"/>
        <w:tabs>
          <w:tab w:val="left" w:pos="425"/>
        </w:tabs>
        <w:spacing w:line="360" w:lineRule="auto"/>
        <w:ind w:left="420" w:firstLine="0" w:firstLineChars="0"/>
        <w:rPr>
          <w:rFonts w:hint="eastAsia" w:ascii="宋体" w:hAnsi="宋体" w:eastAsia="宋体" w:cs="宋体"/>
          <w:szCs w:val="21"/>
          <w:highlight w:val="none"/>
        </w:rPr>
      </w:pPr>
    </w:p>
    <w:p>
      <w:pPr>
        <w:pStyle w:val="93"/>
        <w:spacing w:line="360" w:lineRule="auto"/>
        <w:ind w:left="420" w:firstLine="0" w:firstLineChars="0"/>
        <w:rPr>
          <w:rFonts w:hint="eastAsia" w:ascii="宋体" w:hAnsi="宋体" w:eastAsia="宋体" w:cs="宋体"/>
          <w:szCs w:val="21"/>
          <w:highlight w:val="none"/>
        </w:rPr>
      </w:pPr>
      <w:r>
        <w:rPr>
          <w:rFonts w:hint="eastAsia" w:ascii="宋体" w:hAnsi="宋体" w:eastAsia="宋体" w:cs="宋体"/>
          <w:szCs w:val="21"/>
          <w:highlight w:val="none"/>
        </w:rPr>
        <w:t>附：1、上述计算结果四舍五入后保留2位有效小数，按评审后得分由高到低顺序排列。得分相同的，按投标报价由低到高顺序排列。得分且投标报价相同的，按技术指标优劣顺序排列。</w:t>
      </w:r>
    </w:p>
    <w:p>
      <w:pPr>
        <w:pStyle w:val="93"/>
        <w:spacing w:line="360" w:lineRule="auto"/>
        <w:ind w:left="420" w:firstLine="0" w:firstLineChars="0"/>
        <w:rPr>
          <w:rFonts w:hint="eastAsia" w:ascii="宋体" w:hAnsi="宋体" w:eastAsia="宋体" w:cs="宋体"/>
          <w:szCs w:val="21"/>
          <w:highlight w:val="none"/>
        </w:rPr>
      </w:pPr>
      <w:r>
        <w:rPr>
          <w:rFonts w:hint="eastAsia" w:ascii="宋体" w:hAnsi="宋体" w:eastAsia="宋体" w:cs="宋体"/>
          <w:szCs w:val="21"/>
          <w:highlight w:val="none"/>
        </w:rPr>
        <w:t>2、最低报价不是被授予合同的保证。</w:t>
      </w:r>
    </w:p>
    <w:p>
      <w:pPr>
        <w:widowControl/>
        <w:jc w:val="center"/>
        <w:outlineLvl w:val="0"/>
        <w:rPr>
          <w:rFonts w:hint="eastAsia" w:ascii="宋体" w:hAnsi="宋体" w:eastAsia="宋体" w:cs="宋体"/>
          <w:b/>
          <w:sz w:val="44"/>
          <w:szCs w:val="44"/>
          <w:highlight w:val="none"/>
        </w:rPr>
      </w:pPr>
      <w:bookmarkStart w:id="85" w:name="_Toc20116"/>
      <w:r>
        <w:rPr>
          <w:rFonts w:hint="eastAsia" w:ascii="宋体" w:hAnsi="宋体" w:eastAsia="宋体" w:cs="宋体"/>
          <w:b/>
          <w:sz w:val="44"/>
          <w:szCs w:val="44"/>
          <w:highlight w:val="none"/>
        </w:rPr>
        <w:t>第三章 合同格式</w:t>
      </w:r>
      <w:bookmarkEnd w:id="85"/>
    </w:p>
    <w:p>
      <w:pPr>
        <w:autoSpaceDE w:val="0"/>
        <w:autoSpaceDN w:val="0"/>
        <w:adjustRightInd w:val="0"/>
        <w:ind w:firstLine="420"/>
        <w:rPr>
          <w:rFonts w:hint="eastAsia" w:ascii="宋体" w:hAnsi="宋体" w:eastAsia="宋体" w:cs="宋体"/>
          <w:sz w:val="24"/>
          <w:szCs w:val="24"/>
          <w:highlight w:val="none"/>
        </w:rPr>
      </w:pPr>
    </w:p>
    <w:p>
      <w:pPr>
        <w:autoSpaceDE w:val="0"/>
        <w:autoSpaceDN w:val="0"/>
        <w:adjustRightInd w:val="0"/>
        <w:ind w:firstLine="420"/>
        <w:rPr>
          <w:rFonts w:hint="eastAsia" w:ascii="宋体" w:hAnsi="宋体" w:eastAsia="宋体" w:cs="宋体"/>
          <w:sz w:val="24"/>
          <w:szCs w:val="24"/>
          <w:highlight w:val="none"/>
        </w:rPr>
      </w:pPr>
    </w:p>
    <w:p>
      <w:pPr>
        <w:spacing w:line="360" w:lineRule="auto"/>
        <w:rPr>
          <w:rFonts w:hint="eastAsia" w:ascii="宋体" w:hAnsi="宋体" w:eastAsia="宋体" w:cs="宋体"/>
          <w:b/>
          <w:sz w:val="40"/>
          <w:szCs w:val="40"/>
          <w:highlight w:val="none"/>
        </w:rPr>
      </w:pPr>
    </w:p>
    <w:p>
      <w:pPr>
        <w:spacing w:line="360" w:lineRule="auto"/>
        <w:jc w:val="center"/>
        <w:rPr>
          <w:rFonts w:hint="eastAsia" w:ascii="宋体" w:hAnsi="宋体" w:eastAsia="宋体" w:cs="宋体"/>
          <w:b/>
          <w:sz w:val="44"/>
          <w:szCs w:val="40"/>
          <w:highlight w:val="none"/>
        </w:rPr>
      </w:pPr>
    </w:p>
    <w:p>
      <w:pPr>
        <w:spacing w:line="840" w:lineRule="exact"/>
        <w:jc w:val="center"/>
        <w:rPr>
          <w:rFonts w:hint="eastAsia" w:ascii="宋体" w:hAnsi="宋体" w:eastAsia="宋体" w:cs="宋体"/>
          <w:b/>
          <w:sz w:val="72"/>
          <w:szCs w:val="72"/>
          <w:highlight w:val="none"/>
        </w:rPr>
      </w:pPr>
      <w:r>
        <w:rPr>
          <w:rFonts w:hint="eastAsia" w:ascii="宋体" w:hAnsi="宋体" w:eastAsia="宋体" w:cs="宋体"/>
          <w:b/>
          <w:sz w:val="72"/>
          <w:szCs w:val="72"/>
          <w:highlight w:val="none"/>
        </w:rPr>
        <w:t>施</w:t>
      </w:r>
    </w:p>
    <w:p>
      <w:pPr>
        <w:spacing w:line="840" w:lineRule="exact"/>
        <w:jc w:val="center"/>
        <w:rPr>
          <w:rFonts w:hint="eastAsia" w:ascii="宋体" w:hAnsi="宋体" w:eastAsia="宋体" w:cs="宋体"/>
          <w:b/>
          <w:sz w:val="72"/>
          <w:szCs w:val="72"/>
          <w:highlight w:val="none"/>
        </w:rPr>
      </w:pPr>
    </w:p>
    <w:p>
      <w:pPr>
        <w:spacing w:line="840" w:lineRule="exact"/>
        <w:jc w:val="center"/>
        <w:rPr>
          <w:rFonts w:hint="eastAsia" w:ascii="宋体" w:hAnsi="宋体" w:eastAsia="宋体" w:cs="宋体"/>
          <w:b/>
          <w:sz w:val="72"/>
          <w:szCs w:val="72"/>
          <w:highlight w:val="none"/>
        </w:rPr>
      </w:pPr>
      <w:r>
        <w:rPr>
          <w:rFonts w:hint="eastAsia" w:ascii="宋体" w:hAnsi="宋体" w:eastAsia="宋体" w:cs="宋体"/>
          <w:b/>
          <w:sz w:val="72"/>
          <w:szCs w:val="72"/>
          <w:highlight w:val="none"/>
        </w:rPr>
        <w:t>工</w:t>
      </w:r>
    </w:p>
    <w:p>
      <w:pPr>
        <w:spacing w:line="840" w:lineRule="exact"/>
        <w:jc w:val="center"/>
        <w:rPr>
          <w:rFonts w:hint="eastAsia" w:ascii="宋体" w:hAnsi="宋体" w:eastAsia="宋体" w:cs="宋体"/>
          <w:b/>
          <w:sz w:val="72"/>
          <w:szCs w:val="72"/>
          <w:highlight w:val="none"/>
        </w:rPr>
      </w:pPr>
    </w:p>
    <w:p>
      <w:pPr>
        <w:spacing w:line="840" w:lineRule="exact"/>
        <w:jc w:val="center"/>
        <w:rPr>
          <w:rFonts w:hint="eastAsia" w:ascii="宋体" w:hAnsi="宋体" w:eastAsia="宋体" w:cs="宋体"/>
          <w:b/>
          <w:sz w:val="72"/>
          <w:szCs w:val="72"/>
          <w:highlight w:val="none"/>
        </w:rPr>
      </w:pPr>
      <w:r>
        <w:rPr>
          <w:rFonts w:hint="eastAsia" w:ascii="宋体" w:hAnsi="宋体" w:eastAsia="宋体" w:cs="宋体"/>
          <w:b/>
          <w:sz w:val="72"/>
          <w:szCs w:val="72"/>
          <w:highlight w:val="none"/>
        </w:rPr>
        <w:t>合</w:t>
      </w:r>
    </w:p>
    <w:p>
      <w:pPr>
        <w:spacing w:line="840" w:lineRule="exact"/>
        <w:jc w:val="center"/>
        <w:rPr>
          <w:rFonts w:hint="eastAsia" w:ascii="宋体" w:hAnsi="宋体" w:eastAsia="宋体" w:cs="宋体"/>
          <w:b/>
          <w:sz w:val="72"/>
          <w:szCs w:val="72"/>
          <w:highlight w:val="none"/>
        </w:rPr>
      </w:pPr>
    </w:p>
    <w:p>
      <w:pPr>
        <w:spacing w:line="840" w:lineRule="exact"/>
        <w:jc w:val="center"/>
        <w:rPr>
          <w:rFonts w:hint="eastAsia" w:ascii="宋体" w:hAnsi="宋体" w:eastAsia="宋体" w:cs="宋体"/>
          <w:b/>
          <w:sz w:val="44"/>
          <w:szCs w:val="40"/>
          <w:highlight w:val="none"/>
        </w:rPr>
      </w:pPr>
      <w:r>
        <w:rPr>
          <w:rFonts w:hint="eastAsia" w:ascii="宋体" w:hAnsi="宋体" w:eastAsia="宋体" w:cs="宋体"/>
          <w:b/>
          <w:sz w:val="72"/>
          <w:szCs w:val="72"/>
          <w:highlight w:val="none"/>
        </w:rPr>
        <w:t>同</w:t>
      </w:r>
    </w:p>
    <w:p>
      <w:pPr>
        <w:spacing w:line="360" w:lineRule="auto"/>
        <w:jc w:val="center"/>
        <w:rPr>
          <w:rFonts w:hint="eastAsia" w:ascii="宋体" w:hAnsi="宋体" w:eastAsia="宋体" w:cs="宋体"/>
          <w:b/>
          <w:sz w:val="32"/>
          <w:szCs w:val="21"/>
          <w:highlight w:val="none"/>
        </w:rPr>
      </w:pPr>
    </w:p>
    <w:p>
      <w:pPr>
        <w:tabs>
          <w:tab w:val="left" w:pos="0"/>
          <w:tab w:val="left" w:pos="360"/>
          <w:tab w:val="left" w:pos="540"/>
        </w:tabs>
        <w:spacing w:line="360" w:lineRule="auto"/>
        <w:jc w:val="center"/>
        <w:rPr>
          <w:rFonts w:hint="eastAsia" w:ascii="宋体" w:hAnsi="宋体" w:eastAsia="宋体" w:cs="宋体"/>
          <w:b/>
          <w:szCs w:val="21"/>
          <w:highlight w:val="none"/>
        </w:rPr>
      </w:pPr>
      <w:r>
        <w:rPr>
          <w:rFonts w:hint="eastAsia" w:ascii="宋体" w:hAnsi="宋体" w:eastAsia="宋体" w:cs="宋体"/>
          <w:b/>
          <w:szCs w:val="21"/>
          <w:highlight w:val="none"/>
        </w:rPr>
        <w:t>（本合同为中小企业预留合同）</w:t>
      </w:r>
    </w:p>
    <w:p>
      <w:pPr>
        <w:rPr>
          <w:rFonts w:hint="eastAsia" w:ascii="宋体" w:hAnsi="宋体" w:eastAsia="宋体" w:cs="宋体"/>
          <w:b/>
          <w:sz w:val="32"/>
          <w:szCs w:val="21"/>
          <w:highlight w:val="none"/>
        </w:rPr>
      </w:pPr>
    </w:p>
    <w:p>
      <w:pPr>
        <w:rPr>
          <w:rFonts w:hint="eastAsia" w:ascii="宋体" w:hAnsi="宋体" w:eastAsia="宋体" w:cs="宋体"/>
          <w:b/>
          <w:sz w:val="32"/>
          <w:szCs w:val="21"/>
          <w:highlight w:val="none"/>
        </w:rPr>
      </w:pPr>
    </w:p>
    <w:p>
      <w:pPr>
        <w:rPr>
          <w:rFonts w:hint="eastAsia" w:ascii="宋体" w:hAnsi="宋体" w:eastAsia="宋体" w:cs="宋体"/>
          <w:b/>
          <w:sz w:val="32"/>
          <w:szCs w:val="21"/>
          <w:highlight w:val="none"/>
        </w:rPr>
      </w:pPr>
    </w:p>
    <w:p>
      <w:pPr>
        <w:rPr>
          <w:rFonts w:hint="eastAsia" w:ascii="宋体" w:hAnsi="宋体" w:eastAsia="宋体" w:cs="宋体"/>
          <w:b/>
          <w:sz w:val="32"/>
          <w:szCs w:val="21"/>
          <w:highlight w:val="none"/>
        </w:rPr>
      </w:pPr>
    </w:p>
    <w:p>
      <w:pPr>
        <w:rPr>
          <w:rFonts w:hint="eastAsia" w:ascii="宋体" w:hAnsi="宋体" w:eastAsia="宋体" w:cs="宋体"/>
          <w:b/>
          <w:spacing w:val="40"/>
          <w:sz w:val="28"/>
          <w:highlight w:val="none"/>
          <w:u w:val="single"/>
        </w:rPr>
      </w:pPr>
      <w:r>
        <w:rPr>
          <w:rFonts w:hint="eastAsia" w:ascii="宋体" w:hAnsi="宋体" w:eastAsia="宋体" w:cs="宋体"/>
          <w:b/>
          <w:spacing w:val="40"/>
          <w:sz w:val="28"/>
          <w:szCs w:val="21"/>
          <w:highlight w:val="none"/>
        </w:rPr>
        <w:t>发包单位:</w:t>
      </w:r>
      <w:r>
        <w:rPr>
          <w:rFonts w:hint="eastAsia" w:ascii="宋体" w:hAnsi="宋体" w:eastAsia="宋体" w:cs="宋体"/>
          <w:b/>
          <w:spacing w:val="40"/>
          <w:sz w:val="28"/>
          <w:highlight w:val="none"/>
        </w:rPr>
        <w:t>复旦大学</w:t>
      </w:r>
    </w:p>
    <w:p>
      <w:pPr>
        <w:rPr>
          <w:rFonts w:hint="eastAsia" w:ascii="宋体" w:hAnsi="宋体" w:eastAsia="宋体" w:cs="宋体"/>
          <w:b/>
          <w:sz w:val="28"/>
          <w:szCs w:val="28"/>
          <w:highlight w:val="none"/>
          <w:u w:val="single"/>
        </w:rPr>
      </w:pPr>
      <w:r>
        <w:rPr>
          <w:rFonts w:hint="eastAsia" w:ascii="宋体" w:hAnsi="宋体" w:eastAsia="宋体" w:cs="宋体"/>
          <w:b/>
          <w:spacing w:val="40"/>
          <w:sz w:val="28"/>
          <w:highlight w:val="none"/>
        </w:rPr>
        <w:t xml:space="preserve">承包单位: </w:t>
      </w:r>
    </w:p>
    <w:p>
      <w:pPr>
        <w:keepNext/>
        <w:keepLines/>
        <w:spacing w:before="340" w:after="330" w:line="578" w:lineRule="auto"/>
        <w:ind w:firstLine="2800" w:firstLineChars="1000"/>
        <w:outlineLvl w:val="0"/>
        <w:rPr>
          <w:rFonts w:hint="eastAsia" w:ascii="宋体" w:hAnsi="宋体" w:eastAsia="宋体" w:cs="宋体"/>
          <w:b/>
          <w:kern w:val="44"/>
          <w:sz w:val="44"/>
          <w:szCs w:val="20"/>
          <w:highlight w:val="none"/>
          <w:lang w:val="zh-CN"/>
        </w:rPr>
      </w:pPr>
      <w:bookmarkStart w:id="86" w:name="_Toc31206"/>
      <w:bookmarkStart w:id="87" w:name="_Toc29328"/>
      <w:r>
        <w:rPr>
          <w:rFonts w:hint="eastAsia" w:ascii="宋体" w:hAnsi="宋体" w:eastAsia="宋体" w:cs="宋体"/>
          <w:kern w:val="44"/>
          <w:sz w:val="28"/>
          <w:szCs w:val="20"/>
          <w:highlight w:val="none"/>
          <w:lang w:val="zh-CN"/>
        </w:rPr>
        <w:t>二O二一年   月</w:t>
      </w:r>
      <w:bookmarkEnd w:id="86"/>
      <w:bookmarkEnd w:id="87"/>
    </w:p>
    <w:p>
      <w:pPr>
        <w:widowControl/>
        <w:jc w:val="left"/>
        <w:rPr>
          <w:rStyle w:val="111"/>
          <w:rFonts w:hint="eastAsia" w:ascii="宋体" w:hAnsi="宋体" w:eastAsia="宋体" w:cs="宋体"/>
          <w:highlight w:val="none"/>
        </w:rPr>
      </w:pPr>
      <w:r>
        <w:rPr>
          <w:rStyle w:val="111"/>
          <w:rFonts w:hint="eastAsia" w:ascii="宋体" w:hAnsi="宋体" w:eastAsia="宋体" w:cs="宋体"/>
          <w:highlight w:val="none"/>
        </w:rPr>
        <w:br w:type="page"/>
      </w:r>
    </w:p>
    <w:p>
      <w:pPr>
        <w:autoSpaceDE w:val="0"/>
        <w:autoSpaceDN w:val="0"/>
        <w:adjustRightInd w:val="0"/>
        <w:ind w:firstLine="420"/>
        <w:jc w:val="left"/>
        <w:rPr>
          <w:rStyle w:val="111"/>
          <w:rFonts w:hint="eastAsia" w:ascii="宋体" w:hAnsi="宋体" w:eastAsia="宋体" w:cs="宋体"/>
          <w:highlight w:val="none"/>
        </w:rPr>
      </w:pPr>
    </w:p>
    <w:p>
      <w:pPr>
        <w:widowControl/>
        <w:spacing w:line="360" w:lineRule="auto"/>
        <w:ind w:firstLine="211" w:firstLineChars="100"/>
        <w:jc w:val="center"/>
        <w:rPr>
          <w:rStyle w:val="111"/>
          <w:rFonts w:hint="eastAsia" w:ascii="宋体" w:hAnsi="宋体" w:eastAsia="宋体" w:cs="宋体"/>
          <w:b/>
          <w:highlight w:val="none"/>
        </w:rPr>
      </w:pPr>
      <w:bookmarkStart w:id="88" w:name="_Hlk513541498"/>
      <w:r>
        <w:rPr>
          <w:rStyle w:val="111"/>
          <w:rFonts w:hint="eastAsia" w:ascii="宋体" w:hAnsi="宋体" w:eastAsia="宋体" w:cs="宋体"/>
          <w:b/>
          <w:highlight w:val="none"/>
        </w:rPr>
        <w:t>第一部分    合 同 协 议 书</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发包方（全称）：复旦大学</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地址：上海市杨浦区邯郸路220号</w:t>
      </w:r>
    </w:p>
    <w:p>
      <w:pPr>
        <w:spacing w:line="360" w:lineRule="auto"/>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 xml:space="preserve">   承包方（全称）： </w:t>
      </w:r>
    </w:p>
    <w:p>
      <w:pPr>
        <w:spacing w:line="360" w:lineRule="auto"/>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 xml:space="preserve">   地址：  </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依照《中华人民共和国民法典》、《中华人民共和国建筑法》及其他有关法律、行政法规，遵循平等、自愿、公平和诚实信用的原则，双方就本园林绿化工程施工事项协商一致，订立本合同。</w:t>
      </w:r>
    </w:p>
    <w:p>
      <w:pPr>
        <w:widowControl/>
        <w:spacing w:before="156" w:line="360" w:lineRule="auto"/>
        <w:ind w:firstLine="412"/>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（一）、工程概况</w:t>
      </w:r>
    </w:p>
    <w:p>
      <w:pPr>
        <w:spacing w:line="360" w:lineRule="auto"/>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 xml:space="preserve">    工程名称：复旦大学江湾校区融合创新二号楼项目绿化搬迁工程</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工程地点：江湾校区</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工程内容：本项目为复旦大学江湾校区融合创新二号楼项目绿化搬迁工程。本工程位于复旦大学江湾校区，为支持本项目建设工作，对建设临时生活区及建设规划范围内现有的园林树木进行迁移</w:t>
      </w:r>
      <w:r>
        <w:rPr>
          <w:rStyle w:val="111"/>
          <w:rFonts w:hint="eastAsia" w:ascii="宋体" w:hAnsi="宋体" w:cs="宋体"/>
          <w:szCs w:val="21"/>
          <w:highlight w:val="none"/>
          <w:lang w:val="en-US" w:eastAsia="zh-CN"/>
        </w:rPr>
        <w:t>及养护</w:t>
      </w:r>
      <w:r>
        <w:rPr>
          <w:rStyle w:val="111"/>
          <w:rFonts w:hint="eastAsia" w:ascii="宋体" w:hAnsi="宋体" w:eastAsia="宋体" w:cs="宋体"/>
          <w:szCs w:val="21"/>
          <w:highlight w:val="none"/>
        </w:rPr>
        <w:t>。</w:t>
      </w:r>
      <w:r>
        <w:rPr>
          <w:rStyle w:val="111"/>
          <w:rFonts w:hint="eastAsia" w:ascii="宋体" w:hAnsi="宋体" w:eastAsia="宋体" w:cs="宋体"/>
          <w:szCs w:val="21"/>
          <w:highlight w:val="none"/>
        </w:rPr>
        <w:t>此项工程需迁移的乔木类主要包含有：桂花、马褂木、夹竹桃、银杏、红枫、柳树、重阳木、苦楝树、桧柏球、海棠、红叶石楠球、小叶</w:t>
      </w:r>
      <w:r>
        <w:rPr>
          <w:rStyle w:val="111"/>
          <w:rFonts w:hint="eastAsia" w:ascii="宋体" w:hAnsi="宋体" w:cs="宋体"/>
          <w:szCs w:val="21"/>
          <w:highlight w:val="none"/>
          <w:lang w:val="en-US" w:eastAsia="zh-CN"/>
        </w:rPr>
        <w:t>女贞</w:t>
      </w:r>
      <w:r>
        <w:rPr>
          <w:rStyle w:val="111"/>
          <w:rFonts w:hint="eastAsia" w:ascii="宋体" w:hAnsi="宋体" w:eastAsia="宋体" w:cs="宋体"/>
          <w:szCs w:val="21"/>
          <w:highlight w:val="none"/>
        </w:rPr>
        <w:t>球、小叶黄杨球、结香、丛生结香、红花继木球、茶花、樱花、香樟、豪猪刺、香樟、无患子、雪松、棕榈、栾树、合欢、紫玉兰、剑兰、海桐球、木槿、女贞、丛生石楠、石楠。搬迁区域：纬五河以南，经二路以西，纬五路以北，经一路以东。搬迁至：月湖南侧。</w:t>
      </w:r>
      <w:r>
        <w:rPr>
          <w:rStyle w:val="111"/>
          <w:rFonts w:hint="eastAsia" w:ascii="宋体" w:hAnsi="宋体" w:eastAsia="宋体" w:cs="宋体"/>
          <w:szCs w:val="21"/>
          <w:highlight w:val="none"/>
        </w:rPr>
        <w:t>中标单位工作内容包含但不限于：绿化搬迁范围内的所有绿化苗木起挖，绿化场地整理、绿化拍照建档、运输、种植、</w:t>
      </w:r>
      <w:r>
        <w:rPr>
          <w:rStyle w:val="111"/>
          <w:rFonts w:hint="eastAsia" w:ascii="宋体" w:hAnsi="宋体" w:cs="宋体"/>
          <w:szCs w:val="21"/>
          <w:highlight w:val="none"/>
          <w:lang w:val="en-US" w:eastAsia="zh-CN"/>
        </w:rPr>
        <w:t>两年期的养护保活，</w:t>
      </w:r>
      <w:r>
        <w:rPr>
          <w:rStyle w:val="111"/>
          <w:rFonts w:hint="eastAsia" w:ascii="宋体" w:hAnsi="宋体" w:eastAsia="宋体" w:cs="宋体"/>
          <w:szCs w:val="21"/>
          <w:highlight w:val="none"/>
        </w:rPr>
        <w:t>负责绿化搬迁过程中所有可能发生的行政手续办理及协调等一系列工作（含所有费用）。</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资金来源：国有资金100%</w:t>
      </w:r>
    </w:p>
    <w:p>
      <w:pPr>
        <w:widowControl/>
        <w:spacing w:before="156" w:line="360" w:lineRule="auto"/>
        <w:ind w:firstLine="412"/>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（二）、工程承包范围</w:t>
      </w:r>
    </w:p>
    <w:p>
      <w:pPr>
        <w:widowControl/>
        <w:spacing w:before="156" w:line="360" w:lineRule="auto"/>
        <w:ind w:firstLine="412"/>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搬迁区域包括：</w:t>
      </w:r>
      <w:r>
        <w:rPr>
          <w:rStyle w:val="111"/>
          <w:rFonts w:hint="eastAsia" w:ascii="宋体" w:hAnsi="宋体" w:eastAsia="宋体" w:cs="宋体"/>
          <w:szCs w:val="21"/>
          <w:highlight w:val="none"/>
        </w:rPr>
        <w:t>纬五河以南，经二路以西，纬五路以北，经一路以东。</w:t>
      </w:r>
      <w:r>
        <w:rPr>
          <w:rStyle w:val="111"/>
          <w:rFonts w:hint="eastAsia" w:ascii="宋体" w:hAnsi="宋体" w:eastAsia="宋体" w:cs="宋体"/>
          <w:szCs w:val="21"/>
          <w:highlight w:val="none"/>
        </w:rPr>
        <w:t>中标单位工作内容包含但不限于：绿化搬迁范围内的所有绿化苗木起挖，绿化场地整理、绿化拍照建档、运输、种植、</w:t>
      </w:r>
      <w:r>
        <w:rPr>
          <w:rStyle w:val="111"/>
          <w:rFonts w:hint="eastAsia" w:ascii="宋体" w:hAnsi="宋体" w:cs="宋体"/>
          <w:szCs w:val="21"/>
          <w:highlight w:val="none"/>
          <w:lang w:val="en-US" w:eastAsia="zh-CN"/>
        </w:rPr>
        <w:t>两年期的养护保活，</w:t>
      </w:r>
      <w:r>
        <w:rPr>
          <w:rStyle w:val="111"/>
          <w:rFonts w:hint="eastAsia" w:ascii="宋体" w:hAnsi="宋体" w:eastAsia="宋体" w:cs="宋体"/>
          <w:szCs w:val="21"/>
          <w:highlight w:val="none"/>
        </w:rPr>
        <w:t>负责绿化搬迁过程中所有可能发生的行政手续办理及协调等一系列工作（含所有费用）。</w:t>
      </w:r>
    </w:p>
    <w:p>
      <w:pPr>
        <w:widowControl/>
        <w:spacing w:before="156" w:line="360" w:lineRule="auto"/>
        <w:ind w:firstLine="412"/>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（三）、合同工期</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合同工期总日历天数      天</w:t>
      </w:r>
    </w:p>
    <w:p>
      <w:pPr>
        <w:widowControl/>
        <w:spacing w:before="156" w:line="360" w:lineRule="auto"/>
        <w:ind w:firstLine="412"/>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（四）、质量标准</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 xml:space="preserve">    1、工程施工组织</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按照发包方要求，承包方提交施工组织设计、工程进度表和预算书。相关资料、进度表、预算书须附在合同后。</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 xml:space="preserve">    2、工程质量要求</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1）工程施工质量应符合《园林绿化工程施工及验收规范》CJJ82-2012、《园林绿化工程施工质量验收标准》 DGTJ08-701-2020规定的要求。认真按照标准、规范和要求以及发包方代表依据合同发出的指令施工。施工操作须按照《大树移植技术规程》、《园林植物栽植技术规程》等规范、规定执行。</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2）树木移植做到先挖种植穴再挖树；先修剪、围草绳再起吊；当天挖、当天运、当天种；修剪伤口要用防腐剂封闭。</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cs="宋体"/>
          <w:szCs w:val="21"/>
          <w:highlight w:val="none"/>
          <w:lang w:val="en-US" w:eastAsia="zh-CN"/>
        </w:rPr>
        <w:t>3</w:t>
      </w:r>
      <w:r>
        <w:rPr>
          <w:rStyle w:val="111"/>
          <w:rFonts w:hint="eastAsia" w:ascii="宋体" w:hAnsi="宋体" w:eastAsia="宋体" w:cs="宋体"/>
          <w:szCs w:val="21"/>
          <w:highlight w:val="none"/>
        </w:rPr>
        <w:t>）绿化种植工程在养护期内应达到《园林绿化养护技术等级标准》（DG/TJ08-702-2011）的基本标准，养护费用由承包方承担。</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cs="宋体"/>
          <w:szCs w:val="21"/>
          <w:highlight w:val="none"/>
          <w:lang w:val="en-US" w:eastAsia="zh-CN"/>
        </w:rPr>
        <w:t>4</w:t>
      </w:r>
      <w:r>
        <w:rPr>
          <w:rStyle w:val="111"/>
          <w:rFonts w:hint="eastAsia" w:ascii="宋体" w:hAnsi="宋体" w:eastAsia="宋体" w:cs="宋体"/>
          <w:szCs w:val="21"/>
          <w:highlight w:val="none"/>
        </w:rPr>
        <w:t>）大树移植严格按照上海市建交委颁布实施的《大树移植技术规程》操作，不能用挖掘机挖掘树木，最大程度的强修剪应至少保留树冠的1／2。工程质量需达到《城市绿化工程施工及验收规范（CJJ/T82-99）》。承包方包种包活，专人负责养护</w:t>
      </w:r>
      <w:r>
        <w:rPr>
          <w:rStyle w:val="111"/>
          <w:rFonts w:hint="eastAsia" w:ascii="宋体" w:hAnsi="宋体" w:cs="宋体"/>
          <w:szCs w:val="21"/>
          <w:highlight w:val="none"/>
          <w:lang w:val="en-US" w:eastAsia="zh-CN"/>
        </w:rPr>
        <w:t>两</w:t>
      </w:r>
      <w:r>
        <w:rPr>
          <w:rStyle w:val="111"/>
          <w:rFonts w:hint="eastAsia" w:ascii="宋体" w:hAnsi="宋体" w:eastAsia="宋体" w:cs="宋体"/>
          <w:szCs w:val="21"/>
          <w:highlight w:val="none"/>
        </w:rPr>
        <w:t>年</w:t>
      </w:r>
      <w:r>
        <w:rPr>
          <w:rStyle w:val="111"/>
          <w:rFonts w:ascii="仿宋" w:hAnsi="仿宋" w:eastAsia="仿宋"/>
          <w:color w:val="auto"/>
          <w:szCs w:val="21"/>
          <w:highlight w:val="none"/>
        </w:rPr>
        <w:t>，</w:t>
      </w:r>
      <w:r>
        <w:rPr>
          <w:rStyle w:val="111"/>
          <w:rFonts w:hint="eastAsia" w:ascii="宋体" w:hAnsi="宋体" w:eastAsia="宋体" w:cs="宋体"/>
          <w:szCs w:val="21"/>
          <w:highlight w:val="none"/>
        </w:rPr>
        <w:t>做好现场管理工作。</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5）</w:t>
      </w:r>
      <w:r>
        <w:rPr>
          <w:rFonts w:hint="eastAsia" w:ascii="宋体" w:hAnsi="宋体" w:eastAsia="宋体" w:cs="宋体"/>
          <w:szCs w:val="21"/>
          <w:highlight w:val="none"/>
        </w:rPr>
        <w:t>一次验收合格率100%,</w:t>
      </w:r>
      <w:r>
        <w:rPr>
          <w:rFonts w:hint="eastAsia" w:ascii="宋体" w:hAnsi="宋体" w:cs="宋体"/>
          <w:szCs w:val="21"/>
          <w:highlight w:val="none"/>
          <w:lang w:val="en-US" w:eastAsia="zh-CN"/>
        </w:rPr>
        <w:t>两年内</w:t>
      </w:r>
      <w:r>
        <w:rPr>
          <w:rFonts w:hint="eastAsia" w:ascii="宋体" w:hAnsi="宋体" w:eastAsia="宋体" w:cs="宋体"/>
          <w:szCs w:val="21"/>
          <w:highlight w:val="none"/>
        </w:rPr>
        <w:t>苗木存活率100%，并且长势良好</w:t>
      </w:r>
      <w:r>
        <w:rPr>
          <w:rStyle w:val="111"/>
          <w:rFonts w:hint="eastAsia" w:ascii="宋体" w:hAnsi="宋体" w:eastAsia="宋体" w:cs="宋体"/>
          <w:szCs w:val="21"/>
          <w:highlight w:val="none"/>
        </w:rPr>
        <w:t>。如达不到需承诺不小于合同总价   %的处罚。</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 xml:space="preserve">    3、工程管理要求</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1）按照协议书约定的开工日期开工，按照协议书约定的竣工日期或发包方代表同意顺延的工期竣工。</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2）执行《建设工程质量管理条例》。</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cs="宋体"/>
          <w:szCs w:val="21"/>
          <w:highlight w:val="none"/>
          <w:lang w:val="en-US" w:eastAsia="zh-CN"/>
        </w:rPr>
        <w:t>3</w:t>
      </w:r>
      <w:r>
        <w:rPr>
          <w:rStyle w:val="111"/>
          <w:rFonts w:hint="eastAsia" w:ascii="宋体" w:hAnsi="宋体" w:eastAsia="宋体" w:cs="宋体"/>
          <w:szCs w:val="21"/>
          <w:highlight w:val="none"/>
        </w:rPr>
        <w:t>）涉及到工程变更的情况，需发包方、</w:t>
      </w:r>
      <w:r>
        <w:rPr>
          <w:rStyle w:val="111"/>
          <w:rFonts w:hint="eastAsia" w:ascii="宋体" w:hAnsi="宋体" w:cs="宋体"/>
          <w:szCs w:val="21"/>
          <w:highlight w:val="none"/>
          <w:lang w:val="en-US" w:eastAsia="zh-CN"/>
        </w:rPr>
        <w:t>项目管理</w:t>
      </w:r>
      <w:r>
        <w:rPr>
          <w:rStyle w:val="111"/>
          <w:rFonts w:hint="eastAsia" w:ascii="宋体" w:hAnsi="宋体" w:eastAsia="宋体" w:cs="宋体"/>
          <w:szCs w:val="21"/>
          <w:highlight w:val="none"/>
        </w:rPr>
        <w:t>批准。</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cs="宋体"/>
          <w:szCs w:val="21"/>
          <w:highlight w:val="none"/>
          <w:lang w:val="en-US" w:eastAsia="zh-CN"/>
        </w:rPr>
        <w:t>4</w:t>
      </w:r>
      <w:r>
        <w:rPr>
          <w:rStyle w:val="111"/>
          <w:rFonts w:hint="eastAsia" w:ascii="宋体" w:hAnsi="宋体" w:eastAsia="宋体" w:cs="宋体"/>
          <w:szCs w:val="21"/>
          <w:highlight w:val="none"/>
        </w:rPr>
        <w:t>）承包方在施工时不得损坏已完工的市政设施（包括平石、侧石、沥青路面），如有损坏应负责修复或赔偿。</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cs="宋体"/>
          <w:szCs w:val="21"/>
          <w:highlight w:val="none"/>
          <w:lang w:val="en-US" w:eastAsia="zh-CN"/>
        </w:rPr>
        <w:t>5</w:t>
      </w:r>
      <w:r>
        <w:rPr>
          <w:rStyle w:val="111"/>
          <w:rFonts w:hint="eastAsia" w:ascii="宋体" w:hAnsi="宋体" w:eastAsia="宋体" w:cs="宋体"/>
          <w:szCs w:val="21"/>
          <w:highlight w:val="none"/>
        </w:rPr>
        <w:t>）承包方应保证施工场地清洁符合环境卫生管理的有关规定。保证施工场地清洁符合环境卫生管理的有关规定。施工期间不影响师生正常办公、学习。</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4、文明安全施工</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遵守工程建设安全生产有关管理规定，严格按《建设工程安全生产管理条例》上的安全标准组织施工，并随时接受行业安全检查人员依法实施的监督检查。采取必要的安全防护措施，消除事故隐患。</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 xml:space="preserve">5、工程竣工资料 </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按国家工程竣工验收和复旦大学建设项目竣工结算送审资料有关规定执行。</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承包方负责</w:t>
      </w:r>
      <w:r>
        <w:rPr>
          <w:rStyle w:val="111"/>
          <w:rFonts w:hint="eastAsia" w:ascii="宋体" w:hAnsi="宋体" w:cs="宋体"/>
          <w:szCs w:val="21"/>
          <w:highlight w:val="none"/>
          <w:lang w:val="en-US" w:eastAsia="zh-CN"/>
        </w:rPr>
        <w:t>在</w:t>
      </w:r>
      <w:r>
        <w:rPr>
          <w:rStyle w:val="111"/>
          <w:rFonts w:hint="eastAsia" w:ascii="宋体" w:hAnsi="宋体" w:eastAsia="宋体" w:cs="宋体"/>
          <w:szCs w:val="21"/>
          <w:highlight w:val="none"/>
        </w:rPr>
        <w:t>工程竣工资料</w:t>
      </w:r>
      <w:r>
        <w:rPr>
          <w:rStyle w:val="111"/>
          <w:rFonts w:hint="eastAsia" w:ascii="宋体" w:hAnsi="宋体" w:eastAsia="宋体" w:cs="宋体"/>
          <w:szCs w:val="21"/>
          <w:highlight w:val="none"/>
          <w:lang w:val="en-US" w:eastAsia="zh-CN"/>
        </w:rPr>
        <w:t>移交前完成</w:t>
      </w:r>
      <w:r>
        <w:rPr>
          <w:rStyle w:val="111"/>
          <w:rFonts w:hint="eastAsia" w:ascii="宋体" w:hAnsi="宋体" w:eastAsia="宋体" w:cs="宋体"/>
          <w:szCs w:val="21"/>
          <w:highlight w:val="none"/>
        </w:rPr>
        <w:t>所有绿化苗木拍照建档、反馈苗木的现状信息卡（表）</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6、工程量清单</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承包方提供现场工程量签证单，由</w:t>
      </w:r>
      <w:r>
        <w:rPr>
          <w:rStyle w:val="111"/>
          <w:rFonts w:hint="eastAsia" w:ascii="宋体" w:hAnsi="宋体" w:cs="宋体"/>
          <w:szCs w:val="21"/>
          <w:highlight w:val="none"/>
          <w:lang w:val="en-US" w:eastAsia="zh-CN"/>
        </w:rPr>
        <w:t>项目管理</w:t>
      </w:r>
      <w:r>
        <w:rPr>
          <w:rStyle w:val="111"/>
          <w:rFonts w:hint="eastAsia" w:ascii="宋体" w:hAnsi="宋体" w:eastAsia="宋体" w:cs="宋体"/>
          <w:szCs w:val="21"/>
          <w:highlight w:val="none"/>
        </w:rPr>
        <w:t>和建设方代表核实确认签字</w:t>
      </w:r>
      <w:r>
        <w:rPr>
          <w:rStyle w:val="111"/>
          <w:rFonts w:hint="eastAsia" w:ascii="宋体" w:hAnsi="宋体" w:cs="宋体"/>
          <w:szCs w:val="21"/>
          <w:highlight w:val="none"/>
          <w:lang w:eastAsia="zh-CN"/>
        </w:rPr>
        <w:t>，</w:t>
      </w:r>
      <w:r>
        <w:rPr>
          <w:rStyle w:val="111"/>
          <w:rFonts w:hint="eastAsia" w:ascii="宋体" w:hAnsi="宋体" w:cs="宋体"/>
          <w:szCs w:val="21"/>
          <w:highlight w:val="none"/>
          <w:lang w:val="en-US" w:eastAsia="zh-CN"/>
        </w:rPr>
        <w:t>可以完善在图纸中的需在竣工图中完善</w:t>
      </w:r>
      <w:r>
        <w:rPr>
          <w:rStyle w:val="111"/>
          <w:rFonts w:hint="eastAsia" w:ascii="宋体" w:hAnsi="宋体" w:eastAsia="宋体" w:cs="宋体"/>
          <w:szCs w:val="21"/>
          <w:highlight w:val="none"/>
        </w:rPr>
        <w:t>。</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7、验收标准</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1）隐蔽和中间验收的内容、验收记录由承包方准备。</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2）隐蔽工程验收合格，建设方代表、</w:t>
      </w:r>
      <w:r>
        <w:rPr>
          <w:rStyle w:val="111"/>
          <w:rFonts w:hint="eastAsia" w:ascii="宋体" w:hAnsi="宋体" w:cs="宋体"/>
          <w:szCs w:val="21"/>
          <w:highlight w:val="none"/>
          <w:lang w:val="en-US" w:eastAsia="zh-CN"/>
        </w:rPr>
        <w:t>项目管理</w:t>
      </w:r>
      <w:r>
        <w:rPr>
          <w:rStyle w:val="111"/>
          <w:rFonts w:hint="eastAsia" w:ascii="宋体" w:hAnsi="宋体" w:eastAsia="宋体" w:cs="宋体"/>
          <w:szCs w:val="21"/>
          <w:highlight w:val="none"/>
        </w:rPr>
        <w:t>在验收记录上签字后，施工方可继续施工。验收不合格，施工方在建设方限定的时间内修改后重新验收。</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 xml:space="preserve">（五）、合同价款 </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金额（人民币）：大写：    小写：  元</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（六）、本协议书中有关词语含义与第二部分《通用条款》中的含义相同。</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（七）、承包方向发包方承诺按照合同约定进行施工、竣工并在</w:t>
      </w:r>
      <w:r>
        <w:rPr>
          <w:rStyle w:val="111"/>
          <w:rFonts w:hint="eastAsia" w:ascii="宋体" w:hAnsi="宋体" w:cs="宋体"/>
          <w:szCs w:val="21"/>
          <w:highlight w:val="none"/>
          <w:lang w:val="en-US" w:eastAsia="zh-CN"/>
        </w:rPr>
        <w:t>两年</w:t>
      </w:r>
      <w:r>
        <w:rPr>
          <w:rStyle w:val="111"/>
          <w:rFonts w:hint="eastAsia" w:ascii="宋体" w:hAnsi="宋体" w:eastAsia="宋体" w:cs="宋体"/>
          <w:szCs w:val="21"/>
          <w:highlight w:val="none"/>
        </w:rPr>
        <w:t>内承担</w:t>
      </w:r>
      <w:r>
        <w:rPr>
          <w:rStyle w:val="111"/>
          <w:rFonts w:hint="eastAsia" w:ascii="宋体" w:hAnsi="宋体" w:cs="宋体"/>
          <w:szCs w:val="21"/>
          <w:highlight w:val="none"/>
          <w:lang w:val="en-US" w:eastAsia="zh-CN"/>
        </w:rPr>
        <w:t>保修及养护</w:t>
      </w:r>
      <w:r>
        <w:rPr>
          <w:rStyle w:val="111"/>
          <w:rFonts w:hint="eastAsia" w:ascii="宋体" w:hAnsi="宋体" w:eastAsia="宋体" w:cs="宋体"/>
          <w:szCs w:val="21"/>
          <w:highlight w:val="none"/>
        </w:rPr>
        <w:t>责任。</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（八）、发包方向承包方承诺按照合同约定的期限和方式支付合同价款及其他应当支付的款项。</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（九）、合同生效</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合同订立时间： 2021年  月   日。</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合同订立地点：邯郸路220号复旦大学</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本合同一式</w:t>
      </w:r>
      <w:r>
        <w:rPr>
          <w:rStyle w:val="111"/>
          <w:rFonts w:hint="eastAsia" w:ascii="宋体" w:hAnsi="宋体" w:eastAsia="宋体" w:cs="宋体"/>
          <w:szCs w:val="21"/>
          <w:highlight w:val="none"/>
          <w:lang w:val="en-US" w:eastAsia="zh-CN"/>
        </w:rPr>
        <w:t>捌</w:t>
      </w:r>
      <w:r>
        <w:rPr>
          <w:rStyle w:val="111"/>
          <w:rFonts w:hint="eastAsia" w:ascii="宋体" w:hAnsi="宋体" w:eastAsia="宋体" w:cs="宋体"/>
          <w:szCs w:val="21"/>
          <w:highlight w:val="none"/>
        </w:rPr>
        <w:t>份，发包方</w:t>
      </w:r>
      <w:r>
        <w:rPr>
          <w:rStyle w:val="111"/>
          <w:rFonts w:hint="eastAsia" w:ascii="宋体" w:hAnsi="宋体" w:eastAsia="宋体" w:cs="宋体"/>
          <w:szCs w:val="21"/>
          <w:highlight w:val="none"/>
          <w:lang w:val="en-US" w:eastAsia="zh-CN"/>
        </w:rPr>
        <w:t>陆</w:t>
      </w:r>
      <w:r>
        <w:rPr>
          <w:rStyle w:val="111"/>
          <w:rFonts w:hint="eastAsia" w:ascii="宋体" w:hAnsi="宋体" w:eastAsia="宋体" w:cs="宋体"/>
          <w:szCs w:val="21"/>
          <w:highlight w:val="none"/>
        </w:rPr>
        <w:t>份，承包方贰份。</w:t>
      </w:r>
    </w:p>
    <w:p>
      <w:pPr>
        <w:widowControl/>
        <w:spacing w:line="360" w:lineRule="auto"/>
        <w:ind w:firstLine="410"/>
        <w:jc w:val="left"/>
        <w:rPr>
          <w:rStyle w:val="111"/>
          <w:rFonts w:hint="eastAsia" w:ascii="宋体" w:hAnsi="宋体" w:eastAsia="宋体" w:cs="宋体"/>
          <w:szCs w:val="21"/>
          <w:highlight w:val="none"/>
        </w:rPr>
      </w:pPr>
      <w:r>
        <w:rPr>
          <w:rStyle w:val="111"/>
          <w:rFonts w:hint="eastAsia" w:ascii="宋体" w:hAnsi="宋体" w:eastAsia="宋体" w:cs="宋体"/>
          <w:szCs w:val="21"/>
          <w:highlight w:val="none"/>
        </w:rPr>
        <w:t>本合同双方约定签字盖章后生效。</w:t>
      </w:r>
    </w:p>
    <w:p>
      <w:pPr>
        <w:widowControl/>
        <w:spacing w:line="360" w:lineRule="auto"/>
        <w:ind w:firstLine="410"/>
        <w:jc w:val="left"/>
        <w:rPr>
          <w:rStyle w:val="111"/>
          <w:rFonts w:hint="eastAsia" w:ascii="宋体" w:hAnsi="宋体" w:eastAsia="宋体" w:cs="宋体"/>
          <w:szCs w:val="21"/>
          <w:highlight w:val="none"/>
        </w:rPr>
      </w:pPr>
    </w:p>
    <w:p>
      <w:pPr>
        <w:widowControl/>
        <w:spacing w:line="360" w:lineRule="auto"/>
        <w:ind w:firstLine="410"/>
        <w:jc w:val="left"/>
        <w:rPr>
          <w:rStyle w:val="111"/>
          <w:rFonts w:hint="eastAsia" w:ascii="宋体" w:hAnsi="宋体" w:eastAsia="宋体" w:cs="宋体"/>
          <w:szCs w:val="21"/>
          <w:highlight w:val="none"/>
        </w:rPr>
      </w:pPr>
    </w:p>
    <w:p>
      <w:pPr>
        <w:widowControl/>
        <w:spacing w:line="360" w:lineRule="auto"/>
        <w:ind w:firstLine="410"/>
        <w:jc w:val="left"/>
        <w:rPr>
          <w:rStyle w:val="111"/>
          <w:rFonts w:hint="eastAsia" w:ascii="宋体" w:hAnsi="宋体" w:eastAsia="宋体" w:cs="宋体"/>
          <w:highlight w:val="none"/>
        </w:rPr>
      </w:pPr>
    </w:p>
    <w:p>
      <w:pPr>
        <w:widowControl/>
        <w:spacing w:line="360" w:lineRule="auto"/>
        <w:ind w:firstLine="376"/>
        <w:jc w:val="left"/>
        <w:rPr>
          <w:rStyle w:val="111"/>
          <w:rFonts w:hint="eastAsia" w:ascii="宋体" w:hAnsi="宋体" w:eastAsia="宋体" w:cs="宋体"/>
          <w:highlight w:val="none"/>
        </w:rPr>
      </w:pPr>
      <w:r>
        <w:rPr>
          <w:rStyle w:val="111"/>
          <w:rFonts w:hint="eastAsia" w:ascii="宋体" w:hAnsi="宋体" w:eastAsia="宋体" w:cs="宋体"/>
          <w:highlight w:val="none"/>
        </w:rPr>
        <w:t>发  包  方：（公章）</w:t>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承  包  方：（公章）</w:t>
      </w:r>
    </w:p>
    <w:p>
      <w:pPr>
        <w:widowControl/>
        <w:spacing w:line="360" w:lineRule="auto"/>
        <w:ind w:firstLine="376"/>
        <w:jc w:val="left"/>
        <w:rPr>
          <w:rStyle w:val="111"/>
          <w:rFonts w:hint="eastAsia" w:ascii="宋体" w:hAnsi="宋体" w:eastAsia="宋体" w:cs="宋体"/>
          <w:highlight w:val="none"/>
        </w:rPr>
      </w:pPr>
      <w:r>
        <w:rPr>
          <w:rStyle w:val="111"/>
          <w:rFonts w:hint="eastAsia" w:ascii="宋体" w:hAnsi="宋体" w:eastAsia="宋体" w:cs="宋体"/>
          <w:highlight w:val="none"/>
        </w:rPr>
        <w:t>法定代表人：</w:t>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 xml:space="preserve">    法定代表人：</w:t>
      </w:r>
    </w:p>
    <w:p>
      <w:pPr>
        <w:widowControl/>
        <w:spacing w:line="360" w:lineRule="auto"/>
        <w:ind w:firstLine="376"/>
        <w:jc w:val="left"/>
        <w:rPr>
          <w:rStyle w:val="111"/>
          <w:rFonts w:hint="eastAsia" w:ascii="宋体" w:hAnsi="宋体" w:eastAsia="宋体" w:cs="宋体"/>
          <w:highlight w:val="none"/>
        </w:rPr>
      </w:pPr>
      <w:r>
        <w:rPr>
          <w:rStyle w:val="111"/>
          <w:rFonts w:hint="eastAsia" w:ascii="宋体" w:hAnsi="宋体" w:eastAsia="宋体" w:cs="宋体"/>
          <w:highlight w:val="none"/>
        </w:rPr>
        <w:t>委托代理人：</w:t>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 xml:space="preserve">    委托代理人：</w:t>
      </w:r>
    </w:p>
    <w:p>
      <w:pPr>
        <w:widowControl/>
        <w:spacing w:line="360" w:lineRule="auto"/>
        <w:ind w:firstLine="376"/>
        <w:jc w:val="left"/>
        <w:rPr>
          <w:rStyle w:val="111"/>
          <w:rFonts w:hint="eastAsia" w:ascii="宋体" w:hAnsi="宋体" w:eastAsia="宋体" w:cs="宋体"/>
          <w:highlight w:val="none"/>
        </w:rPr>
      </w:pPr>
      <w:r>
        <w:rPr>
          <w:rStyle w:val="111"/>
          <w:rFonts w:hint="eastAsia" w:ascii="宋体" w:hAnsi="宋体" w:eastAsia="宋体" w:cs="宋体"/>
          <w:highlight w:val="none"/>
        </w:rPr>
        <w:t>电      话：</w:t>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电      话：</w:t>
      </w:r>
    </w:p>
    <w:p>
      <w:pPr>
        <w:widowControl/>
        <w:spacing w:line="360" w:lineRule="auto"/>
        <w:ind w:firstLine="342"/>
        <w:jc w:val="left"/>
        <w:rPr>
          <w:rStyle w:val="111"/>
          <w:rFonts w:hint="eastAsia" w:ascii="宋体" w:hAnsi="宋体" w:eastAsia="宋体" w:cs="宋体"/>
          <w:highlight w:val="none"/>
        </w:rPr>
      </w:pPr>
      <w:r>
        <w:rPr>
          <w:rStyle w:val="111"/>
          <w:rFonts w:hint="eastAsia" w:ascii="宋体" w:hAnsi="宋体" w:eastAsia="宋体" w:cs="宋体"/>
          <w:highlight w:val="none"/>
        </w:rPr>
        <w:t>开 户 银 行：</w:t>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开 户 银 行：</w:t>
      </w:r>
    </w:p>
    <w:p>
      <w:pPr>
        <w:widowControl/>
        <w:spacing w:line="360" w:lineRule="auto"/>
        <w:ind w:firstLine="376"/>
        <w:jc w:val="left"/>
        <w:rPr>
          <w:rStyle w:val="111"/>
          <w:rFonts w:hint="eastAsia" w:ascii="宋体" w:hAnsi="宋体" w:eastAsia="宋体" w:cs="宋体"/>
          <w:highlight w:val="none"/>
        </w:rPr>
      </w:pPr>
      <w:r>
        <w:rPr>
          <w:rStyle w:val="111"/>
          <w:rFonts w:hint="eastAsia" w:ascii="宋体" w:hAnsi="宋体" w:eastAsia="宋体" w:cs="宋体"/>
          <w:highlight w:val="none"/>
        </w:rPr>
        <w:t>帐      号：</w:t>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ab/>
      </w:r>
      <w:r>
        <w:rPr>
          <w:rStyle w:val="111"/>
          <w:rFonts w:hint="eastAsia" w:ascii="宋体" w:hAnsi="宋体" w:eastAsia="宋体" w:cs="宋体"/>
          <w:highlight w:val="none"/>
        </w:rPr>
        <w:t>帐      号：</w:t>
      </w:r>
    </w:p>
    <w:p>
      <w:pPr>
        <w:widowControl/>
        <w:spacing w:line="360" w:lineRule="auto"/>
        <w:ind w:firstLine="376"/>
        <w:jc w:val="left"/>
        <w:rPr>
          <w:rStyle w:val="111"/>
          <w:rFonts w:hint="eastAsia" w:ascii="宋体" w:hAnsi="宋体" w:eastAsia="宋体" w:cs="宋体"/>
          <w:highlight w:val="none"/>
        </w:rPr>
      </w:pPr>
    </w:p>
    <w:p>
      <w:pPr>
        <w:widowControl/>
        <w:spacing w:line="360" w:lineRule="auto"/>
        <w:ind w:firstLine="376"/>
        <w:jc w:val="left"/>
        <w:rPr>
          <w:rStyle w:val="111"/>
          <w:rFonts w:hint="eastAsia" w:ascii="宋体" w:hAnsi="宋体" w:eastAsia="宋体" w:cs="宋体"/>
          <w:highlight w:val="none"/>
        </w:rPr>
      </w:pPr>
    </w:p>
    <w:p>
      <w:pPr>
        <w:widowControl/>
        <w:spacing w:line="360" w:lineRule="auto"/>
        <w:ind w:firstLine="376"/>
        <w:jc w:val="left"/>
        <w:rPr>
          <w:rStyle w:val="111"/>
          <w:rFonts w:hint="eastAsia" w:ascii="宋体" w:hAnsi="宋体" w:eastAsia="宋体" w:cs="宋体"/>
          <w:highlight w:val="none"/>
        </w:rPr>
      </w:pPr>
    </w:p>
    <w:p>
      <w:pPr>
        <w:widowControl/>
        <w:spacing w:line="360" w:lineRule="auto"/>
        <w:ind w:firstLine="376"/>
        <w:jc w:val="left"/>
        <w:rPr>
          <w:rStyle w:val="111"/>
          <w:rFonts w:hint="eastAsia" w:ascii="宋体" w:hAnsi="宋体" w:eastAsia="宋体" w:cs="宋体"/>
          <w:highlight w:val="none"/>
        </w:rPr>
      </w:pPr>
    </w:p>
    <w:p>
      <w:pPr>
        <w:widowControl/>
        <w:spacing w:line="360" w:lineRule="auto"/>
        <w:ind w:firstLine="376"/>
        <w:jc w:val="left"/>
        <w:rPr>
          <w:rStyle w:val="111"/>
          <w:rFonts w:hint="eastAsia" w:ascii="宋体" w:hAnsi="宋体" w:eastAsia="宋体" w:cs="宋体"/>
          <w:highlight w:val="none"/>
        </w:rPr>
      </w:pPr>
    </w:p>
    <w:p>
      <w:pPr>
        <w:widowControl/>
        <w:spacing w:line="360" w:lineRule="auto"/>
        <w:ind w:firstLine="376"/>
        <w:jc w:val="left"/>
        <w:rPr>
          <w:rStyle w:val="111"/>
          <w:rFonts w:hint="eastAsia" w:ascii="宋体" w:hAnsi="宋体" w:eastAsia="宋体" w:cs="宋体"/>
          <w:highlight w:val="none"/>
        </w:rPr>
      </w:pPr>
    </w:p>
    <w:p>
      <w:pPr>
        <w:widowControl/>
        <w:spacing w:line="360" w:lineRule="auto"/>
        <w:ind w:firstLine="376"/>
        <w:jc w:val="left"/>
        <w:rPr>
          <w:rStyle w:val="111"/>
          <w:rFonts w:hint="eastAsia" w:ascii="宋体" w:hAnsi="宋体" w:eastAsia="宋体" w:cs="宋体"/>
          <w:highlight w:val="none"/>
        </w:rPr>
      </w:pPr>
    </w:p>
    <w:p>
      <w:pPr>
        <w:spacing w:before="360" w:line="360" w:lineRule="auto"/>
        <w:jc w:val="center"/>
        <w:rPr>
          <w:rStyle w:val="111"/>
          <w:rFonts w:hint="eastAsia" w:ascii="宋体" w:hAnsi="宋体" w:eastAsia="宋体" w:cs="宋体"/>
          <w:b/>
          <w:highlight w:val="none"/>
        </w:rPr>
        <w:sectPr>
          <w:footerReference r:id="rId7" w:type="default"/>
          <w:pgSz w:w="11906" w:h="16838"/>
          <w:pgMar w:top="1440" w:right="1644" w:bottom="1440" w:left="1797" w:header="851" w:footer="992" w:gutter="0"/>
          <w:pgNumType w:fmt="decimal"/>
          <w:cols w:space="720" w:num="1"/>
          <w:docGrid w:linePitch="312" w:charSpace="0"/>
        </w:sectPr>
      </w:pPr>
    </w:p>
    <w:p>
      <w:pPr>
        <w:spacing w:before="360" w:line="360" w:lineRule="auto"/>
        <w:jc w:val="center"/>
        <w:rPr>
          <w:rStyle w:val="111"/>
          <w:rFonts w:hint="eastAsia" w:ascii="宋体" w:hAnsi="宋体" w:eastAsia="宋体" w:cs="宋体"/>
          <w:b/>
          <w:highlight w:val="none"/>
        </w:rPr>
      </w:pPr>
      <w:r>
        <w:rPr>
          <w:rStyle w:val="111"/>
          <w:rFonts w:hint="eastAsia" w:ascii="宋体" w:hAnsi="宋体" w:eastAsia="宋体" w:cs="宋体"/>
          <w:b/>
          <w:highlight w:val="none"/>
        </w:rPr>
        <w:t>第二部分    通用条款</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按照上海市园林绿化建设工程施工合同示范文本（2007版）通用条款执行</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一、合同文件</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 合同文件及解释顺序</w:t>
      </w:r>
    </w:p>
    <w:p>
      <w:pPr>
        <w:spacing w:line="360" w:lineRule="auto"/>
        <w:ind w:firstLine="315" w:firstLineChars="150"/>
        <w:contextualSpacing/>
        <w:rPr>
          <w:rStyle w:val="111"/>
          <w:rFonts w:hint="eastAsia" w:ascii="宋体" w:hAnsi="宋体" w:eastAsia="宋体" w:cs="宋体"/>
          <w:highlight w:val="none"/>
        </w:rPr>
      </w:pPr>
      <w:r>
        <w:rPr>
          <w:rStyle w:val="111"/>
          <w:rFonts w:hint="eastAsia" w:ascii="宋体" w:hAnsi="宋体" w:eastAsia="宋体" w:cs="宋体"/>
          <w:highlight w:val="none"/>
        </w:rPr>
        <w:t>　　1.1． 合同文件应能相互解释，互为说明。除专用条款另有约定外，组成本合同的文件及</w:t>
      </w:r>
    </w:p>
    <w:p>
      <w:pPr>
        <w:spacing w:line="360" w:lineRule="auto"/>
        <w:ind w:firstLine="945" w:firstLineChars="450"/>
        <w:contextualSpacing/>
        <w:rPr>
          <w:rFonts w:hint="eastAsia" w:ascii="宋体" w:hAnsi="宋体" w:eastAsia="宋体" w:cs="宋体"/>
          <w:szCs w:val="21"/>
          <w:highlight w:val="none"/>
        </w:rPr>
      </w:pPr>
      <w:r>
        <w:rPr>
          <w:rFonts w:hint="eastAsia" w:ascii="宋体" w:hAnsi="宋体" w:eastAsia="宋体" w:cs="宋体"/>
          <w:szCs w:val="21"/>
          <w:highlight w:val="none"/>
        </w:rPr>
        <w:t>（1）本合同协议书</w:t>
      </w:r>
    </w:p>
    <w:p>
      <w:pPr>
        <w:spacing w:line="360" w:lineRule="auto"/>
        <w:ind w:firstLine="945" w:firstLineChars="450"/>
        <w:contextualSpacing/>
        <w:rPr>
          <w:rFonts w:hint="eastAsia" w:ascii="宋体" w:hAnsi="宋体" w:eastAsia="宋体" w:cs="宋体"/>
          <w:szCs w:val="21"/>
          <w:highlight w:val="none"/>
        </w:rPr>
      </w:pPr>
      <w:r>
        <w:rPr>
          <w:rFonts w:hint="eastAsia" w:ascii="宋体" w:hAnsi="宋体" w:eastAsia="宋体" w:cs="宋体"/>
          <w:szCs w:val="21"/>
          <w:highlight w:val="none"/>
        </w:rPr>
        <w:t>（2）中标通知书</w:t>
      </w:r>
    </w:p>
    <w:p>
      <w:pPr>
        <w:spacing w:line="360" w:lineRule="auto"/>
        <w:ind w:firstLine="945" w:firstLineChars="450"/>
        <w:contextualSpacing/>
        <w:rPr>
          <w:rFonts w:hint="eastAsia" w:ascii="宋体" w:hAnsi="宋体" w:eastAsia="宋体" w:cs="宋体"/>
          <w:szCs w:val="21"/>
          <w:highlight w:val="none"/>
        </w:rPr>
      </w:pPr>
      <w:r>
        <w:rPr>
          <w:rFonts w:hint="eastAsia" w:ascii="宋体" w:hAnsi="宋体" w:eastAsia="宋体" w:cs="宋体"/>
          <w:szCs w:val="21"/>
          <w:highlight w:val="none"/>
        </w:rPr>
        <w:t>（3）投标书及其附件</w:t>
      </w:r>
    </w:p>
    <w:p>
      <w:pPr>
        <w:spacing w:line="360" w:lineRule="auto"/>
        <w:ind w:firstLine="945" w:firstLineChars="450"/>
        <w:contextualSpacing/>
        <w:rPr>
          <w:rFonts w:hint="eastAsia" w:ascii="宋体" w:hAnsi="宋体" w:eastAsia="宋体" w:cs="宋体"/>
          <w:szCs w:val="21"/>
          <w:highlight w:val="none"/>
        </w:rPr>
      </w:pPr>
      <w:r>
        <w:rPr>
          <w:rFonts w:hint="eastAsia" w:ascii="宋体" w:hAnsi="宋体" w:eastAsia="宋体" w:cs="宋体"/>
          <w:szCs w:val="21"/>
          <w:highlight w:val="none"/>
        </w:rPr>
        <w:t>（4）本合同专用条款</w:t>
      </w:r>
    </w:p>
    <w:p>
      <w:pPr>
        <w:spacing w:line="360" w:lineRule="auto"/>
        <w:ind w:firstLine="945" w:firstLineChars="450"/>
        <w:contextualSpacing/>
        <w:rPr>
          <w:rFonts w:hint="eastAsia" w:ascii="宋体" w:hAnsi="宋体" w:eastAsia="宋体" w:cs="宋体"/>
          <w:szCs w:val="21"/>
          <w:highlight w:val="none"/>
        </w:rPr>
      </w:pPr>
      <w:r>
        <w:rPr>
          <w:rFonts w:hint="eastAsia" w:ascii="宋体" w:hAnsi="宋体" w:eastAsia="宋体" w:cs="宋体"/>
          <w:szCs w:val="21"/>
          <w:highlight w:val="none"/>
        </w:rPr>
        <w:t>（5）本合同通用条款</w:t>
      </w:r>
    </w:p>
    <w:p>
      <w:pPr>
        <w:spacing w:line="360" w:lineRule="auto"/>
        <w:ind w:firstLine="945" w:firstLineChars="450"/>
        <w:contextualSpacing/>
        <w:rPr>
          <w:rFonts w:hint="eastAsia" w:ascii="宋体" w:hAnsi="宋体" w:eastAsia="宋体" w:cs="宋体"/>
          <w:szCs w:val="21"/>
          <w:highlight w:val="none"/>
        </w:rPr>
      </w:pPr>
      <w:r>
        <w:rPr>
          <w:rFonts w:hint="eastAsia" w:ascii="宋体" w:hAnsi="宋体" w:eastAsia="宋体" w:cs="宋体"/>
          <w:szCs w:val="21"/>
          <w:highlight w:val="none"/>
        </w:rPr>
        <w:t>（6）标准、规范及有关技术文件</w:t>
      </w:r>
    </w:p>
    <w:p>
      <w:pPr>
        <w:spacing w:line="360" w:lineRule="auto"/>
        <w:ind w:firstLine="945" w:firstLineChars="450"/>
        <w:contextualSpacing/>
        <w:rPr>
          <w:rFonts w:hint="eastAsia" w:ascii="宋体" w:hAnsi="宋体" w:eastAsia="宋体" w:cs="宋体"/>
          <w:szCs w:val="21"/>
          <w:highlight w:val="none"/>
        </w:rPr>
      </w:pPr>
      <w:r>
        <w:rPr>
          <w:rFonts w:hint="eastAsia" w:ascii="宋体" w:hAnsi="宋体" w:eastAsia="宋体" w:cs="宋体"/>
          <w:szCs w:val="21"/>
          <w:highlight w:val="none"/>
        </w:rPr>
        <w:t xml:space="preserve">（7）图纸                         </w:t>
      </w:r>
    </w:p>
    <w:p>
      <w:pPr>
        <w:spacing w:line="360" w:lineRule="auto"/>
        <w:ind w:firstLine="945" w:firstLineChars="450"/>
        <w:contextualSpacing/>
        <w:rPr>
          <w:rFonts w:hint="eastAsia" w:ascii="宋体" w:hAnsi="宋体" w:eastAsia="宋体" w:cs="宋体"/>
          <w:szCs w:val="21"/>
          <w:highlight w:val="none"/>
        </w:rPr>
      </w:pPr>
      <w:r>
        <w:rPr>
          <w:rFonts w:hint="eastAsia" w:ascii="宋体" w:hAnsi="宋体" w:eastAsia="宋体" w:cs="宋体"/>
          <w:szCs w:val="21"/>
          <w:highlight w:val="none"/>
        </w:rPr>
        <w:t>（8）工程量清单</w:t>
      </w:r>
    </w:p>
    <w:p>
      <w:pPr>
        <w:spacing w:line="360" w:lineRule="auto"/>
        <w:ind w:firstLine="945" w:firstLineChars="450"/>
        <w:contextualSpacing/>
        <w:rPr>
          <w:rFonts w:hint="eastAsia" w:ascii="宋体" w:hAnsi="宋体" w:eastAsia="宋体" w:cs="宋体"/>
          <w:szCs w:val="21"/>
          <w:highlight w:val="none"/>
        </w:rPr>
      </w:pPr>
      <w:r>
        <w:rPr>
          <w:rFonts w:hint="eastAsia" w:ascii="宋体" w:hAnsi="宋体" w:eastAsia="宋体" w:cs="宋体"/>
          <w:szCs w:val="21"/>
          <w:highlight w:val="none"/>
        </w:rPr>
        <w:t>（9）工程报价单或预算书</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双方有关工程的洽商、变更等书面协议或文件视为本合同的组成部分。</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1.2． 当合同文件内容含糊不清或不相一致时，在不影响工程正常进行的情况下，由发包方、承包方协商解决。双方也可以提请上海市园林绿化行业协会作出解释。双方协商不成或不同意上海市园林绿化行业协会的解释时，按本通用条款第36条关于争议的约定处理。</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 适用法律、标准及规范</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2.1． 适用法律和法规</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本合同文件适用中华人民共和国的法律和行政法规。需要明示的法律、行政法规，由双方在专用条款中约定。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2.2． 适用标准、规范</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本合同文件《园林绿化工程施工及验收规范》CJJ82-2012、《园林绿化工程施工质量验收标准》 DGTJ08-701-2020</w:t>
      </w:r>
      <w:r>
        <w:rPr>
          <w:rStyle w:val="111"/>
          <w:rFonts w:hint="eastAsia" w:ascii="宋体" w:hAnsi="宋体" w:eastAsia="宋体" w:cs="宋体"/>
          <w:highlight w:val="none"/>
          <w:lang w:eastAsia="zh-CN"/>
        </w:rPr>
        <w:t>、</w:t>
      </w:r>
      <w:r>
        <w:rPr>
          <w:rStyle w:val="111"/>
          <w:rFonts w:hint="eastAsia" w:ascii="宋体" w:hAnsi="宋体" w:eastAsia="宋体" w:cs="宋体"/>
          <w:highlight w:val="none"/>
        </w:rPr>
        <w:t>《园林绿化养护技术等级标准》（DG/TJ08-702-2011）。</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若上述标准、规范有调整或修订，适用最新版本。</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若双方认为，合同文件还需适用其它的国家标准、规范，双方可在专用条款内约定；没有国家标准、规范但有行业标准、规范的，约定适用行业标准、规范的名称；没有国家和行业标准、规范的，约定适用工程所在地地方标准、规范的名称。发包方应按专用条款约定的时间向承包方提供一式两份约定的标准、规范。</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国内没有相应标准、规范的，由发包方按专用条款约定的时间向承包方提出施工技术要求，承包方按约定的时间和要求提出施工工艺，经发包方认可后执行。发包方要求使用国外标准、规范的，应负责提供中文译本。</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本条发生的购买、翻译标准、规范或制定施工工艺的费用分担，由发包方承包方在专用条款内约定。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 图纸</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3.1． 发包方应按专用条款约定的日期和套数，向承包方提供图纸。承包方需要增加图纸套数的，发包方应代为复制，复制费用由承包方承担。发包方对工程有保密要求的，应在专用条款中提出保密要求，保密措施费用由发包方承担，承包方在约定保密期限内履行保密义务。</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3.2． 承包方未经发包方同意，不得将本工程图纸转给第三人。工程</w:t>
      </w:r>
      <w:r>
        <w:rPr>
          <w:rStyle w:val="111"/>
          <w:rFonts w:hint="eastAsia" w:ascii="宋体" w:hAnsi="宋体" w:eastAsia="宋体" w:cs="宋体"/>
          <w:highlight w:val="none"/>
          <w:lang w:val="en-US" w:eastAsia="zh-CN"/>
        </w:rPr>
        <w:t>完工验收</w:t>
      </w:r>
      <w:r>
        <w:rPr>
          <w:rStyle w:val="111"/>
          <w:rFonts w:hint="eastAsia" w:ascii="宋体" w:hAnsi="宋体" w:eastAsia="宋体" w:cs="宋体"/>
          <w:highlight w:val="none"/>
        </w:rPr>
        <w:t>后，除承包方存档需要的图纸外，应将全部图纸退还给发包方。</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3.3． 承包方应在施工现场保留一套完整图纸，供发包方及相关部门进行工程检查时使用。</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二、双方一般权利和义务</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4. 工程监理和发包方代表</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4.1． 实行工程监理的，发包方应在实施监理前将委托的监理单位名称、监理内容及监理权限以书面形式通知承包方。</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4.2． 监理单位委派的总监理工程师，其姓名、职务、职权由发包方、承包方在专用条款内写明。总监理工程师按合同约定行使职权。发包方在专用条款内要求总监理工程师在行使某些职权前需要征得发包方批准的，总监理工程师应征得发包方批准。</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4.3． 除合同内有明确约定或经发包方同意外，总监理工程师无权解除本合同约定的承包方的任何权利与义务。</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4.4． 发包方派驻施工场地履行合同的代表，其姓名、职务、职权由发包方在专用条款内写明，但职权不得与监理单位委派的总监理工程师职权相互交叉。双方职权发生交叉或不明确时，由发包方予以明确，并以书面形式通知承包方。</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5. 发包方代表的委派和指令</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5.1． 发包方代表由发包方、承包方在本合同专用条款中约定。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5.2． 发包方代表按合同约定行使职权。除发包方代表外，发包方派驻工地的其他人员均无权向承包方发出任何指令。</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5.3． 发包方代表的指令、通知由其本人签字后，以书面形式交给项目经理，项目经理在回执上签署姓名和收到时间后生效。确有必要时，发包方代表可发出口头指令，并须在48小时内给予书面确认，承包方对发包方代表的指令应予执行。</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承包方认为发包方代表指令不合理，应在收到指令后24小时内向发包方代表提出修改指令的书面报告，发包方代表在收到承包方报告后24小时内作出修改指令或继续执行原指令的决定，并以书面形式通知承包方。紧急情况下，发包方代表要求承包方立即执行的指令或承包方虽有异议，但发包方代表决定仍继续执行的指令，承包方应予执行。因指令错误发生的追加合同价款和给承包方造成的损失由发包方承担，延误的工期相应顺延。</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5.4． 发包方代表应按合同约定，及时向承包方提供所需指令、批准并履行约定的其他义务。由于发包方代表未能按合同约定履行义务造成工期延误，发包方应赔偿承包方有关损失，顺延延误的工期。</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5.5． 在合同履行过程中，确有必要时，发包方亦可更换发包方代表。如需更换发包方代表，发包方应至少提前7天以书面形式通知承包方，后任继续行使合同文件约定的前任的职权，履行前任的义务。</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6. 项目经理</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6.1． 项目经理的姓名、职务在专用条款内写明。</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6.2． 承包方依据合同发出的通知，以书面形式由项目经理签字后送交发包方代表，发包方代表在回执上签署姓名和收到时间后生效。</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6.3． 项目经理按发包方认可的施工组织设计（施工方案）和发包方代表依据合同发出的指令组织施工。在情况紧急且无法与发包方代表联系时，项目经理应当采取保证人员生命和工程、财产安全的紧急措施，并在采取措施后48小时内向发包方代表提交报告。责任在发包方或第三方，由发包方承担由此发生的追加合同价款，相应顺延工期；责任在承包方，由承包方承担费用，不顺延工期。</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6.4． 承包方如需要更换项目经理，应至少提前7天以书面形式通知发包方，并征得发包方同意。后任继续行使合同文件约定的前任的职权，履行前任的义务。</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6.5． 发包方可以与承包方协商，建议更换其认为不称职的项目经理。</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7. 发包方工作</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7.1． 发包方按专用条款约定的内容和时间完成以下工作：</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 拆迁、清除施工场地的障碍物，使施工场地具备全面施工条件，在开工后继续负责解决以上事项遗留问题；</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 将施工所需水、电、电讯线路从施工场地外部接至专用条款约定地点，保证施工期间的需要；</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 开通施工场地与城乡公共道路的通道，以及专用条款约定的施工场地内的主要道路，满足施工运输的需要，保证施工期间的畅通；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（4） 向承包方提供施工场地的工程地质和地下管线资料，对资料的真实准确性负责；</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（5） 办理施工许可证及其他施工所需证件、批件和临时用地、停水、停电、中断道路交通、爆破作业、夜间施工（如有时）等的申请批准手续（证明承包方自身资质的证件除外）；</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（6） 确定水准点与坐标控制点，以书面形式交给承包方，进行现场交验；</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（7） 协调承包方与工地其它施工单位的关系。</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（8） 组织承包方和设计单位进行图纸会审和设计交底；</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（9） 协调处理施工场地周围地下管线和邻近建筑物、构筑物（包括文物保护建筑）、古树名木的保护工作、承担有关费用；</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（10） 发包方应做的其他工作，双方在专用条款内约定。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7.2． 发包方可以将7.1款部分工作委托承包方办理，双方在专用条款内约定，其费用由发包方承担。</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7.3． 发包方未能履行7.1款各项义务，导致工期延误或给承包方造成损失的，发包方赔偿承包方有关损失，顺延延误的工期。</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8. 承包方工作</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8.1． 承包方按专用条款约定的内容和时间完成以下工作：</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 根据发包方委托，在其设计资质等级和业务允许的范围内，完成施工图设计或与工程配套的设计，经发包方代表确认后使用，发包方承担由此发生的费用；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 向发包方代表提供年、季、月度工程进度计划及相应进度统计报表；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 根据工程需要，提供和维修承包工程范围内的非夜间施工使用的照明、围栏设施，并负责工程范围内的安全保卫；</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（4） 按专用条款约定的数量和要求，向发包方提供施工场地办公和生活的房屋及设施，发包方承担由此发生的费用；</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（5） 遵守政府有关主管部门对施工场地交通、施工噪音以及环境保护和安全生产等的管理规定，按规定办理有关手续，并以书面形式通知发包方，发包方承担由此发生的费用，因承包方责任造成的罚款除外；</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（6） 已竣工工程未交付发包方之前，承包方按专用条款约定负责已完工程的保护、以及绿化苗木的养护工作。保护期间发生损坏，由承包方负责修复，并承担相应费用。但若工程完工、具备竣工验收条件后，发包方拒绝验收或拒绝移交，相应责任和费用由发包方承担。</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发包方要求承包方采取特殊措施保护的工程部位，或者要求采取特殊养护措施的苗木种植工程，发包方承担相应费用，具体要求、技术措施和相应费用由双方在专用条款内约定。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（7） 按专用条款约定做好施工场地地下管线和邻近建筑物、构筑物（包括文物保护建筑）、古树名木的保护工作；</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（8） 保证施工场地清洁符合环境卫生管理的有关规定，交工前清理现场达到专用条款约定的要求，承担因自身原因违反有关规定造成的损失和罚款；</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（9） 承包方应做的其他工作，双方在专用条款内约定。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8.2． 承包方未能履行8.1款各项义务，造成发包方损失的，承包方赔偿发包方有关损失。</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三、施工组织设计和工期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9. 进度计划</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9.1． 承包方应按专用条款约定的日期，将施工组织设计和工程进度计划提交发包方。发包方代表按专用条款约定的时间予以确认或提出修改意见，逾期不确认也不提出书面意见的，视为同意。</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9.2． 群体工程中单位工程分期进行施工的，承包方应按照发包方提供图纸及有关资料的时间，按单位工程编制进度计划，其具体内容双方在专用条款中约定。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9.3． 承包方必须按发包方代表确认的进度计划组织施工，接受发包方对进度的检查、监督。工程实际进度与经确认的进度计划不符时，承包方应按发包方代表的要求提出改进措施，经发包方代表确认后执行。因承包方的原因导致实际进度与进度计划不符，承包方无权就改进措施提出追加合同价款。</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10. 开工及延期开工</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10.1． 承包方应当按照协议书约定的开工日期开工。承包方不能按时开工，应当不迟于协议书约定的开工日期前7天，以书面形式向发包方提出延期开工的理由和要求。发包方应当在接到延期开工申请后48小时内以书面形式答复承包方。发包方在接到延期开工申请后48小时内不答复，视为同意承包方要求，工期相应顺延。发包方不同意延期要求或承包方未在规定期限内发出延期开工要求，工期不顺延。</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10.2． 因发包方原因不能按照协议书约定的开工日期开工，发包方应以书面形式通知承包方，推迟开工日期。发包方赔偿承包方因延期开工造成的损失，并相应顺延工期。</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11. 暂停施工</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11.1． 发包方认为确有必要暂停施工时，应当以书面形式要求承包方暂停施工，并在提出要求后48小时内提出书面处理意见。承包方应当按发包方要求停止施工，并妥善保护已完工程。承包方实施发包方作出的处理意见后，可以书面形式提出复工要求，发包方应当在48小时内给予答复。发包方未能在规定时间内提出处理意见，或收到承包方复工要求后48小时内未予答复，承包方可自行复工。</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11.2． 因发包方原因造成停工的，由发包方承担所发生的追加合同价款，赔偿承包方由此造成的损失，相应顺延工期；因承包方原因造成停工的，由承包方承担发生的费用，工期不予顺延。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12. 工期延误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12.1． 因以下原因造成工期延误，经发包方代表确认，工期相应顺延：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 发包方未能按专用条款的约定提供图纸及开工条件；</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 发包方未能按约定日期支付工程预付款、进度款，致使施工不能正常进行；</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 发包方未按合同约定提供所需指令、批准等，致使施工不能正常进行；</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（4） 设计变更和工程量增加；</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（5） 一周内非承包方原因停水、停电、停气造成停工累计超过8小时；</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（6） 不可抗力；</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（7） 因发包方或当地政府职能部门(非因承包方的过失或在本合同内另外说明的除外)通知缓期执行、停工或间断施工；</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（8） 由发包方雇用但非执行本合同工作的其他施工单位的阻碍；</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（9） 按本合同第16条对任何已掩盖的工程执行挖开检查或对任何工作或物料执行试验(包括查验后的修补)，除非该等查验显示有关工作或物料不符合同要求；</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（10） 专用条款中约定或发包方代表同意工期顺延的其他情况。</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12.2． 承包方在12.1款情况发生后14天内，就延误的工期以书面形式向发包方代表提出报告。发包方代表在收到报告后14天内予以确认，逾期不予确认也不提出修改意见，视为同意顺延工期。</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12.3． 合同订立后，若根据承包方施工计划，绿化种植工程本可于种植季节内施工，因发包方原因造成延期开工、暂停施工或工期延误，使得绿化种植工程延误至非种植季节施工，发包方应承担增加的施工措施费。措施费额度由双方另行商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13. 工程竣工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13.1． 承包方必须按照协议书约定的竣工日期或发包方代表同意顺延的工期竣工。</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13.2． 因承包方原因不能按照协议书约定的竣工日期或发包方同意顺延的工期竣工的，承包方承担违约责任。</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13.3． 施工中发包方如需提前竣工，双方协商一致后应签订提前竣工协议，作为合同文件组成部分。提前竣工协议应包括承包方为保证工程质量和安全采取的措施、发包方为提前竣工提供的条件以及提前竣工所需的追加合同价款等内容。</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四、质量与检验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14. 工程质量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14.1． 本工程施工质量应符合《城市绿化工程施工及验收规范》和《园林工程质量检验评定标准》规定的要求。因承包方原因工程质量达不到约定的质量标准，承包方承担违约责任。双方对本园林绿化工程的质量有其他要求，由双方在专用条款内约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14.2． 双方对工程质量有争议时，由上海市园林绿化安全质量监督机构或双方选定的其他机构裁定。所需费用及因此造成的损失，由责任方承担。双方均有责任，由双方根据其责任分别承担。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14.3． 本园林绿化工程种植施工过程中，若承包方认为本工程场地现有的土壤达不到绿化种植要求，可提议发包方对土壤进行改良。若发包方同意承包方进行土壤改良，相应增加的费用由发包方承担。</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若发包方拒绝土壤改良建议，承包方可提议发包方安排具有专业检测资质的机构对土壤质量进行检测。检测的土壤符合上海市种植土壤的质量要求，检测费用由承包方承担。检测的土壤不符要求，检测费用由发包方承担；同时须进行土壤改良，土壤改良费用由发包方承担。</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若发包方拒绝安排土壤检测，或者在土壤检测质量不符要求时拒绝支付土壤改良费用，则承包方不承担绿化种植的质量责任。</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15. 检查和返工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15.1． 承包方应认真按照标准、规范和设计图纸要求以及发包方代表依据合同发出的指令施工，随时接受发包方代表的检查检验，为检查检验提供便利条件。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15.2． 工程质量达不到约定标准的部分，发包方代表一经发现，应要求承包方拆除和重新施工。承包方应按发包方代表的要求拆除和重新施工，直到符合约定标准。因承包方原因达不到约定标准，由承包方承担拆除和重新施工的费用，工期不予顺延。</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承包方种植的绿化苗木，其规格、质量达不到合同约定或设计要求时，须在种植季节以符合要求的苗木替代。其费用由承包方自行承担，工期不予顺延。</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15.3． 发包方代表的检查检验不应影响施工正常进行。如影响施工正常进行，检查检验不合格时，影响正常施工的费用由承包方承担。除此之外影响正常施工的追加合同价款由发包方承担，相应顺延工期。</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15.4． 因发包方代表指令失误或其他非承包方原因发生的追加合同价款，由发包方承担。</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16. 隐蔽工程和中间验收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16.1． 工程具备隐蔽条件或达到专用条款约定的中间验收部位，承包方进行自检，并在隐蔽或中间验收前48小时以书面形式通知发包方验收。通知包括隐蔽和中间验收的内容、验收时间和地点。承包方准备验收记录，验收合格，发包方代表在验收记录上签字后，承包方可进行隐蔽和继续施工。验收不合格，承包方在发包方限定的时间内修改后重新验收。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16.2． 发包方代表不能按时进行验收，应在验收前24小时以书面形式向承包方提出延期要求，延期不能超过48小时。发包方代表未能按以上时间提出延期要求，不进行验收，承包方可自行组织验收，发包方代表应承认验收记录。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16.3． 经发包方代表验收，工程质量符合标准、规范和设计图纸等要求，验收24小时后，发包方代表不在验收记录上签字，视为发包方代表已经认可验收记录，承包方可进行隐蔽或继续施工。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17. 重新检验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无论发包方代表是否进行验收，当其要求对已经隐蔽的工程重新检验时，承包方应按要求进行剥离或开孔，并在检验后重新覆盖或修复。检验合格，发包方承担由此发生的全部追加合同价款，赔偿承包方损失，并相应顺延工期。检验不合格，承包方承担发生的全部费用，工期不予顺延。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18. 工程试车</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18.1． 对于本园林绿化工程，若包含有机电设备、喷灌、庭园灯光等安装项目，双方约定需要试车的，试车内容应与承包方承包的安装范围相一致。</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18.2． 设备安装工程具备单机无负荷试车条件，承包方组织试车，并在试车前48小时以书面形式通知发包方代表。通知包括试车内容、时间、地点。承包方准备试车记录，发包方根据承包方要求为试车提供必要条件。试车合格，发包方代表在试车记录上签字。</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18.3． 发包方代表不能按时参加试车，须在开始试车前24小时以书面形式向承包方提出延期要求，延期不能超过48小时。发包方代表未能按时提出延期要求，不参加试车，应承认试车记录。</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18.4． 设备安装工程具备无负荷联动试车条件，发包方组织试车，并在试车前48小时以书面形式通知承包方。通知包括试车内容、时间、地点和对承包方的要求，承包方按要求做好准备工作。试车合格，双方在试车记录上签字。</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18.5． 双方责任：</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（1）由于设计原因试车达不到验收要求，发包方应要求设计单位修改设计，承包方按修改后的设计重新安装。发包方承担修改设计、拆除及重新安装的全部费用和追加合同价款，工期相应顺延。</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由于设备制造原因试车达不到验收要求，由该设备采购一方负责重新购置或修理，承包方负责拆除和重新安装。设备由承包方采购的，由承包方承担修理或重新购置、拆除及重新安装的费用，工期不予顺延；设备由发包方采购的，发包方承担上述各项追加合同价款，工期相应顺延。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（3）由于承包方施工原因试车达不到验收要求，承包方按发包方要求重新安装和试车，并承担重新安装和试车的费用，工期不予顺延。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（4）试车费用除已包括在合同价款之内或专用条款另有约定外，均由发包方承担。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（5）发包方代表在试车合格后不在试车记录上签字，试车结束24小时后，视为发包方代表已经认可试车记录，承包方可继续施工或办理竣工手续。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五、安全及文明施工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19. 安全施工与检查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19.1． 承包方应遵守工程建设安全生产有关管理规定，严格按安全标准组织施工，并随时接受行业安全检查人员依法实施的监督检查，采取必要的安全防护措施，消除事故隐患。由于承包方安全措施不力造成事故的责任和因此发生的费用，由承包方承担。</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19.2． 发包方应对其在施工场地的工作人员进行安全教育，并对他们的安全负责。发包方不得要求承包方违反安全管理的规定进行施工。因发包方原因导致的安全事故，由发包方承担相应责任及发生的费用。</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19.3． 上海市建设行政主管部门在上海市范围内提倡和鼓励文明标化工地的建设，发包方需落实文明标化工地措施费用，所采取的措施及相应费用由双方在专用条款内约定，承包方应做到措施经费专款专用。</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20. 安全防护</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20.1． 承包方在动力设备、输电线路、地下管道、密封防震车间、易燃易爆地段以及临街交通要道附近施工时，施工开始前应向发包方代表提出安全防护措施，经发包方代表认可后实施，防护措施费用由发包方承担。</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20.2． 实施爆破作业，在放射、毒害性环境中施工（含储存、运输、使用）及使用毒害性、腐蚀性物品施工时，承包方应在施工前14天以书面形式通知发包方代表，并提出相应的安全防护措施，经发包方代表认可后实施，由发包方承担安全防护措施费用。</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21. 事故处理</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21.1． 发生重大伤亡及其他安全事故，承包方应按有关规定立即上报有关部门并通知发包方代表，同时按政府有关部门要求处理，由事故责任方承担发生的费用。</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21.2． 发包方、承包方对事故责任有争议时，应按政府有关部门的认定处理。</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六、合同价款与支付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22. 合同价款及调整</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22.1． 招标工程的合同价款由发包方、承包方依据中标通知书中的中标价格在协议书内约定。非招标工程的合同价款由发包方、承包方依据工程预算书在协议书内约定。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22.2． 合同价款在协议书内约定后，任何一方不得擅自改变。合同价款计价的方式可采用固定总价、固定单价或双方约定的其他计价方式。</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（1）采用固定总价计价方式的，双方在专用条款内约定合同价款包含的风险范围和风险费用的计算方法。在约定的风险范围内，合同价款不作调整。风险范围以外的合同价款调整方法，应当在专用条款内约定。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采用固定单价计价方式的，除专用条款另有约定外，在约定风险范围内，单价不作调整。在约定风险范围外实际数量变化超过该项目工程量清单内数量10%以上，且该项目数量变化的金额超过合同金额0.01%时，单价可作调整。</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（3）其他计价方式。</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22.3． 可调价格合同中合同价款的调整因素包括：</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（1）法律、行政法规和国家有关政策变化影响合同价款；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（2）工程造价管理部门公布的价格调整；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（3）双方约定的其他因素。</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价格调整因素和调整方法由双方约定。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23. 工程预付款</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23.1实行工程预付款的，双方应当在专用条款内约定发包方向承包方预付工程款的时间和数额，开工后按约定的时间和比例逐次扣回。预付时间应不迟于约定的开工日期前7天。发包方不按约定预付，承包方在约定预付时间7天后向发包方发出要求预付的通知，发包方收到通知后仍不能按要求预付，承包方可在发出通知后的第8天停止施工，发包方应从约定应付之日起向承包方支付应付款的同期银行贷款利息，并承担违约责任。</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24. 工程量的确认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24.1． 承包方应按专用条款约定的时间，向发包方提交已完工程量的报告。发包方接到报告后14天内按设计图纸核实已完工程量（以下称计量），并在计量前24小时通知承包方，承包方为计量提供便利条件并派人参加。承包方收到通知后不参加计量，计量结果有效，作为工程价款支付的依据。</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24.2． 发包方收到承包方报告后14天内未进行计量，从第15天起，承包方报告中开列的工程量即视为被确认，作为工程价款支付的依据。发包方不按约定时间通知承包方，致使承包方未能参加计量，计量结果无效。</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24.3． 对承包方超出设计图纸范围和因承包方原因造成返工的工程量，发包方不予计量。</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24.4． 对于24.1、24.2条规定的时限，若双方根据工程的具体情况，认为需要另行协商的，由双方在专用条款中约定。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25. 工程款（进度款）支付</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25.1． 在确认计量结果后14天内，发包方应向承包方支付工程款（进度款）。按约定时间发包方应扣回的预付款，与工程款（进度款）同期结算。</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25.2． 本通用条款第22条确定调整的合同价款，第30条工程变更调整的合同价款及其他条款中约定的追加合同价款，应与工程款（进度款）同期调整支付。</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25.3． 发包方超过约定的支付时间不支付工程款（进度款），承包方可向发包方发出要求付款的通知，发包方收到承包方通知后仍不能按要求付款，可与承包方协商签订延期付款协议，经承包方同意后可延期支付。协议应明确延期支付的时间和从计量结果确认后第15天起应付款的贷款利息。</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25.4． 发包方不按合同约定支付工程款（进度款），双方又未达成延期付款协议，导致施工无法进行，承包方可停止施工，由发包方承担违约责任。</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七、材料、设备和苗木供应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26. 发包方供应材料、设备和苗木</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26.1． 实行发包方供应材料、设备和苗木的，双方应当约定发包方供应材料、设备和苗木的一览表，作为本合同附件。一览表包括发包方供应材料设备和苗木的品种、规格、型号、数量、单价、质量等级、提供时间和地点。</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26.2． 发包方按一览表约定的内容提供材料、设备和苗木，并向承包方提供产品合格证明，对其质量负责。发包方在所供材料设备到货前24小时，以书面形式通知承包方，由承包方派人与发包方共同清点。</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26.3． 发包方供应的材料、设备和苗木，承包方派人参加清点后由承包方妥善保管，发包方支付相应保管费用。因承包方原因发生丢失损坏，由承包方负责赔偿。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发包方未通知承包方清点，承包方不负责材料、设备、苗木的保管，丢失损坏由发包方负责。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26.4． 发包方供应的材料、设备和苗木与一览表不符时，发包方承担有关责任。发包方应承担责任的具体内容，双方根据下列情况在专用条款内约定：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（1）材料、设备和苗木的单价与一览表不符，由发包方承担所有价差；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（2）材料、设备和苗木的品种、规格、型号、质量等级与一览表不符，承包方可拒绝接收保管，由发包方运出施工场地并重新采购；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（3）发包方供应的材料、设备和苗木的规格、型号与一览表不符，经发包方同意，承包方可代为调剂串换，由发包方承担相应费用；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（4）到货地点与一览表不符，由发包方负责运至一览表指定地点；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（5）供应数量少于一览表约定的数量时，由发包方补齐，多于一览表约定数量时，发包方负责将多出部分运出施工场地；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（6）到货时间早于一览表约定时间，由发包方承担因此发生的保管费用；到货时间迟于一览表约定的供应时间，发包方赔偿由此造成的承包方损失，造成工期延误的，相应顺延工期；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26.5． 发包方供应的材料、设备和苗木使用前，由承包方负责检验或试验，不合格的不得使用，检验或试验费用由发包方承担。</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26.6． 发包方供应材料、设备和苗木的结算方法，双方在专用条款内约定。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27. 承包方采购材料、设备和苗木</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27.1． 承包方负责采购材料、设备和苗木的，应按照专用条款约定及设计和有关标准要求采购，并提供产品合格证明，对材料、设备和苗木的质量负责。承包方在材料、设备和苗木到货前24小时通知发包方代表清点。</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27.2． 承包方采购的材料、设备和苗木与设计标准要求不符时，承包方应按发包方代表要求的时间运出施工场地，重新采购符合要求的产品，承担由此发生的费用，由此延误的工期不予顺延。</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27.3． 承包方采购的材料、设备和苗木在使用前，承包方应按发包方代表的要求进行检验或试验，不合格的不得使用，检验或试验费用由承包方承担。</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27.4． 发包方发现承包方采购并使用不符合设计和标准要求的材料、设备和苗木时，应要求承包方负责修复、拆除或重新采购，由承包方承担发生的费用，由此延误的工期不予顺延。</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27.5． 承包方需要使用代用材料时，应经发包方代表认可后才能使用，由此增减的合同价款双方以书面形式议定。</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八、工程变更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28. 工程设计变更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28.1． 施工中发包方需对原工程设计变更，应提前14天以书面形式向承包方发出变更通知。变更超过原设计标准或批准的建设规模时，发包方应报规划管理部门和其他有关部门重新审查批准，并由原设计单位提供变更的相应图纸和说明。承包方按照发包方代表发出的变更通知及有关要求，进行下列需要的变更：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（1）更改工程有关部分的标高、基线、位置和尺寸；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（2）增减合同中约定的工程量；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（3）改变有关工程的施工时间和顺序；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（4）其他有关工程变更需要的附加工作。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因变更导致合同价款的增减按实结算，所造成的承包方损失，由发包方承担，延误的工期相应顺延。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28.2． 施工中承包方不得对原工程设计进行变更。因承包方擅自变更设计发生的费用和由此导致发包方的直接损失，由承包方承担，延误的工期不予顺延。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28.3． 承包方在施工中提出的合理化建议涉及到对设计图纸或施工组织设计的更改及对材料、设备和苗木的换用，须经发包方同意。未经同意擅自更改或换用时，承包方承担由此发生的费用，并赔偿发包方的有关损失，延误的工期不予顺延。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发包方同意采用承包方合理化建议，所发生的费用和获得的收益，发包方、承包方另行约定分担或分享。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29. 其他变更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合同履行中发包方要求变更工程质量标准及发生其他实质性变更，由双方协商解决。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30. 确定变更价款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30.1． 承包方在工程变更确定后14天内，提出变更工程价款的报告，经发包方代表确认后调整合同价款。变更合同价款除适用于本通用条款第22.2款、22.3款之外，按下列方法进行：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（1）合同中已有适用于变更工程的价格，按合同已有的价格变更合同价款；</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（2）合同中只有类似于变更工程的价格，可以参照类似价格变更合同价款；</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（3）合同中没有适用或类似于变更工程的价格，由承包方提出适当的变更价格，经发包方代表确认后执行。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30.2． 承包方在双方确定变更后14天内不向发包方代表提出变更工程价款报告时，视为该项变更不涉及合同价款的变更。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30.3． 发包方应在收到变更工程价款报告之日起14天内予以确认或者邀请承包方协商；发包方在14天内不确认也不予协商，经承包方催告后在14天内，仍不予确认或协商的，视为承包方递交的变更工程价款报告已被确认。在本条规定的期限内，双方协商不能达成一致意见的，按通用条款第36条关于争议的约定处理。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30.4． 发包方代表确认增加的工程变更价款作为追加合同价款，与工程款同期支付。</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30.5． 因承包方自身原因导致的工程变更</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九、竣工验收与结算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31. 竣工验收</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31.1． 工程具备竣工验收条件，承包方按国家工程竣工验收有关规定，向发包方提供完整竣工资料及竣工验收报告。双方约定由承包方提供竣工图的，应当在专用条款内约定提供的日期和份数。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31.2． 发包方收到竣工验收报告后28天内组织有关单位验收，并在验收后14天内给予认可或提出修改意见。承包方按要求修改，并承担由自身原因造成修改的费用。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31.3． 发包方收到承包方送交的竣工验收报告后28天内不组织验收，或验收后14天内不提出修改意见，视为竣工验收报告已被认可。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31.4． 工程竣工验收通过，发包方代表应签发接收证书。承包方送交竣工验收报告的日期为实际竣工日期。工程按发包方要求修改后通过竣工验收的，实际竣工日期为承包方修改后提请发包方验收的日期。</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w:t>
      </w:r>
      <w:r>
        <w:rPr>
          <w:rStyle w:val="111"/>
          <w:rFonts w:hint="eastAsia" w:ascii="宋体" w:hAnsi="宋体" w:cs="宋体"/>
          <w:highlight w:val="none"/>
          <w:lang w:val="en-US" w:eastAsia="zh-CN"/>
        </w:rPr>
        <w:t xml:space="preserve">  </w:t>
      </w:r>
      <w:r>
        <w:rPr>
          <w:rStyle w:val="111"/>
          <w:rFonts w:hint="eastAsia" w:ascii="宋体" w:hAnsi="宋体" w:eastAsia="宋体" w:cs="宋体"/>
          <w:highlight w:val="none"/>
        </w:rPr>
        <w:t>31.</w:t>
      </w:r>
      <w:r>
        <w:rPr>
          <w:rStyle w:val="111"/>
          <w:rFonts w:hint="eastAsia" w:ascii="宋体" w:hAnsi="宋体" w:eastAsia="宋体" w:cs="宋体"/>
          <w:highlight w:val="none"/>
          <w:lang w:val="en-US" w:eastAsia="zh-CN"/>
        </w:rPr>
        <w:t>5</w:t>
      </w:r>
      <w:r>
        <w:rPr>
          <w:rStyle w:val="111"/>
          <w:rFonts w:hint="eastAsia" w:ascii="宋体" w:hAnsi="宋体" w:eastAsia="宋体" w:cs="宋体"/>
          <w:highlight w:val="none"/>
        </w:rPr>
        <w:t>． 前款确定的实际竣工日期为本工程保修期和苗木养护期的起始之日。　</w:t>
      </w:r>
    </w:p>
    <w:p>
      <w:pPr>
        <w:spacing w:line="360" w:lineRule="auto"/>
        <w:ind w:firstLine="829" w:firstLineChars="395"/>
        <w:jc w:val="left"/>
        <w:rPr>
          <w:rStyle w:val="111"/>
          <w:rFonts w:hint="eastAsia" w:ascii="宋体" w:hAnsi="宋体" w:eastAsia="宋体" w:cs="宋体"/>
          <w:highlight w:val="none"/>
        </w:rPr>
      </w:pPr>
      <w:r>
        <w:rPr>
          <w:rStyle w:val="111"/>
          <w:rFonts w:hint="eastAsia" w:ascii="宋体" w:hAnsi="宋体" w:eastAsia="宋体" w:cs="宋体"/>
          <w:highlight w:val="none"/>
        </w:rPr>
        <w:t>31.</w:t>
      </w:r>
      <w:r>
        <w:rPr>
          <w:rStyle w:val="111"/>
          <w:rFonts w:hint="eastAsia" w:ascii="宋体" w:hAnsi="宋体" w:cs="宋体"/>
          <w:highlight w:val="none"/>
          <w:lang w:val="en-US" w:eastAsia="zh-CN"/>
        </w:rPr>
        <w:t>6</w:t>
      </w:r>
      <w:r>
        <w:rPr>
          <w:rStyle w:val="111"/>
          <w:rFonts w:hint="eastAsia" w:ascii="宋体" w:hAnsi="宋体" w:eastAsia="宋体" w:cs="宋体"/>
          <w:highlight w:val="none"/>
        </w:rPr>
        <w:t>． 发包方收到承包方竣工验收报告后28天内不组织验收，从第29天起承担工程保管及一切意外责任。本工程的保修期及苗木的养护期亦从该日起计。</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31.</w:t>
      </w:r>
      <w:r>
        <w:rPr>
          <w:rStyle w:val="111"/>
          <w:rFonts w:hint="eastAsia" w:ascii="宋体" w:hAnsi="宋体" w:cs="宋体"/>
          <w:highlight w:val="none"/>
          <w:lang w:val="en-US" w:eastAsia="zh-CN"/>
        </w:rPr>
        <w:t>7</w:t>
      </w:r>
      <w:r>
        <w:rPr>
          <w:rStyle w:val="111"/>
          <w:rFonts w:hint="eastAsia" w:ascii="宋体" w:hAnsi="宋体" w:eastAsia="宋体" w:cs="宋体"/>
          <w:highlight w:val="none"/>
        </w:rPr>
        <w:t>． 中间交工工程的范围和竣工时间，双方在专用条款内约定，其验收程序按本通用条款31.1款至31.4款办理。</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31.</w:t>
      </w:r>
      <w:r>
        <w:rPr>
          <w:rStyle w:val="111"/>
          <w:rFonts w:hint="eastAsia" w:ascii="宋体" w:hAnsi="宋体" w:cs="宋体"/>
          <w:highlight w:val="none"/>
          <w:lang w:val="en-US" w:eastAsia="zh-CN"/>
        </w:rPr>
        <w:t>8</w:t>
      </w:r>
      <w:r>
        <w:rPr>
          <w:rStyle w:val="111"/>
          <w:rFonts w:hint="eastAsia" w:ascii="宋体" w:hAnsi="宋体" w:eastAsia="宋体" w:cs="宋体"/>
          <w:highlight w:val="none"/>
        </w:rPr>
        <w:t>． 因特殊原因，发包方要求部分单位工程或工程部位甩项竣工的，双方另行签订甩项竣工协议，明确双方责任和工程价款的支付方法。</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31.</w:t>
      </w:r>
      <w:r>
        <w:rPr>
          <w:rStyle w:val="111"/>
          <w:rFonts w:hint="eastAsia" w:ascii="宋体" w:hAnsi="宋体" w:cs="宋体"/>
          <w:highlight w:val="none"/>
          <w:lang w:val="en-US" w:eastAsia="zh-CN"/>
        </w:rPr>
        <w:t>9</w:t>
      </w:r>
      <w:r>
        <w:rPr>
          <w:rStyle w:val="111"/>
          <w:rFonts w:hint="eastAsia" w:ascii="宋体" w:hAnsi="宋体" w:eastAsia="宋体" w:cs="宋体"/>
          <w:highlight w:val="none"/>
        </w:rPr>
        <w:t xml:space="preserve">． 工程未经竣工验收或竣工验收未通过的，发包方不得使用。发包方强行使用时，由此发生的质量问题及其他问题，由发包方承担责任。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32. 竣工结算 </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32.1． 工程竣工验收报告经发包方认可后28天内，承包方向发包方递交竣工结算报告及完整的结算资料，双方按照协议书约定的合同价款及专用条款约定的合同价款调整内容，进行工程竣工结算。</w:t>
      </w:r>
    </w:p>
    <w:p>
      <w:pPr>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32.2． 发包方收到承包方提交的竣工结算报告及结算资料后，可以直接进行审查，也可以委托具有相应资质的工程造价咨询机构进行审查。除双方在专用条款中另行约定外，审查时限如下：</w:t>
      </w:r>
    </w:p>
    <w:tbl>
      <w:tblPr>
        <w:tblStyle w:val="54"/>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2721"/>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left"/>
              <w:rPr>
                <w:rStyle w:val="111"/>
                <w:rFonts w:hint="eastAsia" w:ascii="宋体" w:hAnsi="宋体" w:eastAsia="宋体" w:cs="宋体"/>
                <w:highlight w:val="none"/>
              </w:rPr>
            </w:pPr>
          </w:p>
        </w:tc>
        <w:tc>
          <w:tcPr>
            <w:tcW w:w="2721"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工程竣工结算报告金额</w:t>
            </w:r>
          </w:p>
        </w:tc>
        <w:tc>
          <w:tcPr>
            <w:tcW w:w="567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ind w:firstLine="449" w:firstLineChars="214"/>
              <w:jc w:val="left"/>
              <w:rPr>
                <w:rStyle w:val="111"/>
                <w:rFonts w:hint="eastAsia" w:ascii="宋体" w:hAnsi="宋体" w:eastAsia="宋体" w:cs="宋体"/>
                <w:highlight w:val="none"/>
              </w:rPr>
            </w:pPr>
            <w:r>
              <w:rPr>
                <w:rStyle w:val="111"/>
                <w:rFonts w:hint="eastAsia" w:ascii="宋体" w:hAnsi="宋体" w:eastAsia="宋体" w:cs="宋体"/>
                <w:highlight w:val="none"/>
              </w:rPr>
              <w:t>审查时间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1</w:t>
            </w:r>
          </w:p>
        </w:tc>
        <w:tc>
          <w:tcPr>
            <w:tcW w:w="2721"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ind w:firstLine="201" w:firstLineChars="96"/>
              <w:jc w:val="left"/>
              <w:rPr>
                <w:rStyle w:val="111"/>
                <w:rFonts w:hint="eastAsia" w:ascii="宋体" w:hAnsi="宋体" w:eastAsia="宋体" w:cs="宋体"/>
                <w:highlight w:val="none"/>
              </w:rPr>
            </w:pPr>
            <w:r>
              <w:rPr>
                <w:rStyle w:val="111"/>
                <w:rFonts w:hint="eastAsia" w:ascii="宋体" w:hAnsi="宋体" w:eastAsia="宋体" w:cs="宋体"/>
                <w:highlight w:val="none"/>
              </w:rPr>
              <w:t>500万元以下</w:t>
            </w:r>
          </w:p>
        </w:tc>
        <w:tc>
          <w:tcPr>
            <w:tcW w:w="567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从接到竣工结算报告和完整的竣工审结资料之日起20天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2</w:t>
            </w:r>
          </w:p>
        </w:tc>
        <w:tc>
          <w:tcPr>
            <w:tcW w:w="2721"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ind w:firstLine="201" w:firstLineChars="96"/>
              <w:jc w:val="left"/>
              <w:rPr>
                <w:rStyle w:val="111"/>
                <w:rFonts w:hint="eastAsia" w:ascii="宋体" w:hAnsi="宋体" w:eastAsia="宋体" w:cs="宋体"/>
                <w:highlight w:val="none"/>
              </w:rPr>
            </w:pPr>
            <w:r>
              <w:rPr>
                <w:rStyle w:val="111"/>
                <w:rFonts w:hint="eastAsia" w:ascii="宋体" w:hAnsi="宋体" w:eastAsia="宋体" w:cs="宋体"/>
                <w:highlight w:val="none"/>
              </w:rPr>
              <w:t>500万元至2000万元</w:t>
            </w:r>
          </w:p>
        </w:tc>
        <w:tc>
          <w:tcPr>
            <w:tcW w:w="567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从接到竣工结算报告和完整的竣工审结资料之日起30天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3</w:t>
            </w:r>
          </w:p>
        </w:tc>
        <w:tc>
          <w:tcPr>
            <w:tcW w:w="2721"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ind w:firstLine="201" w:firstLineChars="96"/>
              <w:jc w:val="left"/>
              <w:rPr>
                <w:rStyle w:val="111"/>
                <w:rFonts w:hint="eastAsia" w:ascii="宋体" w:hAnsi="宋体" w:eastAsia="宋体" w:cs="宋体"/>
                <w:highlight w:val="none"/>
              </w:rPr>
            </w:pPr>
            <w:r>
              <w:rPr>
                <w:rStyle w:val="111"/>
                <w:rFonts w:hint="eastAsia" w:ascii="宋体" w:hAnsi="宋体" w:eastAsia="宋体" w:cs="宋体"/>
                <w:highlight w:val="none"/>
              </w:rPr>
              <w:t>2000万元至5000万元</w:t>
            </w:r>
          </w:p>
        </w:tc>
        <w:tc>
          <w:tcPr>
            <w:tcW w:w="567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从接到竣工结算报告和完整的竣工审结资料之日起45天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4</w:t>
            </w:r>
          </w:p>
        </w:tc>
        <w:tc>
          <w:tcPr>
            <w:tcW w:w="2721" w:type="dxa"/>
            <w:tcBorders>
              <w:top w:val="single" w:color="auto" w:sz="4" w:space="0"/>
              <w:left w:val="single" w:color="auto" w:sz="4" w:space="0"/>
              <w:bottom w:val="single" w:color="auto" w:sz="4" w:space="0"/>
              <w:right w:val="single" w:color="auto" w:sz="4" w:space="0"/>
            </w:tcBorders>
            <w:shd w:val="clear" w:color="auto" w:fill="auto"/>
          </w:tcPr>
          <w:p>
            <w:pPr>
              <w:widowControl/>
              <w:tabs>
                <w:tab w:val="right" w:pos="2505"/>
              </w:tabs>
              <w:spacing w:line="360" w:lineRule="auto"/>
              <w:ind w:firstLine="201" w:firstLineChars="96"/>
              <w:jc w:val="left"/>
              <w:rPr>
                <w:rStyle w:val="111"/>
                <w:rFonts w:hint="eastAsia" w:ascii="宋体" w:hAnsi="宋体" w:eastAsia="宋体" w:cs="宋体"/>
                <w:highlight w:val="none"/>
              </w:rPr>
            </w:pPr>
            <w:r>
              <w:rPr>
                <w:rStyle w:val="111"/>
                <w:rFonts w:hint="eastAsia" w:ascii="宋体" w:hAnsi="宋体" w:eastAsia="宋体" w:cs="宋体"/>
                <w:highlight w:val="none"/>
              </w:rPr>
              <w:t>5000万元以上</w:t>
            </w:r>
            <w:r>
              <w:rPr>
                <w:rStyle w:val="111"/>
                <w:rFonts w:hint="eastAsia" w:ascii="宋体" w:hAnsi="宋体" w:eastAsia="宋体" w:cs="宋体"/>
                <w:highlight w:val="none"/>
              </w:rPr>
              <w:tab/>
            </w:r>
          </w:p>
        </w:tc>
        <w:tc>
          <w:tcPr>
            <w:tcW w:w="5670" w:type="dxa"/>
            <w:tcBorders>
              <w:top w:val="single" w:color="auto" w:sz="4" w:space="0"/>
              <w:left w:val="single" w:color="auto" w:sz="4" w:space="0"/>
              <w:bottom w:val="single" w:color="auto" w:sz="4" w:space="0"/>
              <w:right w:val="single" w:color="auto" w:sz="4" w:space="0"/>
            </w:tcBorders>
            <w:shd w:val="clear" w:color="auto" w:fill="auto"/>
          </w:tcPr>
          <w:p>
            <w:pPr>
              <w:widowControl/>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从接到竣工结算报告和完整的竣工审结资料之日起60天</w:t>
            </w:r>
          </w:p>
        </w:tc>
      </w:tr>
    </w:tbl>
    <w:p>
      <w:pPr>
        <w:spacing w:line="360" w:lineRule="auto"/>
        <w:ind w:firstLine="412"/>
        <w:jc w:val="left"/>
        <w:rPr>
          <w:rStyle w:val="111"/>
          <w:rFonts w:hint="eastAsia" w:ascii="宋体" w:hAnsi="宋体" w:eastAsia="宋体" w:cs="宋体"/>
          <w:highlight w:val="none"/>
        </w:rPr>
      </w:pPr>
    </w:p>
    <w:p>
      <w:pPr>
        <w:spacing w:line="360" w:lineRule="auto"/>
        <w:ind w:firstLine="412"/>
        <w:jc w:val="left"/>
        <w:rPr>
          <w:rStyle w:val="111"/>
          <w:rFonts w:hint="eastAsia" w:ascii="宋体" w:hAnsi="宋体" w:eastAsia="宋体" w:cs="宋体"/>
          <w:highlight w:val="none"/>
        </w:rPr>
      </w:pP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承包方如未在本合同约定时间内提供完整的工程竣工结算资料，经发包方催告后14天内仍未提供或没有明确答复，发包方有权根据已有资料进行审查，责任由承包方自负。</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32.3． 竣工结算报告确认后28天内，发包方无正当理由不支付工程竣工结算价款，从第29天起按承包方同期银行贷款利率支付拖欠工程价款的利息，并承担违约责任。</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32.4． 工程竣工验收报告经发包方认可后28天内，承包方未能向发包方递交竣工结算报告及完整的结算资料，造成工程竣工结算不能正常进行或工程竣工结算价款不能及时支付，发包方要求交付工程的，承包方应当交付；发包方不要求交付工程的，承包方承担保管责任。</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32.5． 发包方、承包方对工程竣工结算价款发生争议时，按本通用条款第36条关于争议的约定处理。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33. 质量保修和养护</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33.1． 质量保修</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（1）承包方承担的园林小品建筑、机电设备安装工程及除苗木种植之外的其他工程，应按法律、行政法规和《建设工程质量管理条例》及有关规定，对交付发包方使用的工程在质量保修期内承担质量保修责任。</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2）质量保修工作的实施：承包方应在工程竣工验收之前，与发包方签订质量保修书，作为本合同附件。质量保修书的主要内容包括：质量保修项目内容及范围，质量保修年限，质量保修的责任，质量保修金的支付办法。</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（3）属于保修范围内容的项目，承包方应当在接到保修通知之日起3日内派人保修。发生紧急抢修事故的，承包方在接到事故通知后，除双方在专用条款内另有约定外，应在4小时内到达事故现场抢修。</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（4）保修费用由造成质量缺陷的责任方承担。</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33.2． 苗木养护</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1）苗木养护的期限：根据《上海市园林工程预算定额（2016）》规定的养护期限执行。若发包方提出超过规定期限的养护要求，由双方在专用条款中约定养护时间、养护措施和养护费用。发包方不支付延时养护期间的养护费用，承包方有权拒绝延时养护。</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（2）绿化种植工程在养护期内应达到《园林绿化养护技术等级标准》（DG/TJ08-702-2011）的基本标准。</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（3）养护期内发现苗木等植物材料死亡，应在种植季节按原设计品种、规格更换。</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（4）养护期内，绿化苗木种植工地现场发生的养护工作所需的水电费用除双方另有约定外，由发包方承担。</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十、违约、索赔和争议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34. 违约</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34.1． 发包方违约。当发生下列情况时：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（1）本通用条款第23条提到的发包方不按时支付工程预付款；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（2）本通用条款第25.4款提到的发包方不按合同约定支付工程款，导致施工无法进行；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（3）本通用条款第32.3款提到的发包方无正当理由不支付工程竣工结算价款；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（4）发包方不履行合同义务或不按合同约定履行义务的其他情况。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发包方承担违约责任，赔偿因其违约给承包方造成的经济损失，顺延延误的工期。双方在专用条款内约定发包方赔偿承包方损失的计算方法或者发包方应当支付违约金的数额或计算方法。</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34.2． 承包方违约。当发生下列情况时：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（1） 本通用条款第13.2款提到的因承包方原因不能按照协议书约定的竣工日期或发包方同意顺延的工期竣工；</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（2） 本通用条款第14.1款提到的因承包方原因工程质量达不到协议书约定的质量标准；</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 承包方不履行合同义务或不按合同约定履行义务的其他情况。</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承包方承担违约责任，赔偿因其违约给发包方造成的损失。双方在专用条款内约定承包方赔偿发包方损失的计算方法或者承包方应当支付违约金的数额和计算方法。</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34.3 一方违约后，另一方要求违约方继续履行合同时，违约方承担上述违约责任后仍应继续履行合同。</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35. 索赔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35.1． 本合同履行中，合同双方的一方对并非己方过失，而是应由对方承担责任的情况造成的实际损失，可向对方提出经济补偿和（或）工期顺延的要求。提出索赔时，要有正当索赔理由，且有索赔事件发生时的有效证据。</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35.2． 发包方未能按合同约定履行自己的各项义务或发生错误以及应由发包方承担责任的其他情况，造成工期延误和（或）承包方不能及时得到合同价款及承包方的其他经济损失，承包方可按下列程序以书面形式向发包方索赔：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（1） 索赔事件发生后28天内，向发包方发出索赔意向通知；</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（2） 发出索赔意向通知后28天内，向发包方提出延长工期和（或）补偿经济损失的索赔报告及有关资料；</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 发包方在收到承包方送交的索赔报告和有关资料后，于28天内给予答复，或要求承包方进一步补充索赔理由和证据；</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 发包方在收到承包方送交的索赔报告和有关资料后28天内未予答复或未对承包方作进一步要求，视为该项索赔已经认可；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（5） 当该索赔事件持续进行时，承包方应当阶段性向发包方发出索赔意向，在索赔事件终了后28天内，向发包方送交索赔的有关资料和最终索赔报告。索赔答复程序与（3）、（4）规定相同。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35.3． 承包方未能按合同约定履行自己的各项义务或发生错误，给发包方造成经济损失，发包方可按35.2款确定的时限向承包方提出索赔。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36. 争议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36.1． 发包方、承包方在履行合同时发生争议，可以和解或者邀请第三方调解。当事人不愿和解、调解或者和解、调解不成的，可选择向双方在专用条款内约定的方式解决。</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36.2． 发生争议后，除非出现下列情况的，双方都应继续履行合同，保持施工连续，保护好已完工程：</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（1） 单方违约导致合同确已无法履行，双方协议停止施工；</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（2） 调解要求停止施工，且为双方接受；</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 仲裁机构要求停止施工；</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（4） 法院要求停止施工。</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十一、其他</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37. 工程分包</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37.1． 承包方按专用条款的约定分包所承包的部分工程，并与分包单位签订分包合同。非经发包方同意，承包方不得将承包工程的任何部分分包。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37.2． 承包方不得将其承包的全部工程转包给他人，也不得将其承包的全部工程肢解以后以分包的名义分别转包给他人。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37.3． 工程分包不能解除承包方任何责任与义务。承包方应在分包场地派驻相应管理人员，保证本合同的履行。分包单位的任何违约行为或疏忽导致工程损害或给发包方造成其他损失，承包方承担连带责任。</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37.4． 分包工程价款由承包方与分包单位结算。发包方未经承包方同意不得以任何形式向分包单位支付各种工程款项。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38. 不可抗力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38.1． 不可抗力事件发生后，承包方应立即通知发包方，在力所能及的条件下迅速采取措施，尽力减少损失，发包方应协助承包方采取措施。发包方代表认为应当暂停施工的，承包方应暂停施工。不可抗力事件结束后，承包方应及时向发包方通报受害情况和损失情况，及预计清理和修复的费用。不可抗力事件持续发生，承包方应每隔7天向发包方报告一次受害情况。不可抗力事件结束后28天内，承包方向发包方提交清理和修复费用的正式报告及有关资料。</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38.2． 因不可抗力事件导致的费用及延误的工期由双方按以下方法分别承担：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 工程本身的损害、因工程损害导致第三方人员伤亡和财产损失以及运至施工场地用于施工的材料和待安装的设备的损害，由发包方承担；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 发包方、承包方人员伤亡由其所在单位负责，并承担相应费用；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 承包方机械设备损坏及停工损失，由承包方承担；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 停工期间，承包方应发包方要求留在施工场地的必要的管理人员及保卫人员的费用由发包方承担；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（5） 工程所需清理、修复费用，由发包方承担；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（6） 延误的工期相应顺延。</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38.3． 因合同一方迟延履行合同后发生不可抗力的，不能免除迟延履行方的相应责任。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39. 保险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39.1． 工程开工前，发包方为建设工程和施工场内的自有人员及第三方人员生命财产办理保险，支付保险费用。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39.2． 运至施工场地内用于工程的材料和待安装设备，由发包方办理保险，并支付保险费用。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39.3． 发包方可以将有关保险事项委托承包方办理，费用由发包方承担。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39.4． 承包方必须为从事危险作业的职工办理意外伤害保险，并为施工场地内自有人员生命财产和施工机械设备办理保险，支付保险费用。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39.5． 保险事故发生时，发包方、承包方有责任尽力采取必要的措施，防止或者减少损失。</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39.6． 具体投保内容和相关责任，发包方、承包方在专用条款中约定。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40. 担保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40.1． 发包方、承包方为了全面履行合同，应互相提供以下担保：</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（1） 发包方向承包方提供履约担保，按合同约定履行自己的各项义务。</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（2） 承包方向发包方提供履约担保，按合同约定履行自己的各项义务。</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40.2． 合同双方的一方违约后，另一方向对方索赔，而对方无法部分或全部履行赔偿责任的，可要求为对方提供担保的第三人承担相应责任。</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40.3． 提供担保的内容、方式和相关责任，发包方、承包方除在专用条款中约定外，被担保方与担保方还应签订担保合同，作为本合同附件。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41. 专利技术及特殊工艺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41.1． 发包方要求使用专利技术或特殊工艺，应负责办理相应的申报手续，承担申报、试验、使用等费用；承包方提出使用专利技术或特殊工艺，应取得发包方认可，承包方负责办理申报手续并承担有关费用。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41.2． 擅自使用专利技术侵犯他人专利权的，责任者依法承担相应责任。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42. 文物和地下障碍物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42.1． 在施工中发现古墓、古建筑遗址等文物及化石或其他有考古、地质研究等价值的物品时，承包方应立即保护好现场并于4小时内以书面形式通知发包方，发包方应于收到书面通知后24小时内报告当地文物管理部门，发包方、承包方应按文物管理部门的要求采取妥善保护措施。发包方承担由此发生的费用，顺延延误的工期。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上述情况出现后隐瞒不报，责任方依法承担相应责任。</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42.2． 施工中发现影响施工的地下障碍物时，承包方应于8小时内以书面形式通知发包方，同时提出处置方案，发包方收到处置方案后24小时内予以认可或提出修正方案。发包方承担由此发生的费用，顺延延误的工期。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所发现的地下障碍物有归属单位时，发包方应报请有关部门协同处置。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43. 合同解除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43.1． 发包方、承包方协商一致，可以解除本合同。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43.2． 发生本通用条款第25.4款情况，停止施工超过28天或超过双方在专用条款中另行约定的时限，发包方仍不支付工程款（进度款），承包方有权解除合同。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43.3． 发生本通用条款第37.2款禁止的情况，承包方将其承包的全部工程转包给他人或者肢解以后以分包的名义分别转包给他人，发包方有权解除合同。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43.4． 有下列情形之一的，发包方、承包方可以解除合同：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 因不可抗力致使合同无法履行；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（2） 因一方违约（包括因发包方原因造成工程停建或缓建）致使合同无法履行。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43.5． 一方依据43.2、43.3、43.4款约定要求解除合同的，应以书面形式向对方发出解除合同的通知，并在发出通知前7天告知对方，通知到达对方时合同解除。对解除合同有争议的，按本通用条款第36条关于争议的约定处理。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43.6． 合同解除后，承包方应妥善做好已完工程和已购材料、设备和苗木的保护和移交工作，按发包方要求将自有机械设备和人员撤出施工场地。发包方应为承包方撤出提供必要条件，支付以上所发生的费用，并按合同约定支付已完工程价款。已经订货的材料、设备和苗木由订货方负责退货或解除订货合同，不能退还的货款和因退货、解除订货合同发生的费用，由发包方承担，因未及时退货造成的损失由责任方承担。除此之外，有过错的一方应当赔偿因合同解除给对方造成的损失。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43.7 合同解除后，不影响双方在合同中约定的结算和清理条款的效力。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44. 合同生效与终止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44.1 双方在协议书中约定合同生效方式。</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44.2 除本通用条款第33条外，发包方承包方履行合同全部义务后，本合同即告终止。</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44.3 合同的权利义务终止后，发包方、承包方应当遵循诚实信用原则，履行通知、协助、保密等义务。</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45. 合同份数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45.1． 本合同正本两份，具有同等效力，由发包方、承包方分别保存一份。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45.2． 本合同副本份数，由双方根据需要在专用条款内约定。</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46. 补充条款 </w:t>
      </w:r>
    </w:p>
    <w:p>
      <w:pPr>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双方根据有关法律、行政法规规定，结合工程实际，经协商一致后，可对本通用条款内容具体化、补充或修改。对通用条款内容所作的具体化、补充或修改，由双方在专用条款内约定。</w:t>
      </w:r>
    </w:p>
    <w:p>
      <w:pPr>
        <w:spacing w:line="360" w:lineRule="auto"/>
        <w:ind w:firstLine="412"/>
        <w:jc w:val="left"/>
        <w:rPr>
          <w:rStyle w:val="111"/>
          <w:rFonts w:hint="eastAsia" w:ascii="宋体" w:hAnsi="宋体" w:eastAsia="宋体" w:cs="宋体"/>
          <w:highlight w:val="none"/>
        </w:rPr>
      </w:pPr>
    </w:p>
    <w:p>
      <w:pPr>
        <w:spacing w:line="360" w:lineRule="auto"/>
        <w:ind w:firstLine="412"/>
        <w:jc w:val="left"/>
        <w:rPr>
          <w:rStyle w:val="111"/>
          <w:rFonts w:hint="eastAsia" w:ascii="宋体" w:hAnsi="宋体" w:eastAsia="宋体" w:cs="宋体"/>
          <w:highlight w:val="none"/>
        </w:rPr>
        <w:sectPr>
          <w:pgSz w:w="11906" w:h="16838"/>
          <w:pgMar w:top="1440" w:right="1644" w:bottom="1440" w:left="1797" w:header="851" w:footer="992" w:gutter="0"/>
          <w:pgNumType w:fmt="decimal"/>
          <w:cols w:space="720" w:num="1"/>
          <w:docGrid w:linePitch="312" w:charSpace="0"/>
        </w:sectPr>
      </w:pPr>
    </w:p>
    <w:p>
      <w:pPr>
        <w:spacing w:line="360" w:lineRule="auto"/>
        <w:ind w:firstLine="412"/>
        <w:jc w:val="left"/>
        <w:rPr>
          <w:rStyle w:val="111"/>
          <w:rFonts w:hint="eastAsia" w:ascii="宋体" w:hAnsi="宋体" w:eastAsia="宋体" w:cs="宋体"/>
          <w:highlight w:val="none"/>
        </w:rPr>
      </w:pPr>
    </w:p>
    <w:p>
      <w:pPr>
        <w:widowControl/>
        <w:spacing w:line="360" w:lineRule="auto"/>
        <w:jc w:val="center"/>
        <w:rPr>
          <w:rStyle w:val="111"/>
          <w:rFonts w:hint="eastAsia" w:ascii="宋体" w:hAnsi="宋体" w:eastAsia="宋体" w:cs="宋体"/>
          <w:b/>
          <w:highlight w:val="none"/>
        </w:rPr>
      </w:pPr>
      <w:r>
        <w:rPr>
          <w:rStyle w:val="111"/>
          <w:rFonts w:hint="eastAsia" w:ascii="宋体" w:hAnsi="宋体" w:eastAsia="宋体" w:cs="宋体"/>
          <w:b/>
          <w:highlight w:val="none"/>
        </w:rPr>
        <w:t>第三部分    专用条款</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一、合同文件 </w:t>
      </w:r>
    </w:p>
    <w:p>
      <w:pPr>
        <w:widowControl/>
        <w:tabs>
          <w:tab w:val="left" w:pos="7300"/>
        </w:tabs>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1．合同文件及解释顺序 </w:t>
      </w:r>
      <w:r>
        <w:rPr>
          <w:rStyle w:val="111"/>
          <w:rFonts w:hint="eastAsia" w:ascii="宋体" w:hAnsi="宋体" w:eastAsia="宋体" w:cs="宋体"/>
          <w:highlight w:val="none"/>
        </w:rPr>
        <w:tab/>
      </w:r>
    </w:p>
    <w:p>
      <w:pPr>
        <w:widowControl/>
        <w:spacing w:line="360" w:lineRule="auto"/>
        <w:ind w:left="315" w:leftChars="150" w:firstLine="105" w:firstLineChars="50"/>
        <w:rPr>
          <w:rStyle w:val="111"/>
          <w:rFonts w:hint="eastAsia" w:ascii="宋体" w:hAnsi="宋体" w:eastAsia="宋体" w:cs="宋体"/>
          <w:highlight w:val="none"/>
        </w:rPr>
      </w:pPr>
      <w:r>
        <w:rPr>
          <w:rStyle w:val="111"/>
          <w:rFonts w:hint="eastAsia" w:ascii="宋体" w:hAnsi="宋体" w:eastAsia="宋体" w:cs="宋体"/>
          <w:highlight w:val="none"/>
        </w:rPr>
        <w:t>合同文件组成及解释顺序：</w:t>
      </w:r>
    </w:p>
    <w:p>
      <w:pPr>
        <w:widowControl/>
        <w:spacing w:line="360" w:lineRule="auto"/>
        <w:ind w:left="315" w:leftChars="150" w:firstLine="105" w:firstLineChars="50"/>
        <w:rPr>
          <w:rFonts w:hint="eastAsia" w:ascii="宋体" w:hAnsi="宋体" w:eastAsia="宋体" w:cs="宋体"/>
          <w:kern w:val="0"/>
          <w:szCs w:val="21"/>
          <w:highlight w:val="none"/>
        </w:rPr>
      </w:pPr>
      <w:r>
        <w:rPr>
          <w:rFonts w:hint="eastAsia" w:ascii="宋体" w:hAnsi="宋体" w:eastAsia="宋体" w:cs="宋体"/>
          <w:kern w:val="0"/>
          <w:szCs w:val="21"/>
          <w:highlight w:val="none"/>
        </w:rPr>
        <w:t>（1）本合同签订后双方签署的补充协议等文件；</w:t>
      </w:r>
    </w:p>
    <w:p>
      <w:pPr>
        <w:widowControl/>
        <w:spacing w:line="360" w:lineRule="auto"/>
        <w:ind w:left="315" w:leftChars="150" w:firstLine="105" w:firstLineChars="50"/>
        <w:rPr>
          <w:rFonts w:hint="eastAsia" w:ascii="宋体" w:hAnsi="宋体" w:eastAsia="宋体" w:cs="宋体"/>
          <w:kern w:val="0"/>
          <w:szCs w:val="21"/>
          <w:highlight w:val="none"/>
        </w:rPr>
      </w:pPr>
      <w:r>
        <w:rPr>
          <w:rFonts w:hint="eastAsia" w:ascii="宋体" w:hAnsi="宋体" w:eastAsia="宋体" w:cs="宋体"/>
          <w:kern w:val="0"/>
          <w:szCs w:val="21"/>
          <w:highlight w:val="none"/>
        </w:rPr>
        <w:t>（2）本合同协议书；</w:t>
      </w:r>
    </w:p>
    <w:p>
      <w:pPr>
        <w:widowControl/>
        <w:spacing w:line="360" w:lineRule="auto"/>
        <w:ind w:left="315" w:leftChars="150" w:firstLine="105" w:firstLineChars="50"/>
        <w:rPr>
          <w:rFonts w:hint="eastAsia" w:ascii="宋体" w:hAnsi="宋体" w:eastAsia="宋体" w:cs="宋体"/>
          <w:kern w:val="0"/>
          <w:szCs w:val="21"/>
          <w:highlight w:val="none"/>
        </w:rPr>
      </w:pPr>
      <w:r>
        <w:rPr>
          <w:rFonts w:hint="eastAsia" w:ascii="宋体" w:hAnsi="宋体" w:eastAsia="宋体" w:cs="宋体"/>
          <w:kern w:val="0"/>
          <w:szCs w:val="21"/>
          <w:highlight w:val="none"/>
        </w:rPr>
        <w:t>（3）本合同专用条款及附件；</w:t>
      </w:r>
    </w:p>
    <w:p>
      <w:pPr>
        <w:widowControl/>
        <w:spacing w:line="360" w:lineRule="auto"/>
        <w:ind w:left="315" w:leftChars="150" w:firstLine="105" w:firstLineChars="50"/>
        <w:rPr>
          <w:rFonts w:hint="eastAsia" w:ascii="宋体" w:hAnsi="宋体" w:eastAsia="宋体" w:cs="宋体"/>
          <w:kern w:val="0"/>
          <w:szCs w:val="21"/>
          <w:highlight w:val="none"/>
        </w:rPr>
      </w:pPr>
      <w:r>
        <w:rPr>
          <w:rFonts w:hint="eastAsia" w:ascii="宋体" w:hAnsi="宋体" w:eastAsia="宋体" w:cs="宋体"/>
          <w:kern w:val="0"/>
          <w:szCs w:val="21"/>
          <w:highlight w:val="none"/>
        </w:rPr>
        <w:t>（4）中标通知书、询标回复与有关承诺；</w:t>
      </w:r>
    </w:p>
    <w:p>
      <w:pPr>
        <w:widowControl/>
        <w:spacing w:line="360" w:lineRule="auto"/>
        <w:ind w:left="315" w:leftChars="150" w:firstLine="105" w:firstLineChars="50"/>
        <w:rPr>
          <w:rFonts w:hint="eastAsia" w:ascii="宋体" w:hAnsi="宋体" w:eastAsia="宋体" w:cs="宋体"/>
          <w:kern w:val="0"/>
          <w:szCs w:val="21"/>
          <w:highlight w:val="none"/>
        </w:rPr>
      </w:pPr>
      <w:r>
        <w:rPr>
          <w:rFonts w:hint="eastAsia" w:ascii="宋体" w:hAnsi="宋体" w:eastAsia="宋体" w:cs="宋体"/>
          <w:kern w:val="0"/>
          <w:szCs w:val="21"/>
          <w:highlight w:val="none"/>
        </w:rPr>
        <w:t>（5）投标函及其附件；</w:t>
      </w:r>
    </w:p>
    <w:p>
      <w:pPr>
        <w:widowControl/>
        <w:spacing w:line="360" w:lineRule="auto"/>
        <w:ind w:left="315" w:leftChars="150" w:firstLine="105" w:firstLineChars="50"/>
        <w:rPr>
          <w:rFonts w:hint="eastAsia" w:ascii="宋体" w:hAnsi="宋体" w:eastAsia="宋体" w:cs="宋体"/>
          <w:kern w:val="0"/>
          <w:szCs w:val="21"/>
          <w:highlight w:val="none"/>
        </w:rPr>
      </w:pPr>
      <w:r>
        <w:rPr>
          <w:rFonts w:hint="eastAsia" w:ascii="宋体" w:hAnsi="宋体" w:eastAsia="宋体" w:cs="宋体"/>
          <w:kern w:val="0"/>
          <w:szCs w:val="21"/>
          <w:highlight w:val="none"/>
        </w:rPr>
        <w:t>（6）招标文件（包括“投标人须知”、“工程量清单说明”等）；</w:t>
      </w:r>
    </w:p>
    <w:p>
      <w:pPr>
        <w:widowControl/>
        <w:spacing w:line="360" w:lineRule="auto"/>
        <w:ind w:left="315" w:leftChars="150" w:firstLine="105" w:firstLineChars="50"/>
        <w:rPr>
          <w:rFonts w:hint="eastAsia" w:ascii="宋体" w:hAnsi="宋体" w:eastAsia="宋体" w:cs="宋体"/>
          <w:kern w:val="0"/>
          <w:szCs w:val="21"/>
          <w:highlight w:val="none"/>
        </w:rPr>
      </w:pPr>
      <w:r>
        <w:rPr>
          <w:rFonts w:hint="eastAsia" w:ascii="宋体" w:hAnsi="宋体" w:eastAsia="宋体" w:cs="宋体"/>
          <w:kern w:val="0"/>
          <w:szCs w:val="21"/>
          <w:highlight w:val="none"/>
        </w:rPr>
        <w:t>（7）投标文件；</w:t>
      </w:r>
    </w:p>
    <w:p>
      <w:pPr>
        <w:widowControl/>
        <w:spacing w:line="360" w:lineRule="auto"/>
        <w:ind w:left="315" w:leftChars="150" w:firstLine="105" w:firstLineChars="50"/>
        <w:rPr>
          <w:rFonts w:hint="eastAsia" w:ascii="宋体" w:hAnsi="宋体" w:eastAsia="宋体" w:cs="宋体"/>
          <w:kern w:val="0"/>
          <w:szCs w:val="21"/>
          <w:highlight w:val="none"/>
        </w:rPr>
      </w:pPr>
      <w:r>
        <w:rPr>
          <w:rFonts w:hint="eastAsia" w:ascii="宋体" w:hAnsi="宋体" w:eastAsia="宋体" w:cs="宋体"/>
          <w:kern w:val="0"/>
          <w:szCs w:val="21"/>
          <w:highlight w:val="none"/>
        </w:rPr>
        <w:t>（8）本合同通用条款；</w:t>
      </w:r>
    </w:p>
    <w:p>
      <w:pPr>
        <w:widowControl/>
        <w:spacing w:line="360" w:lineRule="auto"/>
        <w:ind w:left="315" w:leftChars="150" w:firstLine="105" w:firstLineChars="50"/>
        <w:rPr>
          <w:rFonts w:hint="eastAsia" w:ascii="宋体" w:hAnsi="宋体" w:eastAsia="宋体" w:cs="宋体"/>
          <w:kern w:val="0"/>
          <w:szCs w:val="21"/>
          <w:highlight w:val="none"/>
        </w:rPr>
      </w:pPr>
      <w:r>
        <w:rPr>
          <w:rFonts w:hint="eastAsia" w:ascii="宋体" w:hAnsi="宋体" w:eastAsia="宋体" w:cs="宋体"/>
          <w:kern w:val="0"/>
          <w:szCs w:val="21"/>
          <w:highlight w:val="none"/>
        </w:rPr>
        <w:t>（9）国家及上海市现行相关工程标准、规范及有关技术文件；</w:t>
      </w:r>
    </w:p>
    <w:p>
      <w:pPr>
        <w:widowControl/>
        <w:spacing w:line="360" w:lineRule="auto"/>
        <w:ind w:left="315" w:leftChars="150" w:firstLine="105" w:firstLineChars="50"/>
        <w:rPr>
          <w:rFonts w:hint="eastAsia" w:ascii="宋体" w:hAnsi="宋体" w:eastAsia="宋体" w:cs="宋体"/>
          <w:kern w:val="0"/>
          <w:szCs w:val="21"/>
          <w:highlight w:val="none"/>
        </w:rPr>
      </w:pPr>
      <w:r>
        <w:rPr>
          <w:rFonts w:hint="eastAsia" w:ascii="宋体" w:hAnsi="宋体" w:eastAsia="宋体" w:cs="宋体"/>
          <w:kern w:val="0"/>
          <w:szCs w:val="21"/>
          <w:highlight w:val="none"/>
        </w:rPr>
        <w:t>（10）图纸及有关技术文件；</w:t>
      </w:r>
    </w:p>
    <w:p>
      <w:pPr>
        <w:widowControl/>
        <w:spacing w:line="360" w:lineRule="auto"/>
        <w:ind w:left="315" w:leftChars="150" w:firstLine="105" w:firstLineChars="50"/>
        <w:rPr>
          <w:rFonts w:hint="eastAsia" w:ascii="宋体" w:hAnsi="宋体" w:eastAsia="宋体" w:cs="宋体"/>
          <w:kern w:val="0"/>
          <w:szCs w:val="21"/>
          <w:highlight w:val="none"/>
        </w:rPr>
      </w:pPr>
      <w:r>
        <w:rPr>
          <w:rFonts w:hint="eastAsia" w:ascii="宋体" w:hAnsi="宋体" w:eastAsia="宋体" w:cs="宋体"/>
          <w:kern w:val="0"/>
          <w:szCs w:val="21"/>
          <w:highlight w:val="none"/>
        </w:rPr>
        <w:t>（11）已标价工程量清单；</w:t>
      </w:r>
    </w:p>
    <w:p>
      <w:pPr>
        <w:widowControl/>
        <w:spacing w:line="360" w:lineRule="auto"/>
        <w:ind w:left="315" w:leftChars="150" w:firstLine="105" w:firstLineChars="50"/>
        <w:rPr>
          <w:rFonts w:hint="eastAsia" w:ascii="宋体" w:hAnsi="宋体" w:eastAsia="宋体" w:cs="宋体"/>
          <w:kern w:val="0"/>
          <w:szCs w:val="21"/>
          <w:highlight w:val="none"/>
        </w:rPr>
      </w:pPr>
      <w:r>
        <w:rPr>
          <w:rFonts w:hint="eastAsia" w:ascii="宋体" w:hAnsi="宋体" w:eastAsia="宋体" w:cs="宋体"/>
          <w:kern w:val="0"/>
          <w:szCs w:val="21"/>
          <w:highlight w:val="none"/>
        </w:rPr>
        <w:t>（12）经批准实施的施工组织设计文件。</w:t>
      </w:r>
    </w:p>
    <w:p>
      <w:pPr>
        <w:widowControl/>
        <w:spacing w:line="360" w:lineRule="auto"/>
        <w:ind w:firstLine="410"/>
        <w:jc w:val="left"/>
        <w:rPr>
          <w:rStyle w:val="111"/>
          <w:rFonts w:hint="eastAsia" w:ascii="宋体" w:hAnsi="宋体" w:eastAsia="宋体" w:cs="宋体"/>
          <w:highlight w:val="none"/>
        </w:rPr>
      </w:pP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2．适用法律、标准及规范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2.1需要明示的法律、行政法规：《中华人民共和国民法典》；《建设工程施工合同管理办法》；《建设工程质量管理条例》；《建设工程安全生产管理条例》；上海市颁发的有关绿化法规、行政条例等，及其他有关法律、行政法规等。</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2.2适用标准、规范：本工程的技术标准与规范应按照招标书明确要采用的国家、部颁、地方的施工技术（验收）规程与规范。本工程适用标准、规范必须符合上海现行的标准规范；若上海没有相应的标准规范时，应按国家标准规范执行。如以上要求不一致的地方，以上述约定标准的最高要求为准。</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发包方提供标准、规范的时间：所有标准、规范除本文件提供外均由承包人自备。</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国内没有相应标准、规范时的约定：根据施工实际情况，由现场工程师及相关部门协商而定。</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本条所发生的购买、翻译标准、规范或制定施工工艺的费用，由承包方承担。</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三、施工组织设计和工期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9. 进度计划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9.1 承包方提供施工组织设计（施工方案）和进度计划的时间：进场后2天提供详尽的可操作的施工方案和进度计划。</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发包方代表确认的时间：接到报告后5天内书面答复批准或修改意见。</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12． 工期延误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12.1双方约定工期顺延的其他情况：</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如遇下列情况，承包人应就延误工期的内容在7天向发包方提出报告；发包方在收到报告后7天内予以确认或不确认，或要求进一步提供资料的答复，逾期不予答复承包人即可视为报告已被确认。但承包人仍应采取积极措施，确保工期按期完成。</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（1）非承包人原因造成的火灾、水淹、爆破等原因；</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（2）非承包人原因造成连续停水、停电超过二十四小时；</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（3）双方无法预见的因素，对承包人施工进度确实造成严重影响的，如地下障碍物及文物处理等，一般障碍物拆除不影响工期；</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（4）非承包人原因发包方无故拖延支付工程价款或办理签证手续而影响下一工序施工的；</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（5）合同中规定或发包方同意给予顺延工期的其它情况；</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（6）工程按国家政策停建缓建时造成承包人工期损失，政府规定停工工期损失。</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遇以上情况承包人对有关停工和工期延误造成的经济损失应按有关规定向发包方进行费用索赔，工期可按批准顺延。否则每延长一天，承包方须支付违约金伍佰元整。</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如遇下列情况，承包人不得提出相关工期及费用索赔，并采取措施按期完成该工程。</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（1）一般的设计变更（累计工期延长不超过5天，但结构作重大调整除外），或因承包人施工质量不合格以及由于承包人管理不善等方面的原因所造成的停工、误工，工期不得顺延；</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（2）由于发包方的原因造成关键线路工期延长不超过5天；</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（3）由于变更工程量价格的确认发生争议，发包方（或造价咨询单位）与承包人无法协商取得一致意见时，承包人不应由于上述原因影响正常施工；由此而造成的工期的延误发包方将不予认可。</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四、质量与检验</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14．工程质量</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14.1双方对本园林绿化工程的质量的其他要求：按《园林工程质量检验评定标准（DG/TJ08-701-2020）》规定的要求和园林绿化工程施工有关质量验收规范进行；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16． 隐蔽工程和中间验收 </w:t>
      </w:r>
    </w:p>
    <w:p>
      <w:pPr>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16.1工程具备隐蔽条件或达到专用条款约定的中间验收部位，承包方进行自检，并在隐蔽或中间验收前48小时以书面形式通知发包方验收。通知包括隐蔽和中间验收的内容、验收时间和地点。承包方准备验收记录，验收合格，发包方代表在验收记录上签字后，承包方可进行隐蔽和继续施工。验收不合格，承包方在发包方限定的时间内修改后重新验收。 </w:t>
      </w:r>
    </w:p>
    <w:p>
      <w:pPr>
        <w:widowControl/>
        <w:tabs>
          <w:tab w:val="left" w:pos="1162"/>
        </w:tabs>
        <w:spacing w:line="360" w:lineRule="auto"/>
        <w:ind w:left="14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16.2发包方代表不能按时进行验收，应在验收前24小时以书面形式向承包方提出延期要求，延期不能超过48小时。发包方代表未能按以上时间提出延期要求，不进行验收，承包方可自行组织验收，发包方代表应承认验收记录。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16.3经发包方代表验收，工程质量符合标准、规范和设计图纸等要求，验收24小时后，发包方代表不在验收记录上签字，视为发包方代表已经认可验收记录，承包方可进行隐蔽或继续施工。</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五、安全及文明施工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19．安全施工与检查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19.3文明施工措施及相应费用：承包人必须按照《建设工程安全生产管理条例》和国家及上海市安全生产、文明施工的法规进行施工。承包人必须在施工现场采取必要的安全防护措施，消除事故隐患。周围设置有效的围护、安全设施，确保封闭安全施工，不得干扰公共秩序。由于承包方安全措施不力造成事故的责任和因此发生的费用，由承包方承担。</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六、合同价款与支付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22．合同价款及调整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22.2本合同价款采用固定单价计价方式。</w:t>
      </w:r>
    </w:p>
    <w:p>
      <w:pPr>
        <w:widowControl/>
        <w:numPr>
          <w:ilvl w:val="0"/>
          <w:numId w:val="7"/>
        </w:numPr>
        <w:spacing w:line="360" w:lineRule="auto"/>
        <w:ind w:firstLine="420" w:firstLineChars="20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工程预付款 </w:t>
      </w:r>
    </w:p>
    <w:p>
      <w:pPr>
        <w:widowControl/>
        <w:numPr>
          <w:ilvl w:val="0"/>
          <w:numId w:val="0"/>
        </w:numPr>
        <w:spacing w:line="360" w:lineRule="auto"/>
        <w:ind w:firstLine="420" w:firstLineChars="200"/>
        <w:jc w:val="left"/>
        <w:rPr>
          <w:rStyle w:val="111"/>
          <w:rFonts w:hint="eastAsia" w:ascii="宋体" w:hAnsi="宋体" w:eastAsia="宋体" w:cs="宋体"/>
          <w:highlight w:val="none"/>
          <w:lang w:val="en-US" w:eastAsia="zh-CN"/>
        </w:rPr>
      </w:pPr>
      <w:r>
        <w:rPr>
          <w:rStyle w:val="111"/>
          <w:rFonts w:hint="eastAsia" w:ascii="宋体" w:hAnsi="宋体" w:eastAsia="宋体" w:cs="宋体"/>
          <w:highlight w:val="none"/>
          <w:lang w:val="en-US" w:eastAsia="zh-CN"/>
        </w:rPr>
        <w:t>23.1本项目无工程预付款。</w:t>
      </w:r>
    </w:p>
    <w:p>
      <w:pPr>
        <w:widowControl/>
        <w:numPr>
          <w:ilvl w:val="0"/>
          <w:numId w:val="0"/>
        </w:numPr>
        <w:spacing w:line="360" w:lineRule="auto"/>
        <w:ind w:firstLine="420" w:firstLineChars="200"/>
        <w:jc w:val="left"/>
        <w:rPr>
          <w:rStyle w:val="111"/>
          <w:rFonts w:hint="eastAsia" w:ascii="宋体" w:hAnsi="宋体" w:eastAsia="宋体" w:cs="宋体"/>
          <w:highlight w:val="none"/>
          <w:lang w:val="en-US" w:eastAsia="zh-CN"/>
        </w:rPr>
      </w:pPr>
      <w:r>
        <w:rPr>
          <w:rStyle w:val="111"/>
          <w:rFonts w:hint="eastAsia" w:ascii="宋体" w:hAnsi="宋体" w:eastAsia="宋体" w:cs="宋体"/>
          <w:highlight w:val="none"/>
          <w:lang w:val="en-US" w:eastAsia="zh-CN"/>
        </w:rPr>
        <w:t>25.工程进度款</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2</w:t>
      </w:r>
      <w:r>
        <w:rPr>
          <w:rStyle w:val="111"/>
          <w:rFonts w:hint="eastAsia" w:ascii="宋体" w:hAnsi="宋体" w:eastAsia="宋体" w:cs="宋体"/>
          <w:highlight w:val="none"/>
          <w:lang w:val="en-US" w:eastAsia="zh-CN"/>
        </w:rPr>
        <w:t>5</w:t>
      </w:r>
      <w:r>
        <w:rPr>
          <w:rStyle w:val="111"/>
          <w:rFonts w:hint="eastAsia" w:ascii="宋体" w:hAnsi="宋体" w:eastAsia="宋体" w:cs="宋体"/>
          <w:highlight w:val="none"/>
        </w:rPr>
        <w:t>.1工程款支付由承包方向发包方方提出申请，经发包方签字盖章确认后，支付给承包方。</w:t>
      </w:r>
    </w:p>
    <w:p>
      <w:pPr>
        <w:widowControl/>
        <w:spacing w:line="360" w:lineRule="auto"/>
        <w:ind w:firstLine="412"/>
        <w:jc w:val="left"/>
        <w:rPr>
          <w:rStyle w:val="111"/>
          <w:rFonts w:hint="eastAsia" w:ascii="宋体" w:hAnsi="宋体" w:eastAsia="宋体" w:cs="宋体"/>
          <w:highlight w:val="none"/>
          <w:lang w:eastAsia="zh-CN"/>
        </w:rPr>
      </w:pPr>
      <w:r>
        <w:rPr>
          <w:rStyle w:val="111"/>
          <w:rFonts w:hint="eastAsia" w:ascii="宋体" w:hAnsi="宋体" w:eastAsia="宋体" w:cs="宋体"/>
          <w:highlight w:val="none"/>
        </w:rPr>
        <w:t>2</w:t>
      </w:r>
      <w:r>
        <w:rPr>
          <w:rStyle w:val="111"/>
          <w:rFonts w:hint="eastAsia" w:ascii="宋体" w:hAnsi="宋体" w:eastAsia="宋体" w:cs="宋体"/>
          <w:highlight w:val="none"/>
          <w:lang w:val="en-US" w:eastAsia="zh-CN"/>
        </w:rPr>
        <w:t>5</w:t>
      </w:r>
      <w:r>
        <w:rPr>
          <w:rStyle w:val="111"/>
          <w:rFonts w:hint="eastAsia" w:ascii="宋体" w:hAnsi="宋体" w:eastAsia="宋体" w:cs="宋体"/>
          <w:highlight w:val="none"/>
        </w:rPr>
        <w:t>.2</w:t>
      </w:r>
      <w:r>
        <w:rPr>
          <w:rStyle w:val="111"/>
          <w:rFonts w:hint="eastAsia" w:ascii="宋体" w:hAnsi="宋体" w:eastAsia="宋体" w:cs="宋体"/>
          <w:highlight w:val="none"/>
          <w:lang w:eastAsia="zh-CN"/>
        </w:rPr>
        <w:t>（</w:t>
      </w:r>
      <w:r>
        <w:rPr>
          <w:rStyle w:val="111"/>
          <w:rFonts w:hint="eastAsia" w:ascii="宋体" w:hAnsi="宋体" w:eastAsia="宋体" w:cs="宋体"/>
          <w:highlight w:val="none"/>
          <w:lang w:val="en-US" w:eastAsia="zh-CN"/>
        </w:rPr>
        <w:t>1</w:t>
      </w:r>
      <w:r>
        <w:rPr>
          <w:rStyle w:val="111"/>
          <w:rFonts w:hint="eastAsia" w:ascii="宋体" w:hAnsi="宋体" w:eastAsia="宋体" w:cs="宋体"/>
          <w:highlight w:val="none"/>
          <w:lang w:eastAsia="zh-CN"/>
        </w:rPr>
        <w:t>）</w:t>
      </w:r>
      <w:r>
        <w:rPr>
          <w:rStyle w:val="111"/>
          <w:rFonts w:hint="eastAsia" w:ascii="宋体" w:hAnsi="宋体" w:eastAsia="宋体" w:cs="宋体"/>
          <w:highlight w:val="none"/>
        </w:rPr>
        <w:t>本项目范围内所有绿化搬迁工作完成，</w:t>
      </w:r>
      <w:r>
        <w:rPr>
          <w:rStyle w:val="111"/>
          <w:rFonts w:hint="eastAsia" w:ascii="宋体" w:hAnsi="宋体" w:eastAsia="宋体" w:cs="宋体"/>
          <w:highlight w:val="none"/>
          <w:lang w:val="en-US" w:eastAsia="zh-CN"/>
        </w:rPr>
        <w:t>各部门验收完成</w:t>
      </w:r>
      <w:r>
        <w:rPr>
          <w:rStyle w:val="111"/>
          <w:rFonts w:hint="eastAsia" w:ascii="宋体" w:hAnsi="宋体" w:eastAsia="宋体" w:cs="宋体"/>
          <w:highlight w:val="none"/>
        </w:rPr>
        <w:t>发包人支付至合同价的</w:t>
      </w:r>
      <w:r>
        <w:rPr>
          <w:rStyle w:val="111"/>
          <w:rFonts w:hint="eastAsia" w:ascii="宋体" w:hAnsi="宋体" w:eastAsia="宋体" w:cs="宋体"/>
          <w:highlight w:val="none"/>
          <w:lang w:val="en-US" w:eastAsia="zh-CN"/>
        </w:rPr>
        <w:t>70</w:t>
      </w:r>
      <w:r>
        <w:rPr>
          <w:rStyle w:val="111"/>
          <w:rFonts w:hint="eastAsia" w:ascii="宋体" w:hAnsi="宋体" w:eastAsia="宋体" w:cs="宋体"/>
          <w:highlight w:val="none"/>
        </w:rPr>
        <w:t>%</w:t>
      </w:r>
      <w:r>
        <w:rPr>
          <w:rStyle w:val="111"/>
          <w:rFonts w:hint="eastAsia" w:ascii="宋体" w:hAnsi="宋体" w:eastAsia="宋体" w:cs="宋体"/>
          <w:highlight w:val="none"/>
          <w:lang w:eastAsia="zh-CN"/>
        </w:rPr>
        <w:t>；</w:t>
      </w:r>
    </w:p>
    <w:p>
      <w:pPr>
        <w:widowControl/>
        <w:spacing w:line="360" w:lineRule="auto"/>
        <w:ind w:firstLine="420" w:firstLineChars="200"/>
        <w:jc w:val="left"/>
        <w:rPr>
          <w:rStyle w:val="111"/>
          <w:rFonts w:hint="eastAsia" w:ascii="宋体" w:hAnsi="宋体" w:eastAsia="宋体" w:cs="宋体"/>
          <w:highlight w:val="none"/>
          <w:lang w:val="en-US" w:eastAsia="zh-CN"/>
        </w:rPr>
      </w:pPr>
      <w:r>
        <w:rPr>
          <w:rStyle w:val="111"/>
          <w:rFonts w:hint="eastAsia" w:ascii="宋体" w:hAnsi="宋体" w:cs="宋体"/>
          <w:highlight w:val="none"/>
          <w:lang w:eastAsia="zh-CN"/>
        </w:rPr>
        <w:t>（</w:t>
      </w:r>
      <w:r>
        <w:rPr>
          <w:rStyle w:val="111"/>
          <w:rFonts w:hint="eastAsia" w:ascii="宋体" w:hAnsi="宋体" w:cs="宋体"/>
          <w:highlight w:val="none"/>
          <w:lang w:val="en-US" w:eastAsia="zh-CN"/>
        </w:rPr>
        <w:t>2</w:t>
      </w:r>
      <w:r>
        <w:rPr>
          <w:rStyle w:val="111"/>
          <w:rFonts w:hint="eastAsia" w:ascii="宋体" w:hAnsi="宋体" w:cs="宋体"/>
          <w:highlight w:val="none"/>
          <w:lang w:eastAsia="zh-CN"/>
        </w:rPr>
        <w:t>）</w:t>
      </w:r>
      <w:r>
        <w:rPr>
          <w:rStyle w:val="111"/>
          <w:rFonts w:hint="eastAsia" w:ascii="宋体" w:hAnsi="宋体" w:eastAsia="宋体" w:cs="宋体"/>
          <w:highlight w:val="none"/>
        </w:rPr>
        <w:t>经全过程投资控制单位审核、</w:t>
      </w:r>
      <w:r>
        <w:rPr>
          <w:rStyle w:val="111"/>
          <w:rFonts w:hint="eastAsia" w:ascii="宋体" w:hAnsi="宋体" w:eastAsia="宋体" w:cs="宋体"/>
          <w:highlight w:val="none"/>
          <w:lang w:val="en-US" w:eastAsia="zh-CN"/>
        </w:rPr>
        <w:t>发包人</w:t>
      </w:r>
      <w:r>
        <w:rPr>
          <w:rStyle w:val="111"/>
          <w:rFonts w:hint="eastAsia" w:ascii="宋体" w:hAnsi="宋体" w:eastAsia="宋体" w:cs="宋体"/>
          <w:highlight w:val="none"/>
        </w:rPr>
        <w:t>审计结束后</w:t>
      </w:r>
      <w:r>
        <w:rPr>
          <w:rStyle w:val="111"/>
          <w:rFonts w:hint="eastAsia" w:ascii="宋体" w:hAnsi="宋体" w:eastAsia="宋体" w:cs="宋体"/>
          <w:highlight w:val="none"/>
          <w:lang w:val="en-US" w:eastAsia="zh-CN"/>
        </w:rPr>
        <w:t>支付至</w:t>
      </w:r>
      <w:r>
        <w:rPr>
          <w:rStyle w:val="111"/>
          <w:rFonts w:hint="eastAsia" w:ascii="宋体" w:hAnsi="宋体" w:eastAsia="宋体" w:cs="宋体"/>
          <w:highlight w:val="none"/>
        </w:rPr>
        <w:t>审定价</w:t>
      </w:r>
      <w:r>
        <w:rPr>
          <w:rStyle w:val="111"/>
          <w:rFonts w:hint="eastAsia" w:ascii="宋体" w:hAnsi="宋体" w:eastAsia="宋体" w:cs="宋体"/>
          <w:highlight w:val="none"/>
          <w:lang w:val="en-US" w:eastAsia="zh-CN"/>
        </w:rPr>
        <w:t>的80%</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lang w:val="en-US" w:eastAsia="zh-CN"/>
        </w:rPr>
        <w:t>（3）</w:t>
      </w:r>
      <w:r>
        <w:rPr>
          <w:rStyle w:val="111"/>
          <w:rFonts w:hint="eastAsia" w:ascii="宋体" w:hAnsi="宋体" w:eastAsia="宋体" w:cs="宋体"/>
          <w:highlight w:val="none"/>
        </w:rPr>
        <w:t>养护期2年到期后学校相关职能部门组织验收达到100%存活率</w:t>
      </w:r>
      <w:r>
        <w:rPr>
          <w:rStyle w:val="111"/>
          <w:rFonts w:hint="eastAsia" w:ascii="宋体" w:hAnsi="宋体" w:eastAsia="宋体" w:cs="宋体"/>
          <w:highlight w:val="none"/>
          <w:lang w:eastAsia="zh-CN"/>
        </w:rPr>
        <w:t>，</w:t>
      </w:r>
      <w:r>
        <w:rPr>
          <w:rStyle w:val="111"/>
          <w:rFonts w:hint="eastAsia" w:ascii="宋体" w:hAnsi="宋体" w:eastAsia="宋体" w:cs="宋体"/>
          <w:highlight w:val="none"/>
          <w:lang w:val="en-US" w:eastAsia="zh-CN"/>
        </w:rPr>
        <w:t>且长势良好</w:t>
      </w:r>
      <w:r>
        <w:rPr>
          <w:rStyle w:val="111"/>
          <w:rFonts w:hint="eastAsia" w:ascii="宋体" w:hAnsi="宋体" w:eastAsia="宋体" w:cs="宋体"/>
          <w:highlight w:val="none"/>
        </w:rPr>
        <w:t>后</w:t>
      </w:r>
      <w:r>
        <w:rPr>
          <w:rStyle w:val="111"/>
          <w:rFonts w:hint="eastAsia" w:ascii="宋体" w:hAnsi="宋体" w:eastAsia="宋体" w:cs="宋体"/>
          <w:highlight w:val="none"/>
          <w:lang w:val="en-US" w:eastAsia="zh-CN"/>
        </w:rPr>
        <w:t>无息</w:t>
      </w:r>
      <w:r>
        <w:rPr>
          <w:rStyle w:val="111"/>
          <w:rFonts w:hint="eastAsia" w:ascii="宋体" w:hAnsi="宋体" w:eastAsia="宋体" w:cs="宋体"/>
          <w:highlight w:val="none"/>
        </w:rPr>
        <w:t>支付余款</w:t>
      </w:r>
      <w:r>
        <w:rPr>
          <w:rStyle w:val="111"/>
          <w:rFonts w:hint="eastAsia" w:ascii="宋体" w:hAnsi="宋体" w:eastAsia="宋体" w:cs="宋体"/>
          <w:highlight w:val="none"/>
          <w:lang w:eastAsia="zh-CN"/>
        </w:rPr>
        <w:t>。</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lang w:val="en-US" w:eastAsia="zh-CN"/>
        </w:rPr>
        <w:t>5</w:t>
      </w:r>
      <w:r>
        <w:rPr>
          <w:rStyle w:val="111"/>
          <w:rFonts w:hint="eastAsia" w:ascii="宋体" w:hAnsi="宋体" w:eastAsia="宋体" w:cs="宋体"/>
          <w:highlight w:val="none"/>
        </w:rPr>
        <w:t>.3所有因变更或约定可调整的合同价款或追加合同价款，不与工程进度款同步调整，仅限于在最终结算时支付。</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2</w:t>
      </w:r>
      <w:r>
        <w:rPr>
          <w:rStyle w:val="111"/>
          <w:rFonts w:hint="eastAsia" w:ascii="宋体" w:hAnsi="宋体" w:eastAsia="宋体" w:cs="宋体"/>
          <w:highlight w:val="none"/>
          <w:lang w:val="en-US" w:eastAsia="zh-CN"/>
        </w:rPr>
        <w:t>5</w:t>
      </w:r>
      <w:r>
        <w:rPr>
          <w:rStyle w:val="111"/>
          <w:rFonts w:hint="eastAsia" w:ascii="宋体" w:hAnsi="宋体" w:eastAsia="宋体" w:cs="宋体"/>
          <w:highlight w:val="none"/>
        </w:rPr>
        <w:t xml:space="preserve">.4本工程项目发包人已委托造价咨询单位承担全过程造价控制及竣工结算审价服务。承包人编制的结算造价与审核后造价相差5%以上的，承包人将承担核减额超过5%以上的审价费用，并由发包人代扣代付。项目核减、核增5%以上部分分别按差额定率累进收费，计算标准如下： </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100万元以下（含100万元）按6.3%，100至500万元 （含500万元）按5.7%，500至1000万元（含1000万元）按5.1%，1000至3000万元 （含3000万元）按4.0%，3000至5000万元 （含5000万元）按3.8%，5000至10000万元 （含10000万元）按3.6%，10000万元以上按3.2%。</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2</w:t>
      </w:r>
      <w:r>
        <w:rPr>
          <w:rStyle w:val="111"/>
          <w:rFonts w:hint="eastAsia" w:ascii="宋体" w:hAnsi="宋体" w:eastAsia="宋体" w:cs="宋体"/>
          <w:highlight w:val="none"/>
          <w:lang w:val="en-US" w:eastAsia="zh-CN"/>
        </w:rPr>
        <w:t>5</w:t>
      </w:r>
      <w:r>
        <w:rPr>
          <w:rStyle w:val="111"/>
          <w:rFonts w:hint="eastAsia" w:ascii="宋体" w:hAnsi="宋体" w:eastAsia="宋体" w:cs="宋体"/>
          <w:highlight w:val="none"/>
        </w:rPr>
        <w:t>.</w:t>
      </w:r>
      <w:r>
        <w:rPr>
          <w:rStyle w:val="111"/>
          <w:rFonts w:hint="eastAsia" w:ascii="宋体" w:hAnsi="宋体" w:eastAsia="宋体" w:cs="宋体"/>
          <w:highlight w:val="none"/>
          <w:lang w:val="en-US" w:eastAsia="zh-CN"/>
        </w:rPr>
        <w:t>5</w:t>
      </w:r>
      <w:r>
        <w:rPr>
          <w:rStyle w:val="111"/>
          <w:rFonts w:hint="eastAsia" w:ascii="宋体" w:hAnsi="宋体" w:eastAsia="宋体" w:cs="宋体"/>
          <w:highlight w:val="none"/>
        </w:rPr>
        <w:t>社会保险费支付：（1）管理人员社会保险费由发包人按照进度款约定支付，并按投标文件中的费率执行。生产工人社会保险费由施工总包单位凭缴纳社保凭证</w:t>
      </w:r>
      <w:r>
        <w:rPr>
          <w:rStyle w:val="111"/>
          <w:rFonts w:hint="eastAsia" w:ascii="宋体" w:hAnsi="宋体" w:cs="宋体"/>
          <w:highlight w:val="none"/>
          <w:lang w:val="en-US" w:eastAsia="zh-CN"/>
        </w:rPr>
        <w:t>与工程进度款一起</w:t>
      </w:r>
      <w:r>
        <w:rPr>
          <w:rStyle w:val="111"/>
          <w:rFonts w:hint="eastAsia" w:ascii="宋体" w:hAnsi="宋体" w:eastAsia="宋体" w:cs="宋体"/>
          <w:highlight w:val="none"/>
        </w:rPr>
        <w:t>向发包人申请核付，并按实结算，若未能及时提供凭证，在进度款支付时暂将该部分费用扣除。（2）社会保险费的认定：承包人应对施工现场作业人员建立考勤制度，</w:t>
      </w:r>
      <w:r>
        <w:rPr>
          <w:rStyle w:val="111"/>
          <w:rFonts w:hint="eastAsia" w:ascii="宋体" w:hAnsi="宋体" w:cs="宋体"/>
          <w:highlight w:val="none"/>
          <w:lang w:val="en-US" w:eastAsia="zh-CN"/>
        </w:rPr>
        <w:t>项目管理</w:t>
      </w:r>
      <w:r>
        <w:rPr>
          <w:rStyle w:val="111"/>
          <w:rFonts w:hint="eastAsia" w:ascii="宋体" w:hAnsi="宋体" w:eastAsia="宋体" w:cs="宋体"/>
          <w:highlight w:val="none"/>
        </w:rPr>
        <w:t>单位每天对作业人员进行考勤确认并形成现场作业人员清单，由承包人汇总全部材料后向发包人申请支付生产工人社会保险费，社保费申报结算金额最高不超过投标费率金额。</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七、材料、设备和苗木供应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发包方提供工程量清单，承包方提供相关设备和人力。</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八、工程变更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由于变更引起费用的增减，承包人应在上述变更后7天内对任何变更的价值提交一份详细报告。如承包人未及时提交报告，并且又不及时以书面的形式阐明原因的，则将被视为放弃索赔之权利。</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九、竣工验收与结算</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31． 竣工验收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31.1承包方提供竣工图的约定：在竣工验收前承包方向发包方提供完整的竣工资料一式肆份，竣工光盘4张。</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32． 竣工结算</w:t>
      </w:r>
    </w:p>
    <w:p>
      <w:pPr>
        <w:widowControl/>
        <w:spacing w:line="360" w:lineRule="auto"/>
        <w:ind w:firstLine="829" w:firstLineChars="395"/>
        <w:jc w:val="left"/>
        <w:rPr>
          <w:rStyle w:val="111"/>
          <w:rFonts w:hint="eastAsia" w:ascii="宋体" w:hAnsi="宋体" w:eastAsia="宋体" w:cs="宋体"/>
          <w:highlight w:val="none"/>
        </w:rPr>
      </w:pPr>
      <w:r>
        <w:rPr>
          <w:rStyle w:val="111"/>
          <w:rFonts w:hint="eastAsia" w:ascii="宋体" w:hAnsi="宋体" w:eastAsia="宋体" w:cs="宋体"/>
          <w:highlight w:val="none"/>
        </w:rPr>
        <w:t>双方对竣工结算时限：工程竣工后5个月内。</w:t>
      </w:r>
    </w:p>
    <w:p>
      <w:pPr>
        <w:widowControl/>
        <w:spacing w:line="360" w:lineRule="auto"/>
        <w:ind w:firstLine="410"/>
        <w:jc w:val="left"/>
        <w:rPr>
          <w:rStyle w:val="111"/>
          <w:rFonts w:hint="default" w:ascii="宋体" w:hAnsi="宋体" w:eastAsia="宋体" w:cs="宋体"/>
          <w:highlight w:val="none"/>
          <w:lang w:val="en-US" w:eastAsia="zh-CN"/>
        </w:rPr>
      </w:pPr>
      <w:r>
        <w:rPr>
          <w:rStyle w:val="111"/>
          <w:rFonts w:hint="eastAsia" w:ascii="宋体" w:hAnsi="宋体" w:eastAsia="宋体" w:cs="宋体"/>
          <w:highlight w:val="none"/>
        </w:rPr>
        <w:t>33． 质量保修</w:t>
      </w:r>
      <w:r>
        <w:rPr>
          <w:rStyle w:val="111"/>
          <w:rFonts w:hint="eastAsia" w:ascii="宋体" w:hAnsi="宋体" w:cs="宋体"/>
          <w:highlight w:val="none"/>
          <w:lang w:val="en-US" w:eastAsia="zh-CN"/>
        </w:rPr>
        <w:t>和养护</w:t>
      </w:r>
    </w:p>
    <w:p>
      <w:pPr>
        <w:widowControl/>
        <w:spacing w:line="360" w:lineRule="auto"/>
        <w:ind w:firstLine="410"/>
        <w:jc w:val="left"/>
        <w:rPr>
          <w:rStyle w:val="111"/>
          <w:rFonts w:hint="eastAsia" w:ascii="宋体" w:hAnsi="宋体" w:cs="宋体"/>
          <w:highlight w:val="none"/>
          <w:lang w:val="en-US" w:eastAsia="zh-CN"/>
        </w:rPr>
      </w:pPr>
      <w:r>
        <w:rPr>
          <w:rStyle w:val="111"/>
          <w:rFonts w:hint="eastAsia" w:ascii="宋体" w:hAnsi="宋体" w:cs="宋体"/>
          <w:highlight w:val="none"/>
          <w:lang w:val="en-US" w:eastAsia="zh-CN"/>
        </w:rPr>
        <w:t>33.1  承包方在接到事故通知后，应在24小时内到达事故现场进行抢修；</w:t>
      </w:r>
    </w:p>
    <w:p>
      <w:pPr>
        <w:widowControl/>
        <w:spacing w:line="360" w:lineRule="auto"/>
        <w:ind w:firstLine="412"/>
        <w:jc w:val="left"/>
        <w:rPr>
          <w:rStyle w:val="111"/>
          <w:rFonts w:hint="eastAsia" w:ascii="宋体" w:hAnsi="宋体" w:cs="宋体"/>
          <w:highlight w:val="none"/>
          <w:lang w:val="en-US" w:eastAsia="zh-CN"/>
        </w:rPr>
      </w:pPr>
      <w:r>
        <w:rPr>
          <w:rStyle w:val="111"/>
          <w:rFonts w:hint="eastAsia" w:ascii="宋体" w:hAnsi="宋体" w:cs="宋体"/>
          <w:highlight w:val="none"/>
          <w:lang w:val="en-US" w:eastAsia="zh-CN"/>
        </w:rPr>
        <w:t>33.2 工程养护保修时间、养护措施和养护费用的约定：保养保修二年。</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十、违约、索赔和争议 </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双方约定，在履行合同过程中产生争议时可由双方协商解决，也可依法向杨浦区人民法院提起诉讼。</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十一、其他</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39.保险</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39.4承包人必须为从事危险作业的职工办理意外伤害保险，并为施工场地内自有人员生命财产和施工机械设备办理保险，支付保险费用。</w:t>
      </w:r>
    </w:p>
    <w:p>
      <w:pPr>
        <w:widowControl/>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上海市外来从业人员综合保险按照上海市政府有关规定执行。</w:t>
      </w:r>
    </w:p>
    <w:p>
      <w:pPr>
        <w:widowControl/>
        <w:spacing w:line="360" w:lineRule="auto"/>
        <w:ind w:firstLine="412"/>
        <w:jc w:val="left"/>
        <w:rPr>
          <w:rStyle w:val="111"/>
          <w:rFonts w:hint="eastAsia" w:ascii="宋体" w:hAnsi="宋体" w:eastAsia="宋体" w:cs="宋体"/>
          <w:highlight w:val="none"/>
        </w:rPr>
      </w:pPr>
      <w:r>
        <w:rPr>
          <w:rStyle w:val="111"/>
          <w:rFonts w:hint="eastAsia" w:ascii="宋体" w:hAnsi="宋体" w:eastAsia="宋体" w:cs="宋体"/>
          <w:highlight w:val="none"/>
        </w:rPr>
        <w:t>46.补充条款</w:t>
      </w:r>
    </w:p>
    <w:p>
      <w:pPr>
        <w:tabs>
          <w:tab w:val="left" w:pos="0"/>
        </w:tabs>
        <w:spacing w:line="360" w:lineRule="auto"/>
        <w:ind w:firstLine="410"/>
        <w:jc w:val="left"/>
        <w:rPr>
          <w:rStyle w:val="111"/>
          <w:rFonts w:hint="eastAsia" w:ascii="宋体" w:hAnsi="宋体" w:eastAsia="宋体" w:cs="宋体"/>
          <w:highlight w:val="none"/>
        </w:rPr>
      </w:pPr>
      <w:r>
        <w:rPr>
          <w:rStyle w:val="111"/>
          <w:rFonts w:hint="eastAsia" w:ascii="宋体" w:hAnsi="宋体" w:eastAsia="宋体" w:cs="宋体"/>
          <w:highlight w:val="none"/>
        </w:rPr>
        <w:t>合同履行中，发包方、承包方有关工程的洽商、变更等书面协议或文件视为本合同的组成部分。</w:t>
      </w:r>
    </w:p>
    <w:p>
      <w:pPr>
        <w:widowControl/>
        <w:jc w:val="left"/>
        <w:rPr>
          <w:rStyle w:val="111"/>
          <w:rFonts w:hint="eastAsia" w:ascii="宋体" w:hAnsi="宋体" w:eastAsia="宋体" w:cs="宋体"/>
          <w:b/>
          <w:highlight w:val="none"/>
        </w:rPr>
      </w:pPr>
      <w:r>
        <w:rPr>
          <w:rStyle w:val="111"/>
          <w:rFonts w:hint="eastAsia" w:ascii="宋体" w:hAnsi="宋体" w:eastAsia="宋体" w:cs="宋体"/>
          <w:b/>
          <w:highlight w:val="none"/>
        </w:rPr>
        <w:br w:type="page"/>
      </w:r>
    </w:p>
    <w:p>
      <w:pPr>
        <w:tabs>
          <w:tab w:val="left" w:pos="0"/>
        </w:tabs>
        <w:spacing w:line="360" w:lineRule="auto"/>
        <w:ind w:firstLine="618"/>
        <w:jc w:val="center"/>
        <w:rPr>
          <w:rStyle w:val="111"/>
          <w:rFonts w:hint="eastAsia" w:ascii="宋体" w:hAnsi="宋体" w:eastAsia="宋体" w:cs="宋体"/>
          <w:b/>
          <w:highlight w:val="none"/>
        </w:rPr>
      </w:pPr>
      <w:r>
        <w:rPr>
          <w:rStyle w:val="111"/>
          <w:rFonts w:hint="eastAsia" w:ascii="宋体" w:hAnsi="宋体" w:eastAsia="宋体" w:cs="宋体"/>
          <w:b/>
          <w:highlight w:val="none"/>
        </w:rPr>
        <w:t>《廉洁、文明、安全承诺书》</w:t>
      </w:r>
    </w:p>
    <w:p>
      <w:pPr>
        <w:snapToGrid w:val="0"/>
        <w:spacing w:line="360" w:lineRule="auto"/>
        <w:ind w:firstLine="540"/>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承包方：                     </w:t>
      </w:r>
    </w:p>
    <w:p>
      <w:pPr>
        <w:snapToGrid w:val="0"/>
        <w:spacing w:line="360" w:lineRule="auto"/>
        <w:ind w:firstLine="480"/>
        <w:jc w:val="left"/>
        <w:rPr>
          <w:rStyle w:val="111"/>
          <w:rFonts w:hint="eastAsia" w:ascii="宋体" w:hAnsi="宋体" w:eastAsia="宋体" w:cs="宋体"/>
          <w:highlight w:val="none"/>
        </w:rPr>
      </w:pPr>
      <w:r>
        <w:rPr>
          <w:rStyle w:val="111"/>
          <w:rFonts w:hint="eastAsia" w:ascii="宋体" w:hAnsi="宋体" w:eastAsia="宋体" w:cs="宋体"/>
          <w:highlight w:val="none"/>
        </w:rPr>
        <w:t>一、承包方应当通过正常途径开展相对业务工作，不得为获取某些不正当利益而向发包方工作人员赠送礼金、有价证券和贵重物品等。</w:t>
      </w:r>
    </w:p>
    <w:p>
      <w:pPr>
        <w:snapToGrid w:val="0"/>
        <w:spacing w:line="360" w:lineRule="auto"/>
        <w:ind w:firstLine="480"/>
        <w:jc w:val="left"/>
        <w:rPr>
          <w:rStyle w:val="111"/>
          <w:rFonts w:hint="eastAsia" w:ascii="宋体" w:hAnsi="宋体" w:eastAsia="宋体" w:cs="宋体"/>
          <w:highlight w:val="none"/>
        </w:rPr>
      </w:pPr>
      <w:r>
        <w:rPr>
          <w:rStyle w:val="111"/>
          <w:rFonts w:hint="eastAsia" w:ascii="宋体" w:hAnsi="宋体" w:eastAsia="宋体" w:cs="宋体"/>
          <w:highlight w:val="none"/>
        </w:rPr>
        <w:t>二、承包方不得为谋取私利擅自与发包方工作人员就工程承包、工程费用、材料设备供应、工程量变动、工程验收、工程质量问题处理等进行私下商谈或者达成默契。</w:t>
      </w:r>
    </w:p>
    <w:p>
      <w:pPr>
        <w:snapToGrid w:val="0"/>
        <w:spacing w:line="360" w:lineRule="auto"/>
        <w:ind w:firstLine="480"/>
        <w:jc w:val="left"/>
        <w:rPr>
          <w:rStyle w:val="111"/>
          <w:rFonts w:hint="eastAsia" w:ascii="宋体" w:hAnsi="宋体" w:eastAsia="宋体" w:cs="宋体"/>
          <w:highlight w:val="none"/>
        </w:rPr>
      </w:pPr>
      <w:r>
        <w:rPr>
          <w:rStyle w:val="111"/>
          <w:rFonts w:hint="eastAsia" w:ascii="宋体" w:hAnsi="宋体" w:eastAsia="宋体" w:cs="宋体"/>
          <w:highlight w:val="none"/>
        </w:rPr>
        <w:t>三、承包方不得以洽谈业务、签订经济合同为借口，邀请发包方工作人员外出旅游和进入营业性高档娱乐场所。</w:t>
      </w:r>
    </w:p>
    <w:p>
      <w:pPr>
        <w:snapToGrid w:val="0"/>
        <w:spacing w:line="360" w:lineRule="auto"/>
        <w:ind w:firstLine="480"/>
        <w:jc w:val="left"/>
        <w:rPr>
          <w:rStyle w:val="111"/>
          <w:rFonts w:hint="eastAsia" w:ascii="宋体" w:hAnsi="宋体" w:eastAsia="宋体" w:cs="宋体"/>
          <w:highlight w:val="none"/>
        </w:rPr>
      </w:pPr>
      <w:r>
        <w:rPr>
          <w:rStyle w:val="111"/>
          <w:rFonts w:hint="eastAsia" w:ascii="宋体" w:hAnsi="宋体" w:eastAsia="宋体" w:cs="宋体"/>
          <w:highlight w:val="none"/>
        </w:rPr>
        <w:t>四、承包方不得为发包方单位和个人购置或者提供通讯工具、交通工具、家电、高档办公用品等物品。</w:t>
      </w:r>
    </w:p>
    <w:p>
      <w:pPr>
        <w:snapToGrid w:val="0"/>
        <w:spacing w:line="360" w:lineRule="auto"/>
        <w:ind w:firstLine="480"/>
        <w:jc w:val="left"/>
        <w:rPr>
          <w:rStyle w:val="111"/>
          <w:rFonts w:hint="eastAsia" w:ascii="宋体" w:hAnsi="宋体" w:eastAsia="宋体" w:cs="宋体"/>
          <w:highlight w:val="none"/>
        </w:rPr>
      </w:pPr>
      <w:r>
        <w:rPr>
          <w:rStyle w:val="111"/>
          <w:rFonts w:hint="eastAsia" w:ascii="宋体" w:hAnsi="宋体" w:eastAsia="宋体" w:cs="宋体"/>
          <w:highlight w:val="none"/>
        </w:rPr>
        <w:t>五、承包方如发现发包方工作人员有违反上述协议者，应向发包方领导或者发包方上级单位举报。</w:t>
      </w:r>
    </w:p>
    <w:p>
      <w:pPr>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六、承包方要严格贯彻执行国家和本市颁发的有关安全生产的法律、法规严格按照中华人民共和国建设部建标(99)79号“关于发布行业标准《建筑施工安全检查标准》的通知”(编号JGJ59——99)的要求加强内部安全管理，落实各项安全防护措施，确保工程建设中不发生重大伤亡事故。</w:t>
      </w:r>
    </w:p>
    <w:p>
      <w:pPr>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七、承包方要按照安全作业规范针对本工程项目的特点、性质、规模以及施工现场条件编制施工组织设计和施工方案，制定和组织落实各项的施工安全技术措施，并向全体施工人员进行安全技术交底。严格按照施工组织设计和有关安全要求施工。深基坑开挖必须按科技委审查批准的方案实施。</w:t>
      </w:r>
    </w:p>
    <w:p>
      <w:pPr>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八、承包方进入工地后应明确落实施工现场安全生产第一责任人。根据建设部办公厅2000年10号文件要求配置专职安全管理人员。即施工人员超过50人的工地必须配置专职安全管理人员。并将名单报发包方备案。承包方要建立健全安全生产保证体系，落实各级安全责任制，完善各项安全生产制度(包括奖惩制度)；按照“谁施工谁负责”的原则，负责单位内部和施工责任区域的安全生产管理工作。</w:t>
      </w:r>
    </w:p>
    <w:p>
      <w:pPr>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九、承包方对各分包单位及外聘人员的安全生产工作要纳入本单位统一管理的范围，明确要求，签订管理协议；要加强对全体施工人员安全作业、文明施工和自我保护的宣传教育；做好上岗前的安全培训，特殊工种作业人员必须做到持证上岗；进入本市施工的外省市特殊作业人员，还必须经本市有关特种作业考核站进行审证教育，禁止实习、学习人员现场作业。严格执行各种安全操作规程，确保施工安全。</w:t>
      </w:r>
    </w:p>
    <w:p>
      <w:pPr>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十、承包方要按照“安全自查，隐患自改、责任自负”的原则加强对施工责任区的日常安全检查。及时制止和处理各类违章违法行为。查获的隐患要及时落实整改措施，消除隐患。</w:t>
      </w:r>
    </w:p>
    <w:p>
      <w:pPr>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十一、承包方应主动接受发包方在安全生产工作上的业务指导，检查和督促，服从管理；对发包方的工作布置和组织的活动要积极贯彻实施和参加。对发包方给予因责任违约的经济处理如有异议可要求复核。对发包方工作人员利用职权营私舞弊、有意刁难的违法行为，有权检举揭发，要求处理。</w:t>
      </w:r>
    </w:p>
    <w:p>
      <w:pPr>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十二、承包方因疏于管理违章违法作业发生安全事故或造成人员伤亡的，应在积极抢救受伤人员、保护现场的同时，严格按安全事故上报的规定时限向发包方和当地劳动行政部门汇报，不得迟报瞒报。</w:t>
      </w:r>
    </w:p>
    <w:p>
      <w:pPr>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十三、承包方在其施工大纲中应结合工程实际情况，制订出各项文明施工措施，并落实如下有关要求：</w:t>
      </w:r>
    </w:p>
    <w:p>
      <w:pPr>
        <w:spacing w:line="360" w:lineRule="auto"/>
        <w:ind w:firstLine="435"/>
        <w:jc w:val="left"/>
        <w:rPr>
          <w:rStyle w:val="111"/>
          <w:rFonts w:hint="eastAsia" w:ascii="宋体" w:hAnsi="宋体" w:eastAsia="宋体" w:cs="宋体"/>
          <w:highlight w:val="none"/>
        </w:rPr>
      </w:pPr>
      <w:r>
        <w:rPr>
          <w:rStyle w:val="111"/>
          <w:rFonts w:hint="eastAsia" w:ascii="宋体" w:hAnsi="宋体" w:eastAsia="宋体" w:cs="宋体"/>
          <w:highlight w:val="none"/>
        </w:rPr>
        <w:t>l、施工现场必须按规定要求设置施工铭牌，所有施工人员应配带胸卡上岗。</w:t>
      </w:r>
    </w:p>
    <w:p>
      <w:pPr>
        <w:spacing w:line="360" w:lineRule="auto"/>
        <w:ind w:firstLine="435"/>
        <w:jc w:val="left"/>
        <w:rPr>
          <w:rStyle w:val="111"/>
          <w:rFonts w:hint="eastAsia" w:ascii="宋体" w:hAnsi="宋体" w:eastAsia="宋体" w:cs="宋体"/>
          <w:highlight w:val="none"/>
        </w:rPr>
      </w:pPr>
      <w:r>
        <w:rPr>
          <w:rStyle w:val="111"/>
          <w:rFonts w:hint="eastAsia" w:ascii="宋体" w:hAnsi="宋体" w:eastAsia="宋体" w:cs="宋体"/>
          <w:highlight w:val="none"/>
        </w:rPr>
        <w:t>2、施工区域与非施工区域必须按规定设置分隔设施，并做到连续、稳固、整洁、美观和线型和顺。施工区域的围护设施如有损坏要及时修复。</w:t>
      </w:r>
    </w:p>
    <w:p>
      <w:pPr>
        <w:spacing w:line="360" w:lineRule="auto"/>
        <w:ind w:firstLine="435"/>
        <w:jc w:val="left"/>
        <w:rPr>
          <w:rStyle w:val="111"/>
          <w:rFonts w:hint="eastAsia" w:ascii="宋体" w:hAnsi="宋体" w:eastAsia="宋体" w:cs="宋体"/>
          <w:highlight w:val="none"/>
        </w:rPr>
      </w:pPr>
      <w:r>
        <w:rPr>
          <w:rStyle w:val="111"/>
          <w:rFonts w:hint="eastAsia" w:ascii="宋体" w:hAnsi="宋体" w:eastAsia="宋体" w:cs="宋体"/>
          <w:highlight w:val="none"/>
        </w:rPr>
        <w:t>3、在施工的路段要有保证车辆通行宽度的车行道、人行道和师生出行的安全便道。凡在施工道路的交叉路口，均应按规定设置交通标志(牌)，夜间设示警灯及照明灯，便于车辆行人通行。如遇台风、暴雨季节要派人值班，确保安全。</w:t>
      </w:r>
    </w:p>
    <w:p>
      <w:pPr>
        <w:spacing w:line="360" w:lineRule="auto"/>
        <w:ind w:firstLine="435"/>
        <w:jc w:val="left"/>
        <w:rPr>
          <w:rStyle w:val="111"/>
          <w:rFonts w:hint="eastAsia" w:ascii="宋体" w:hAnsi="宋体" w:eastAsia="宋体" w:cs="宋体"/>
          <w:highlight w:val="none"/>
        </w:rPr>
      </w:pPr>
      <w:r>
        <w:rPr>
          <w:rStyle w:val="111"/>
          <w:rFonts w:hint="eastAsia" w:ascii="宋体" w:hAnsi="宋体" w:eastAsia="宋体" w:cs="宋体"/>
          <w:highlight w:val="none"/>
        </w:rPr>
        <w:t>4、要落实切实可行的施工临时排水和防汛措施，禁止向通道上排放，禁止泥浆水、水泥浆水未经沉淀直接排入下水道。</w:t>
      </w:r>
    </w:p>
    <w:p>
      <w:pPr>
        <w:spacing w:line="360" w:lineRule="auto"/>
        <w:jc w:val="left"/>
        <w:rPr>
          <w:rStyle w:val="111"/>
          <w:rFonts w:hint="eastAsia" w:ascii="宋体" w:hAnsi="宋体" w:eastAsia="宋体" w:cs="宋体"/>
          <w:highlight w:val="none"/>
        </w:rPr>
      </w:pPr>
      <w:r>
        <w:rPr>
          <w:rStyle w:val="111"/>
          <w:rFonts w:hint="eastAsia" w:ascii="宋体" w:hAnsi="宋体" w:eastAsia="宋体" w:cs="宋体"/>
          <w:highlight w:val="none"/>
        </w:rPr>
        <w:t xml:space="preserve">    5、施工现场平面布置合理，各类材料、设备、预制构件等(包括土方)做到有序堆放，不得侵占车行道、人行道。施工中要加强对各种管线的保护。</w:t>
      </w:r>
    </w:p>
    <w:p>
      <w:pPr>
        <w:spacing w:line="360" w:lineRule="auto"/>
        <w:ind w:firstLine="435"/>
        <w:jc w:val="left"/>
        <w:rPr>
          <w:rStyle w:val="111"/>
          <w:rFonts w:hint="eastAsia" w:ascii="宋体" w:hAnsi="宋体" w:eastAsia="宋体" w:cs="宋体"/>
          <w:highlight w:val="none"/>
        </w:rPr>
      </w:pPr>
      <w:r>
        <w:rPr>
          <w:rStyle w:val="111"/>
          <w:rFonts w:hint="eastAsia" w:ascii="宋体" w:hAnsi="宋体" w:eastAsia="宋体" w:cs="宋体"/>
          <w:highlight w:val="none"/>
        </w:rPr>
        <w:t>6、施工中必须要采取有效措施，防止渣土洒落，泥浆、废水流溢，控制粉尘飞扬，减少施工对城区环境的污染，严格控制噪音。</w:t>
      </w:r>
    </w:p>
    <w:p>
      <w:pPr>
        <w:spacing w:line="360" w:lineRule="auto"/>
        <w:ind w:firstLine="435"/>
        <w:jc w:val="left"/>
        <w:rPr>
          <w:rStyle w:val="111"/>
          <w:rFonts w:hint="eastAsia" w:ascii="宋体" w:hAnsi="宋体" w:eastAsia="宋体" w:cs="宋体"/>
          <w:highlight w:val="none"/>
        </w:rPr>
      </w:pPr>
      <w:r>
        <w:rPr>
          <w:rStyle w:val="111"/>
          <w:rFonts w:hint="eastAsia" w:ascii="宋体" w:hAnsi="宋体" w:eastAsia="宋体" w:cs="宋体"/>
          <w:highlight w:val="none"/>
        </w:rPr>
        <w:t>7、为配合实施国家和上海市开展环境保护和减少污染的要求，承包方必须在对施工过程中的噪音、粉尘、废水进行控制，出具相应的控制办法提交发包方备案。</w:t>
      </w:r>
    </w:p>
    <w:p>
      <w:pPr>
        <w:spacing w:line="360" w:lineRule="auto"/>
        <w:ind w:firstLine="435"/>
        <w:jc w:val="left"/>
        <w:rPr>
          <w:rStyle w:val="111"/>
          <w:rFonts w:hint="eastAsia" w:ascii="宋体" w:hAnsi="宋体" w:eastAsia="宋体" w:cs="宋体"/>
          <w:highlight w:val="none"/>
        </w:rPr>
      </w:pPr>
      <w:r>
        <w:rPr>
          <w:rStyle w:val="111"/>
          <w:rFonts w:hint="eastAsia" w:ascii="宋体" w:hAnsi="宋体" w:eastAsia="宋体" w:cs="宋体"/>
          <w:highlight w:val="none"/>
        </w:rPr>
        <w:t>8、如发现承包方未进行上述环境保护工作，发包方有权督促承包方整改，整改不力发包方将扣除文明生产措施费。</w:t>
      </w:r>
    </w:p>
    <w:p>
      <w:pPr>
        <w:spacing w:line="360" w:lineRule="auto"/>
        <w:ind w:firstLine="435"/>
        <w:jc w:val="left"/>
        <w:rPr>
          <w:rStyle w:val="111"/>
          <w:rFonts w:hint="eastAsia" w:ascii="宋体" w:hAnsi="宋体" w:eastAsia="宋体" w:cs="宋体"/>
          <w:highlight w:val="none"/>
        </w:rPr>
      </w:pPr>
      <w:r>
        <w:rPr>
          <w:rStyle w:val="111"/>
          <w:rFonts w:hint="eastAsia" w:ascii="宋体" w:hAnsi="宋体" w:eastAsia="宋体" w:cs="宋体"/>
          <w:highlight w:val="none"/>
        </w:rPr>
        <w:t>9、施工中如需夜间(22：00以后)作业，必须办理夜间施工许可证。如未办理有关手续造成恶劣后果或被举报处罚的，发包方对责任单位处罚2000—5000元不等。</w:t>
      </w:r>
    </w:p>
    <w:p>
      <w:pPr>
        <w:spacing w:line="360" w:lineRule="auto"/>
        <w:ind w:firstLine="435"/>
        <w:jc w:val="left"/>
        <w:rPr>
          <w:rStyle w:val="111"/>
          <w:rFonts w:hint="eastAsia" w:ascii="宋体" w:hAnsi="宋体" w:eastAsia="宋体" w:cs="宋体"/>
          <w:highlight w:val="none"/>
        </w:rPr>
      </w:pPr>
      <w:r>
        <w:rPr>
          <w:rStyle w:val="111"/>
          <w:rFonts w:hint="eastAsia" w:ascii="宋体" w:hAnsi="宋体" w:eastAsia="宋体" w:cs="宋体"/>
          <w:highlight w:val="none"/>
        </w:rPr>
        <w:t>十四、承包方负责施工区域及生活区域的环境卫生，建立完善有关规章制度，落实责任制。做到“五小”生活设施齐全，符合规范要求。</w:t>
      </w:r>
      <w:bookmarkEnd w:id="88"/>
    </w:p>
    <w:p>
      <w:pPr>
        <w:widowControl/>
        <w:jc w:val="left"/>
        <w:rPr>
          <w:rFonts w:hint="eastAsia" w:ascii="宋体" w:hAnsi="宋体" w:eastAsia="宋体" w:cs="宋体"/>
          <w:b/>
          <w:kern w:val="0"/>
          <w:sz w:val="28"/>
          <w:szCs w:val="28"/>
          <w:highlight w:val="none"/>
        </w:rPr>
      </w:pPr>
    </w:p>
    <w:p>
      <w:pPr>
        <w:widowControl/>
        <w:jc w:val="left"/>
        <w:rPr>
          <w:rFonts w:hint="eastAsia" w:ascii="宋体" w:hAnsi="宋体" w:eastAsia="宋体" w:cs="宋体"/>
          <w:b/>
          <w:kern w:val="0"/>
          <w:sz w:val="28"/>
          <w:szCs w:val="28"/>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spacing w:line="400" w:lineRule="exact"/>
        <w:jc w:val="cente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r>
        <w:rPr>
          <w:rFonts w:hint="eastAsia" w:ascii="宋体" w:hAnsi="宋体" w:eastAsia="宋体" w:cs="宋体"/>
          <w:b/>
          <w:sz w:val="24"/>
          <w:szCs w:val="24"/>
          <w:highlight w:val="none"/>
        </w:rPr>
        <w:br w:type="page"/>
      </w: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widowControl/>
        <w:jc w:val="center"/>
        <w:rPr>
          <w:rFonts w:hint="eastAsia" w:ascii="宋体" w:hAnsi="宋体" w:eastAsia="宋体" w:cs="宋体"/>
          <w:sz w:val="24"/>
          <w:szCs w:val="24"/>
          <w:highlight w:val="none"/>
        </w:rPr>
      </w:pPr>
    </w:p>
    <w:p>
      <w:pPr>
        <w:widowControl/>
        <w:jc w:val="left"/>
        <w:rPr>
          <w:rFonts w:hint="eastAsia" w:ascii="宋体" w:hAnsi="宋体" w:eastAsia="宋体" w:cs="宋体"/>
          <w:b/>
          <w:sz w:val="24"/>
          <w:szCs w:val="24"/>
          <w:highlight w:val="none"/>
        </w:rPr>
      </w:pPr>
    </w:p>
    <w:p>
      <w:pPr>
        <w:widowControl/>
        <w:jc w:val="left"/>
        <w:rPr>
          <w:rFonts w:hint="eastAsia" w:ascii="宋体" w:hAnsi="宋体" w:eastAsia="宋体" w:cs="宋体"/>
          <w:b/>
          <w:sz w:val="24"/>
          <w:szCs w:val="24"/>
          <w:highlight w:val="none"/>
        </w:rPr>
      </w:pPr>
    </w:p>
    <w:p>
      <w:pPr>
        <w:widowControl/>
        <w:jc w:val="left"/>
        <w:rPr>
          <w:rFonts w:hint="eastAsia" w:ascii="宋体" w:hAnsi="宋体" w:eastAsia="宋体" w:cs="宋体"/>
          <w:b/>
          <w:sz w:val="24"/>
          <w:szCs w:val="24"/>
          <w:highlight w:val="none"/>
        </w:rPr>
      </w:pPr>
    </w:p>
    <w:p>
      <w:pPr>
        <w:spacing w:line="400" w:lineRule="exact"/>
        <w:jc w:val="center"/>
        <w:outlineLvl w:val="0"/>
        <w:rPr>
          <w:rFonts w:hint="eastAsia" w:ascii="宋体" w:hAnsi="宋体" w:eastAsia="宋体" w:cs="宋体"/>
          <w:b/>
          <w:sz w:val="24"/>
          <w:szCs w:val="24"/>
          <w:highlight w:val="none"/>
        </w:rPr>
      </w:pPr>
      <w:bookmarkStart w:id="89" w:name="_Toc31615"/>
      <w:r>
        <w:rPr>
          <w:rFonts w:hint="eastAsia" w:ascii="宋体" w:hAnsi="宋体" w:eastAsia="宋体" w:cs="宋体"/>
          <w:b/>
          <w:sz w:val="24"/>
          <w:szCs w:val="24"/>
          <w:highlight w:val="none"/>
        </w:rPr>
        <w:t>第四章工程量清单</w:t>
      </w:r>
      <w:bookmarkEnd w:id="89"/>
    </w:p>
    <w:p>
      <w:pPr>
        <w:widowControl/>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见另附</w:t>
      </w:r>
    </w:p>
    <w:p>
      <w:pPr>
        <w:widowControl/>
        <w:jc w:val="left"/>
        <w:rPr>
          <w:rFonts w:hint="eastAsia" w:ascii="宋体" w:hAnsi="宋体" w:eastAsia="宋体" w:cs="宋体"/>
          <w:b/>
          <w:sz w:val="24"/>
          <w:szCs w:val="24"/>
          <w:highlight w:val="none"/>
        </w:rPr>
      </w:pPr>
      <w:r>
        <w:rPr>
          <w:rFonts w:hint="eastAsia" w:ascii="宋体" w:hAnsi="宋体" w:eastAsia="宋体" w:cs="宋体"/>
          <w:b/>
          <w:sz w:val="24"/>
          <w:szCs w:val="24"/>
          <w:highlight w:val="none"/>
        </w:rPr>
        <w:br w:type="page"/>
      </w:r>
    </w:p>
    <w:p>
      <w:pPr>
        <w:rPr>
          <w:rFonts w:hint="eastAsia" w:ascii="宋体" w:hAnsi="宋体" w:eastAsia="宋体" w:cs="宋体"/>
          <w:b/>
          <w:sz w:val="24"/>
          <w:szCs w:val="24"/>
          <w:highlight w:val="none"/>
        </w:rPr>
      </w:pPr>
    </w:p>
    <w:p>
      <w:pPr>
        <w:spacing w:line="400" w:lineRule="exact"/>
        <w:jc w:val="center"/>
        <w:outlineLvl w:val="0"/>
        <w:rPr>
          <w:rFonts w:hint="eastAsia" w:ascii="宋体" w:hAnsi="宋体" w:eastAsia="宋体" w:cs="宋体"/>
          <w:b/>
          <w:sz w:val="24"/>
          <w:szCs w:val="24"/>
          <w:highlight w:val="none"/>
        </w:rPr>
      </w:pPr>
      <w:bookmarkStart w:id="90" w:name="_Toc28667"/>
      <w:r>
        <w:rPr>
          <w:rFonts w:hint="eastAsia" w:ascii="宋体" w:hAnsi="宋体" w:eastAsia="宋体" w:cs="宋体"/>
          <w:b/>
          <w:sz w:val="24"/>
          <w:szCs w:val="24"/>
          <w:highlight w:val="none"/>
        </w:rPr>
        <w:t>第五章  图纸及技术要求</w:t>
      </w:r>
      <w:bookmarkEnd w:id="90"/>
    </w:p>
    <w:p>
      <w:pPr>
        <w:spacing w:line="400" w:lineRule="exact"/>
        <w:jc w:val="center"/>
        <w:rPr>
          <w:rFonts w:hint="eastAsia" w:ascii="宋体" w:hAnsi="宋体" w:eastAsia="宋体" w:cs="宋体"/>
          <w:sz w:val="24"/>
          <w:szCs w:val="24"/>
          <w:highlight w:val="none"/>
        </w:rPr>
      </w:pPr>
    </w:p>
    <w:p>
      <w:pPr>
        <w:spacing w:line="360" w:lineRule="auto"/>
        <w:rPr>
          <w:rFonts w:hint="eastAsia" w:ascii="宋体" w:hAnsi="宋体" w:eastAsia="宋体" w:cs="宋体"/>
          <w:b/>
          <w:sz w:val="24"/>
          <w:highlight w:val="none"/>
        </w:rPr>
      </w:pPr>
      <w:r>
        <w:rPr>
          <w:rFonts w:hint="eastAsia" w:ascii="宋体" w:hAnsi="宋体" w:eastAsia="宋体" w:cs="宋体"/>
          <w:b/>
          <w:sz w:val="24"/>
          <w:highlight w:val="none"/>
        </w:rPr>
        <w:t>一、工程范围：</w:t>
      </w:r>
    </w:p>
    <w:p>
      <w:pPr>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本项目为复旦大学江湾校区融合创新二号楼项目绿化搬迁工程招标。本工程位于复旦大学江湾校区，为支持本项目建设工作，对建设临时生活区及建设规划范围内现有的园林树木进行迁移</w:t>
      </w:r>
      <w:r>
        <w:rPr>
          <w:rFonts w:hint="eastAsia" w:ascii="宋体" w:hAnsi="宋体" w:cs="宋体"/>
          <w:sz w:val="24"/>
          <w:highlight w:val="none"/>
          <w:lang w:val="en-US" w:eastAsia="zh-CN"/>
        </w:rPr>
        <w:t>及养护</w:t>
      </w:r>
      <w:r>
        <w:rPr>
          <w:rFonts w:hint="eastAsia" w:ascii="宋体" w:hAnsi="宋体" w:eastAsia="宋体" w:cs="宋体"/>
          <w:sz w:val="24"/>
          <w:highlight w:val="none"/>
        </w:rPr>
        <w:t>。</w:t>
      </w:r>
      <w:r>
        <w:rPr>
          <w:rFonts w:hint="eastAsia" w:ascii="宋体" w:hAnsi="宋体" w:eastAsia="宋体" w:cs="宋体"/>
          <w:sz w:val="24"/>
          <w:highlight w:val="none"/>
        </w:rPr>
        <w:t>此项工程需迁移的乔木类主要包含有：桂花、马褂木、夹竹桃、银杏、红枫、柳树、重阳木、苦楝树、桧柏球、海棠、红叶石楠球、小叶</w:t>
      </w:r>
      <w:r>
        <w:rPr>
          <w:rFonts w:hint="eastAsia" w:ascii="宋体" w:hAnsi="宋体" w:cs="宋体"/>
          <w:sz w:val="24"/>
          <w:highlight w:val="none"/>
          <w:lang w:val="en-US" w:eastAsia="zh-CN"/>
        </w:rPr>
        <w:t>女贞</w:t>
      </w:r>
      <w:r>
        <w:rPr>
          <w:rFonts w:hint="eastAsia" w:ascii="宋体" w:hAnsi="宋体" w:eastAsia="宋体" w:cs="宋体"/>
          <w:sz w:val="24"/>
          <w:highlight w:val="none"/>
        </w:rPr>
        <w:t>球、小叶黄杨球、结香、丛生结香、红花继木球、茶花、樱花、香樟、豪猪刺、香樟、无患子、雪松、棕榈、栾树、合欢、紫玉兰、剑兰、海桐球、木槿、女贞、丛生石楠、石楠。搬迁区域：纬五河以南，经二路以西，纬五路以北，经一路以东。搬迁至：月湖南侧。</w:t>
      </w:r>
      <w:r>
        <w:rPr>
          <w:rFonts w:hint="eastAsia" w:ascii="宋体" w:hAnsi="宋体" w:eastAsia="宋体" w:cs="宋体"/>
          <w:sz w:val="24"/>
          <w:highlight w:val="none"/>
        </w:rPr>
        <w:t>中标单位工作内容包含但不限于：绿化搬迁范围内的所有绿化苗木起挖，绿化场地整理、绿化拍照建档、运输、种植、</w:t>
      </w:r>
      <w:r>
        <w:rPr>
          <w:rFonts w:hint="eastAsia" w:ascii="宋体" w:hAnsi="宋体" w:cs="宋体"/>
          <w:sz w:val="24"/>
          <w:highlight w:val="none"/>
          <w:lang w:val="en-US" w:eastAsia="zh-CN"/>
        </w:rPr>
        <w:t>两年期的养护保活，</w:t>
      </w:r>
      <w:r>
        <w:rPr>
          <w:rFonts w:hint="eastAsia" w:ascii="宋体" w:hAnsi="宋体" w:eastAsia="宋体" w:cs="宋体"/>
          <w:sz w:val="24"/>
          <w:highlight w:val="none"/>
        </w:rPr>
        <w:t>负责绿化搬迁过程中所有可能发生的行政手续办理及协调等一系列工作（含所有费用）。</w:t>
      </w:r>
    </w:p>
    <w:p>
      <w:pPr>
        <w:spacing w:line="360" w:lineRule="auto"/>
        <w:rPr>
          <w:rFonts w:hint="eastAsia" w:ascii="宋体" w:hAnsi="宋体" w:eastAsia="宋体" w:cs="宋体"/>
          <w:b/>
          <w:sz w:val="24"/>
          <w:highlight w:val="none"/>
        </w:rPr>
      </w:pPr>
      <w:r>
        <w:rPr>
          <w:rFonts w:hint="eastAsia" w:ascii="宋体" w:hAnsi="宋体" w:eastAsia="宋体" w:cs="宋体"/>
          <w:b/>
          <w:sz w:val="24"/>
          <w:highlight w:val="none"/>
        </w:rPr>
        <w:t>二、工程技术要求</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2.1苗木成活率及施工：一次验收合格率100%,</w:t>
      </w:r>
      <w:r>
        <w:rPr>
          <w:rFonts w:hint="eastAsia" w:ascii="宋体" w:hAnsi="宋体" w:eastAsia="宋体" w:cs="宋体"/>
          <w:sz w:val="24"/>
          <w:highlight w:val="none"/>
          <w:lang w:val="en-US" w:eastAsia="zh-CN"/>
        </w:rPr>
        <w:t>两年内</w:t>
      </w:r>
      <w:r>
        <w:rPr>
          <w:rFonts w:hint="eastAsia" w:ascii="宋体" w:hAnsi="宋体" w:eastAsia="宋体" w:cs="宋体"/>
          <w:sz w:val="24"/>
          <w:highlight w:val="none"/>
        </w:rPr>
        <w:t>苗木存活率100%，并且长势良好。</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2.2中标单位负责落实绿化图纸的送审备案、绿化报监、相关配套服务及绿化工程的竣工验收和备案等工作。</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2.3中标单位</w:t>
      </w:r>
      <w:r>
        <w:rPr>
          <w:rFonts w:hint="eastAsia" w:ascii="宋体" w:hAnsi="宋体" w:eastAsia="宋体" w:cs="宋体"/>
          <w:sz w:val="24"/>
          <w:highlight w:val="none"/>
          <w:lang w:val="en-US" w:eastAsia="zh-CN"/>
        </w:rPr>
        <w:t>需在</w:t>
      </w:r>
      <w:r>
        <w:rPr>
          <w:rFonts w:hint="eastAsia" w:ascii="宋体" w:hAnsi="宋体" w:eastAsia="宋体" w:cs="宋体"/>
          <w:sz w:val="24"/>
          <w:highlight w:val="none"/>
        </w:rPr>
        <w:t>工程竣工资料</w:t>
      </w:r>
      <w:r>
        <w:rPr>
          <w:rFonts w:hint="eastAsia" w:ascii="宋体" w:hAnsi="宋体" w:eastAsia="宋体" w:cs="宋体"/>
          <w:sz w:val="24"/>
          <w:highlight w:val="none"/>
          <w:lang w:val="en-US" w:eastAsia="zh-CN"/>
        </w:rPr>
        <w:t>移交前完成</w:t>
      </w:r>
      <w:r>
        <w:rPr>
          <w:rFonts w:hint="eastAsia" w:ascii="宋体" w:hAnsi="宋体" w:eastAsia="宋体" w:cs="宋体"/>
          <w:sz w:val="24"/>
          <w:highlight w:val="none"/>
        </w:rPr>
        <w:t>搬迁绿化苗木</w:t>
      </w:r>
      <w:r>
        <w:rPr>
          <w:rFonts w:hint="eastAsia" w:ascii="宋体" w:hAnsi="宋体" w:eastAsia="宋体" w:cs="宋体"/>
          <w:sz w:val="24"/>
          <w:highlight w:val="none"/>
          <w:lang w:val="en-US" w:eastAsia="zh-CN"/>
        </w:rPr>
        <w:t>的</w:t>
      </w:r>
      <w:r>
        <w:rPr>
          <w:rFonts w:hint="eastAsia" w:ascii="宋体" w:hAnsi="宋体" w:eastAsia="宋体" w:cs="宋体"/>
          <w:sz w:val="24"/>
          <w:highlight w:val="none"/>
        </w:rPr>
        <w:t>逐一拍照建档</w:t>
      </w:r>
      <w:r>
        <w:rPr>
          <w:rFonts w:hint="eastAsia" w:ascii="宋体" w:hAnsi="宋体" w:cs="宋体"/>
          <w:sz w:val="24"/>
          <w:highlight w:val="none"/>
          <w:lang w:val="en-US" w:eastAsia="zh-CN"/>
        </w:rPr>
        <w:t>工作</w:t>
      </w:r>
      <w:r>
        <w:rPr>
          <w:rFonts w:hint="eastAsia" w:ascii="宋体" w:hAnsi="宋体" w:eastAsia="宋体" w:cs="宋体"/>
          <w:sz w:val="24"/>
          <w:highlight w:val="none"/>
          <w:lang w:val="en-US" w:eastAsia="zh-CN"/>
        </w:rPr>
        <w:t>，</w:t>
      </w:r>
      <w:r>
        <w:rPr>
          <w:rFonts w:hint="eastAsia" w:ascii="宋体" w:hAnsi="宋体" w:eastAsia="宋体" w:cs="宋体"/>
          <w:sz w:val="24"/>
          <w:highlight w:val="none"/>
        </w:rPr>
        <w:t>并承诺负责承担搬迁后</w:t>
      </w:r>
      <w:r>
        <w:rPr>
          <w:rFonts w:hint="eastAsia" w:ascii="宋体" w:hAnsi="宋体" w:cs="宋体"/>
          <w:sz w:val="24"/>
          <w:highlight w:val="none"/>
          <w:lang w:val="en-US" w:eastAsia="zh-CN"/>
        </w:rPr>
        <w:t>两</w:t>
      </w:r>
      <w:r>
        <w:rPr>
          <w:rFonts w:hint="eastAsia" w:ascii="宋体" w:hAnsi="宋体" w:eastAsia="宋体" w:cs="宋体"/>
          <w:sz w:val="24"/>
          <w:highlight w:val="none"/>
        </w:rPr>
        <w:t>年内绿化养护期的养护工作。</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2.5招标人要求本工程中的绿化工程的质量达到《园林绿化工程施工及验收规范》  （DB11/T212-2020）的合格等级以上（含合格）标准。</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2.6工程质量等级以</w:t>
      </w:r>
      <w:r>
        <w:rPr>
          <w:rFonts w:hint="eastAsia" w:ascii="宋体" w:hAnsi="宋体" w:cs="宋体"/>
          <w:sz w:val="24"/>
          <w:highlight w:val="none"/>
          <w:lang w:val="en-US" w:eastAsia="zh-CN"/>
        </w:rPr>
        <w:t>相关</w:t>
      </w:r>
      <w:r>
        <w:rPr>
          <w:rFonts w:hint="eastAsia" w:ascii="宋体" w:hAnsi="宋体" w:eastAsia="宋体" w:cs="宋体"/>
          <w:sz w:val="24"/>
          <w:highlight w:val="none"/>
        </w:rPr>
        <w:t>部门评定为准，达不到合格等级标准，中标人应自费进行返工，工期不予顺延。招标人要求质量必须达到：工程质量等级为一次验收合格率100%,</w:t>
      </w:r>
      <w:r>
        <w:rPr>
          <w:rFonts w:hint="eastAsia" w:ascii="宋体" w:hAnsi="宋体" w:eastAsia="宋体" w:cs="宋体"/>
          <w:sz w:val="24"/>
          <w:highlight w:val="none"/>
          <w:lang w:val="en-US" w:eastAsia="zh-CN"/>
        </w:rPr>
        <w:t>两年内</w:t>
      </w:r>
      <w:r>
        <w:rPr>
          <w:rFonts w:hint="eastAsia" w:ascii="宋体" w:hAnsi="宋体" w:eastAsia="宋体" w:cs="宋体"/>
          <w:sz w:val="24"/>
          <w:highlight w:val="none"/>
        </w:rPr>
        <w:t>苗木存活率100%，并且长势良好。绿化养护期届满时组织移交验收；移交验收的不合格部分或缺损部分由中标人无偿返工（更换、补种、现场清理等全部工作）并养护至第二年的返工种植日再次验收。</w:t>
      </w:r>
      <w:r>
        <w:rPr>
          <w:rFonts w:hint="eastAsia" w:ascii="宋体" w:hAnsi="宋体" w:cs="宋体"/>
          <w:sz w:val="24"/>
          <w:highlight w:val="none"/>
          <w:lang w:val="en-US" w:eastAsia="zh-CN"/>
        </w:rPr>
        <w:t>中标人</w:t>
      </w:r>
      <w:r>
        <w:rPr>
          <w:rFonts w:hint="eastAsia" w:ascii="宋体" w:hAnsi="宋体" w:eastAsia="宋体" w:cs="宋体"/>
          <w:sz w:val="24"/>
          <w:highlight w:val="none"/>
        </w:rPr>
        <w:t>应当反馈苗木的现状信息卡（表），苗木长势良好。</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2.7本工程要求严格按照绿化施工规范施工，种植上木时应先清除房地基垃圾，所有种植区域表层换土。</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2.8每株乔木应做好规范支撑，牢固、美观、整齐。落叶乔木需保留三级以上叉枝（杉类除外），常绿乔木需全冠种植，保持树冠完整，切忌“杀头”处理。</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2.9种植时应避开各种地下管线，按规范要求确保树木与管线的最小距离。</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2.10园林栽植土必须具有满足园林栽植植物生长所需要的水、肥、气、热的能力。严禁建筑垃圾和有害物质混入。</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2.11粘土、砂土等应根据栽植土质量要求进行改良后方可栽植。</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2.12栽植喜酸性植物的土壤，pH值必须控制在5.0～6.5，无石灰反应。</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2.13裸根种苗一经挖起应扶土保护，并将其根部埋置于可保持湿润之材料中，加水以保持根部湿润直至栽培；已栽或未栽种植物应加以保护以免干枯，如松针、麦草、锯末或树皮碎皮以麻袋、帆布、塑料布、其他织物或用其他覆盖物，储存的植物每隔适当时间应喷水以维持根部湿润。</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2.14本工程所进绿化种植土土方根据上海市绿化局沪绿【2001】0092号文规定，应在种植前二周，委托有土壤检测资质的单位进行检测，检测未达规定要求，应对土壤进行改良，改良后重新检测直至达到规定要求，并提供土壤检测合格证。其一切检测费用均应包括在投标总报价中（须在合同中确定）。营养土、种植土均要提供检测合格报告。如不符合种植土要求，中标单位应及时向建设单位反馈并提供整改措施。</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2.15中标人对本工程的施工质量负全面责任。本工程招标人要求绿化养护期为绿化迁移全部完成后</w:t>
      </w:r>
      <w:r>
        <w:rPr>
          <w:rFonts w:hint="eastAsia" w:ascii="宋体" w:hAnsi="宋体" w:eastAsia="宋体" w:cs="宋体"/>
          <w:sz w:val="24"/>
          <w:highlight w:val="none"/>
          <w:lang w:val="en-US" w:eastAsia="zh-CN"/>
        </w:rPr>
        <w:t>两</w:t>
      </w:r>
      <w:r>
        <w:rPr>
          <w:rFonts w:hint="eastAsia" w:ascii="宋体" w:hAnsi="宋体" w:eastAsia="宋体" w:cs="宋体"/>
          <w:sz w:val="24"/>
          <w:highlight w:val="none"/>
        </w:rPr>
        <w:t>年。工程质量等级为一次验收合格率100%,</w:t>
      </w:r>
      <w:r>
        <w:rPr>
          <w:rFonts w:hint="eastAsia" w:ascii="宋体" w:hAnsi="宋体" w:eastAsia="宋体" w:cs="宋体"/>
          <w:sz w:val="24"/>
          <w:highlight w:val="none"/>
          <w:lang w:val="en-US" w:eastAsia="zh-CN"/>
        </w:rPr>
        <w:t>两年内</w:t>
      </w:r>
      <w:r>
        <w:rPr>
          <w:rFonts w:hint="eastAsia" w:ascii="宋体" w:hAnsi="宋体" w:eastAsia="宋体" w:cs="宋体"/>
          <w:sz w:val="24"/>
          <w:highlight w:val="none"/>
        </w:rPr>
        <w:t>苗木存活率100%，并且长势良好。绿化养护期届满时组织移交验收；移交验收的不合格部分或缺损部分由中标人无偿返工（更换、补种、现场清理等全部工作）并养护至第二年的返工种植日再次验收。各投标人在投标文件中应按招标文件和有关规定自报工程质量等级以资竞标。</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2.16本工程竣工时，工程质量应当达到协议书约定的质量标准，质量评定以国家或行业、地方的质量检验评定标准为依据。承包人因自身原因质量达不到自报约定工程质量等级标准的，发包人有权视承包人违约，承包人应承担违约责任和相应的经济损失。</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2.17本工程质量违约处罚金额（详见本合同条款）执行，同时不免除承包单位对工程质量缺陷的整改的责任。本工程质量验收未到达“一次验收合格率100%,</w:t>
      </w:r>
      <w:r>
        <w:rPr>
          <w:rFonts w:hint="eastAsia" w:ascii="宋体" w:hAnsi="宋体" w:eastAsia="宋体" w:cs="宋体"/>
          <w:sz w:val="24"/>
          <w:highlight w:val="none"/>
          <w:lang w:val="en-US" w:eastAsia="zh-CN"/>
        </w:rPr>
        <w:t>两年内</w:t>
      </w:r>
      <w:r>
        <w:rPr>
          <w:rFonts w:hint="eastAsia" w:ascii="宋体" w:hAnsi="宋体" w:eastAsia="宋体" w:cs="宋体"/>
          <w:sz w:val="24"/>
          <w:highlight w:val="none"/>
        </w:rPr>
        <w:t>苗木存活率100%，并且长势良好”，质量标准违约处罚金额为不小于合同总造价的3%。投标人也可在投标文件中自报质量等级、奖项和处罚标准，以此竞标。但自报的处罚标准不应低于招标人的要求。</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2.18本工程执行下述标准、规范中与本工程有关的各项规定：</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《园林绿化养护技术规程》（DGTJ08-19-2011）</w:t>
      </w:r>
    </w:p>
    <w:p>
      <w:pPr>
        <w:spacing w:line="360" w:lineRule="auto"/>
        <w:rPr>
          <w:rFonts w:ascii="仿宋" w:hAnsi="仿宋" w:eastAsia="仿宋"/>
          <w:color w:val="auto"/>
          <w:sz w:val="24"/>
          <w:highlight w:val="none"/>
        </w:rPr>
      </w:pPr>
      <w:r>
        <w:rPr>
          <w:rFonts w:hint="eastAsia" w:ascii="宋体" w:hAnsi="宋体" w:eastAsia="宋体" w:cs="宋体"/>
          <w:sz w:val="24"/>
          <w:highlight w:val="none"/>
        </w:rPr>
        <w:t>《园林绿化养护技术等级标准》（DG/TJ08－702－2011）</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《园林绿化植物栽植技术规程》（DGTJ08-18-2011）</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《园林绿化工程施工及验收规范》CJJ82-2012</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除上述已列明外的国家、上海市颁布的有关建设工程质量标准、规范、规程、条例等；各投标人应充分注意，凡是与本工程有关的国家、行业和上海市的相应规范、规程，不论其是否已在上述列明，中标人应无条件予以执行。</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2.19本工程必须严格遵守和执行国家现行的施工及验收规范、质量评定标准及上海市有关工程质量规定进行监督和验收。建设方将组织有关部门按照国家施工验收规范和本市有关规定进行验收。（规范、标准不统一处以较高者为准）</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2.2</w:t>
      </w:r>
      <w:r>
        <w:rPr>
          <w:rFonts w:hint="eastAsia" w:ascii="宋体" w:hAnsi="宋体" w:cs="宋体"/>
          <w:sz w:val="24"/>
          <w:highlight w:val="none"/>
          <w:lang w:val="en-US" w:eastAsia="zh-CN"/>
        </w:rPr>
        <w:t>0</w:t>
      </w:r>
      <w:r>
        <w:rPr>
          <w:rFonts w:hint="eastAsia" w:ascii="宋体" w:hAnsi="宋体" w:eastAsia="宋体" w:cs="宋体"/>
          <w:sz w:val="24"/>
          <w:highlight w:val="none"/>
        </w:rPr>
        <w:t>工程竣工验收前，中标单位必须提供六套符合归档规定的、完整的竣工资料。</w:t>
      </w:r>
    </w:p>
    <w:p>
      <w:pPr>
        <w:spacing w:line="360" w:lineRule="auto"/>
        <w:rPr>
          <w:rFonts w:ascii="仿宋" w:hAnsi="仿宋" w:eastAsia="仿宋"/>
          <w:b/>
          <w:color w:val="auto"/>
          <w:sz w:val="24"/>
          <w:highlight w:val="none"/>
        </w:rPr>
      </w:pPr>
      <w:r>
        <w:rPr>
          <w:rFonts w:hint="eastAsia" w:ascii="仿宋" w:hAnsi="仿宋" w:eastAsia="仿宋"/>
          <w:b/>
          <w:color w:val="auto"/>
          <w:sz w:val="24"/>
          <w:highlight w:val="none"/>
        </w:rPr>
        <w:t>三、养护要求</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1、总体要求</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1.1  本项目包含自搬迁完毕之日起</w:t>
      </w:r>
      <w:r>
        <w:rPr>
          <w:rFonts w:hint="eastAsia" w:ascii="宋体" w:hAnsi="宋体" w:cs="宋体"/>
          <w:sz w:val="24"/>
          <w:highlight w:val="none"/>
          <w:lang w:val="en-US" w:eastAsia="zh-CN"/>
        </w:rPr>
        <w:t>2</w:t>
      </w:r>
      <w:r>
        <w:rPr>
          <w:rFonts w:hint="eastAsia" w:ascii="宋体" w:hAnsi="宋体" w:eastAsia="宋体" w:cs="宋体"/>
          <w:sz w:val="24"/>
          <w:highlight w:val="none"/>
        </w:rPr>
        <w:t>年的绿化养护，每年应当反馈苗木的现状信息卡（表）。绿化养护必须由相对固定且具有一定专业技能的人员来承担，中标人应严格按照投标文件中人员配备承诺向招标人上报管理人员的联系方式等，以便于绿化管理。</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1.2  中标方应具有绿化养护工作必须的工具和设备，以及固定的办公场所。如办公场所需招标人提供，招标人将以租赁形式提供。</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1.3  养护后的绿地应环境整洁美观、绿地无杂草、病虫害及枯枝败叶等垃圾，植物生长旺盛，绿化设施及景观设施完好。</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2、养护要求</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2.1灌溉：中标人应确保所浇的水不含任何污染物；应派专人进行绿化灌溉，节约用水，灌溉时必须要有人巡守，严禁发生跑水事故；绿化灌溉要一次浇透，浇水水流不能过急，土壤板结的绿地应进行松土，以防止地表径流；绿地严禁长时间积水,应及时排除，以避免造成水涝；绿地灌溉应根据不同的环境条件、季节差异和植物生长情况确定浇水量，一般要求每月灌溉3次以上，绿地表层2—3厘米深度的土壤干燥时马上进行灌溉。</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2.2病虫害防治：中标人应按照行业规范作好养护范围内所有树木春秋两季的树木涂白，要求涂白茬口整齐一致。做好植物病虫害的预测和防治工作，并及时上报疫情，以保证对植物不发生危害。</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2.3 施肥</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2.3.1植物种植前要求中标人对绿地施放基肥，各类绿地应以施放有机肥为主，有机肥应腐熟后施用;</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2.3.2追肥要求：花卉、草坪及色块在5月份、6月份两个月，每月应追肥二次，7月份追肥一次、9月底追肥一次，一个生长季共追肥6次，要求按尿素3kg/亩施肥.次、复合肥3kg/亩.次进行追肥，9月份追肥是要求只追施过磷酸钙，按5kg/亩施肥。胸径10cm以上树木要求每年7-8月份追有机肥一次，每株按0.01M3的标准进行环施。</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2.4  修剪：中标人应对养护范围内的行道树、花灌木、绿篱色块、草坪等植物进行修剪、行道树注重对枯死枝、病虫枝、扭伤枝进行修剪，剪口应在剪口芽的后侧呈45度倾斜，剪口要平整，涂抹保护剂。绿篱、地被修剪应促其分枝，并保证色块色带线条整齐、图案清晰、绿篱新芽长度超过修剪线条10cm必须进行修剪。</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2.5植物保护：每年的过冬，均需对行道树进行抗冻处理（根际培土、主干包扎），并在树木休眠期内，进行扶正。对树体上出现的伤口应清理后用药剂消毒，涂保护剂或抹灰膏，做到早治，防止扩大；做好乔木抗风暴的预防工作，根据树木的实际情况，采取立支柱、绑扎、加土、扶正、梳枝等措施。</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2.6对于树木自生成长或对其修剪出现的枯枝败柳要及时</w:t>
      </w:r>
      <w:r>
        <w:rPr>
          <w:rFonts w:hint="eastAsia" w:ascii="宋体" w:hAnsi="宋体" w:cs="宋体"/>
          <w:sz w:val="24"/>
          <w:highlight w:val="none"/>
          <w:lang w:val="en-US" w:eastAsia="zh-CN"/>
        </w:rPr>
        <w:t>清理</w:t>
      </w:r>
      <w:r>
        <w:rPr>
          <w:rFonts w:hint="eastAsia" w:ascii="宋体" w:hAnsi="宋体" w:eastAsia="宋体" w:cs="宋体"/>
          <w:sz w:val="24"/>
          <w:highlight w:val="none"/>
        </w:rPr>
        <w:t>。</w:t>
      </w:r>
    </w:p>
    <w:p>
      <w:pPr>
        <w:spacing w:line="360" w:lineRule="auto"/>
        <w:rPr>
          <w:rFonts w:hint="eastAsia" w:ascii="宋体" w:hAnsi="宋体" w:eastAsia="宋体" w:cs="宋体"/>
          <w:b/>
          <w:sz w:val="24"/>
          <w:highlight w:val="none"/>
        </w:rPr>
      </w:pPr>
      <w:r>
        <w:rPr>
          <w:rFonts w:hint="eastAsia" w:ascii="宋体" w:hAnsi="宋体" w:cs="宋体"/>
          <w:b/>
          <w:sz w:val="24"/>
          <w:highlight w:val="none"/>
          <w:lang w:val="en-US" w:eastAsia="zh-CN"/>
        </w:rPr>
        <w:t>四</w:t>
      </w:r>
      <w:r>
        <w:rPr>
          <w:rFonts w:hint="eastAsia" w:ascii="宋体" w:hAnsi="宋体" w:eastAsia="宋体" w:cs="宋体"/>
          <w:b/>
          <w:sz w:val="24"/>
          <w:highlight w:val="none"/>
        </w:rPr>
        <w:t>、招标要求：</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1、投标方必须充分考虑与其他相关分包单位间的配合及协调工作，投标报价中应充分考虑施工过程中所需的水、电、住宿、仓储及安全文明措施等及与相关专业分包 的配合、协调工作及必需的各项费用，政府规定所需的报监、检测，申报办理相关手续，申请相关证件，相关验收等等的费用，并规避由此给业主造成不必要的损失。</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2、投标方应提供施工组织设计，明确项目经理人选，提供相应的资质证书或工程业绩证明。</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3、投标方按招标文件要求进行投标，均被视为各投标方同意对业主最终选择的中标方，不是以投标最低价，而是以综合评定最优为标准，确定中标方。</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4、</w:t>
      </w:r>
      <w:bookmarkStart w:id="91" w:name="_Hlk532467053"/>
      <w:r>
        <w:rPr>
          <w:rFonts w:hint="eastAsia" w:ascii="宋体" w:hAnsi="宋体" w:eastAsia="宋体" w:cs="宋体"/>
          <w:sz w:val="24"/>
          <w:highlight w:val="none"/>
        </w:rPr>
        <w:t>各投标方应根据招标方提供的图纸，认真计算后将设备列明清单，清 单应列明产品品名、型号、生产厂家、产地、数量、单价、总价，报价中如有漏（少）算设备将视为投标方的让利行为，风险由投标方承担，本清单将作为工程变更造成的设备数量增减时或采购备品备件时的价格依据；</w:t>
      </w:r>
      <w:bookmarkEnd w:id="91"/>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5、凡涉及触犯或涉嫌触犯任何专利物品的程序或发明的专利权而使业主蒙受索赔偿、诉讼、 赔偿等的费用和支出，均由投标方承担，并承担由此引起的一切法律责任。</w:t>
      </w:r>
    </w:p>
    <w:p>
      <w:pPr>
        <w:spacing w:line="360" w:lineRule="auto"/>
        <w:rPr>
          <w:rFonts w:hint="eastAsia" w:ascii="宋体" w:hAnsi="宋体" w:eastAsia="宋体" w:cs="宋体"/>
          <w:sz w:val="24"/>
          <w:highlight w:val="none"/>
        </w:rPr>
      </w:pPr>
      <w:r>
        <w:rPr>
          <w:rFonts w:hint="eastAsia" w:ascii="宋体" w:hAnsi="宋体" w:eastAsia="宋体" w:cs="宋体"/>
          <w:sz w:val="24"/>
          <w:highlight w:val="none"/>
        </w:rPr>
        <w:t>6、本项目资料的编制必须满足档案馆及相关归档的要求。</w:t>
      </w:r>
    </w:p>
    <w:p>
      <w:pPr>
        <w:spacing w:line="360" w:lineRule="auto"/>
        <w:rPr>
          <w:rFonts w:hint="eastAsia" w:ascii="宋体" w:hAnsi="宋体" w:eastAsia="宋体" w:cs="宋体"/>
          <w:sz w:val="24"/>
          <w:highlight w:val="none"/>
        </w:rPr>
      </w:pPr>
    </w:p>
    <w:p>
      <w:pPr>
        <w:widowControl/>
        <w:jc w:val="left"/>
        <w:rPr>
          <w:rFonts w:hint="eastAsia" w:ascii="宋体" w:hAnsi="宋体" w:eastAsia="宋体" w:cs="宋体"/>
          <w:b/>
          <w:sz w:val="24"/>
          <w:szCs w:val="24"/>
          <w:highlight w:val="none"/>
        </w:rPr>
      </w:pPr>
      <w:r>
        <w:rPr>
          <w:rFonts w:hint="eastAsia" w:ascii="宋体" w:hAnsi="宋体" w:eastAsia="宋体" w:cs="宋体"/>
          <w:b/>
          <w:sz w:val="24"/>
          <w:szCs w:val="24"/>
          <w:highlight w:val="none"/>
        </w:rPr>
        <w:br w:type="page"/>
      </w:r>
    </w:p>
    <w:p>
      <w:pPr>
        <w:spacing w:line="400" w:lineRule="exact"/>
        <w:jc w:val="center"/>
        <w:outlineLvl w:val="0"/>
        <w:rPr>
          <w:rFonts w:hint="eastAsia" w:ascii="宋体" w:hAnsi="宋体" w:eastAsia="宋体" w:cs="宋体"/>
          <w:b/>
          <w:sz w:val="24"/>
          <w:szCs w:val="24"/>
          <w:highlight w:val="none"/>
        </w:rPr>
      </w:pPr>
      <w:bookmarkStart w:id="92" w:name="_Toc23264"/>
      <w:r>
        <w:rPr>
          <w:rFonts w:hint="eastAsia" w:ascii="宋体" w:hAnsi="宋体" w:eastAsia="宋体" w:cs="宋体"/>
          <w:b/>
          <w:sz w:val="24"/>
          <w:szCs w:val="24"/>
          <w:highlight w:val="none"/>
        </w:rPr>
        <w:t>第六章 政府采购中小企业政策</w:t>
      </w:r>
      <w:bookmarkEnd w:id="92"/>
    </w:p>
    <w:p>
      <w:pPr>
        <w:spacing w:after="120" w:afterLines="50" w:line="300" w:lineRule="exact"/>
        <w:ind w:firstLine="480" w:firstLineChars="200"/>
        <w:rPr>
          <w:rFonts w:hint="eastAsia" w:ascii="宋体" w:hAnsi="宋体" w:eastAsia="宋体" w:cs="宋体"/>
          <w:sz w:val="24"/>
          <w:highlight w:val="none"/>
        </w:rPr>
      </w:pPr>
    </w:p>
    <w:p>
      <w:pPr>
        <w:spacing w:after="120" w:afterLines="50" w:line="3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根据《政府采购促进中小企业发展管理办法》，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符合下列情形的，享受中小企业扶持政策：</w:t>
      </w:r>
    </w:p>
    <w:p>
      <w:pPr>
        <w:spacing w:after="120" w:afterLines="50" w:line="3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（一）在货物采购项目中，货物由中小企业制造，即货物由中小企业生产且使用该中小企业商号或者注册商标；</w:t>
      </w:r>
    </w:p>
    <w:p>
      <w:pPr>
        <w:spacing w:after="120" w:afterLines="50" w:line="3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（二）在工程采购项目中，工程由中小企业承建，即工程施工单位为中小企业；</w:t>
      </w:r>
    </w:p>
    <w:p>
      <w:pPr>
        <w:spacing w:after="120" w:afterLines="50" w:line="3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（三）在服务采购项目中，服务由中小企业承接，即提供服务的人员为中小企业依照《中华人民共和国劳动合同法》订立劳动合同的从业人员。 在货物采购项目中，供应商提供的货物既有中小企业制造货物，也有大型企业制造货物的，不享受本办法规定的中小企业扶持政策。</w:t>
      </w:r>
    </w:p>
    <w:p>
      <w:pPr>
        <w:widowControl/>
        <w:ind w:firstLine="720" w:firstLineChars="300"/>
        <w:jc w:val="left"/>
        <w:rPr>
          <w:rFonts w:hint="eastAsia" w:ascii="宋体" w:hAnsi="宋体" w:eastAsia="宋体" w:cs="宋体"/>
          <w:sz w:val="24"/>
          <w:highlight w:val="none"/>
        </w:rPr>
      </w:pPr>
      <w:r>
        <w:rPr>
          <w:rFonts w:hint="eastAsia" w:ascii="宋体" w:hAnsi="宋体" w:eastAsia="宋体" w:cs="宋体"/>
          <w:sz w:val="24"/>
          <w:highlight w:val="none"/>
        </w:rPr>
        <w:t>以联合体形式参加政府采购活动，联合体各方均为中小企业的，联合体视同中小企业。其中，联合体各方均为小微企业的，联合体视同小微企业。</w:t>
      </w:r>
    </w:p>
    <w:p>
      <w:pPr>
        <w:widowControl/>
        <w:ind w:firstLine="723" w:firstLineChars="300"/>
        <w:jc w:val="left"/>
        <w:rPr>
          <w:rFonts w:hint="eastAsia" w:ascii="宋体" w:hAnsi="宋体" w:eastAsia="宋体" w:cs="宋体"/>
          <w:b/>
          <w:sz w:val="24"/>
          <w:szCs w:val="24"/>
          <w:highlight w:val="none"/>
        </w:rPr>
      </w:pPr>
    </w:p>
    <w:p>
      <w:pPr>
        <w:widowControl/>
        <w:ind w:firstLine="723" w:firstLineChars="300"/>
        <w:jc w:val="left"/>
        <w:rPr>
          <w:rFonts w:hint="eastAsia" w:ascii="宋体" w:hAnsi="宋体" w:eastAsia="宋体" w:cs="宋体"/>
          <w:b/>
          <w:sz w:val="24"/>
          <w:szCs w:val="24"/>
          <w:highlight w:val="none"/>
        </w:rPr>
      </w:pPr>
      <w:r>
        <w:rPr>
          <w:rFonts w:hint="eastAsia" w:ascii="宋体" w:hAnsi="宋体" w:eastAsia="宋体" w:cs="宋体"/>
          <w:b/>
          <w:sz w:val="24"/>
          <w:szCs w:val="24"/>
          <w:highlight w:val="none"/>
        </w:rPr>
        <w:t>附：中小企业声明函</w:t>
      </w:r>
    </w:p>
    <w:p>
      <w:pPr>
        <w:widowControl/>
        <w:jc w:val="left"/>
        <w:rPr>
          <w:rFonts w:hint="eastAsia" w:ascii="宋体" w:hAnsi="宋体" w:eastAsia="宋体" w:cs="宋体"/>
          <w:b/>
          <w:sz w:val="24"/>
          <w:szCs w:val="24"/>
          <w:highlight w:val="none"/>
        </w:rPr>
      </w:pPr>
      <w:r>
        <w:rPr>
          <w:rFonts w:hint="eastAsia" w:ascii="宋体" w:hAnsi="宋体" w:eastAsia="宋体" w:cs="宋体"/>
          <w:b/>
          <w:sz w:val="24"/>
          <w:szCs w:val="24"/>
          <w:highlight w:val="none"/>
        </w:rPr>
        <w:br w:type="page"/>
      </w:r>
    </w:p>
    <w:p>
      <w:pPr>
        <w:widowControl/>
        <w:jc w:val="left"/>
        <w:rPr>
          <w:rFonts w:hint="eastAsia" w:ascii="宋体" w:hAnsi="宋体" w:eastAsia="宋体" w:cs="宋体"/>
          <w:b/>
          <w:sz w:val="24"/>
          <w:szCs w:val="24"/>
          <w:highlight w:val="none"/>
        </w:rPr>
      </w:pPr>
    </w:p>
    <w:p>
      <w:pPr>
        <w:spacing w:after="120" w:afterLines="50" w:line="300" w:lineRule="exact"/>
        <w:jc w:val="center"/>
        <w:rPr>
          <w:rFonts w:hint="eastAsia" w:ascii="宋体" w:hAnsi="宋体" w:eastAsia="宋体" w:cs="宋体"/>
          <w:b/>
          <w:sz w:val="24"/>
          <w:highlight w:val="none"/>
        </w:rPr>
      </w:pPr>
      <w:r>
        <w:rPr>
          <w:rFonts w:hint="eastAsia" w:ascii="宋体" w:hAnsi="宋体" w:eastAsia="宋体" w:cs="宋体"/>
          <w:b/>
          <w:sz w:val="24"/>
          <w:highlight w:val="none"/>
        </w:rPr>
        <w:t>中小企业声明函</w:t>
      </w:r>
    </w:p>
    <w:p>
      <w:pPr>
        <w:spacing w:after="120" w:afterLines="50" w:line="300" w:lineRule="exact"/>
        <w:jc w:val="center"/>
        <w:rPr>
          <w:rFonts w:hint="eastAsia" w:ascii="宋体" w:hAnsi="宋体" w:eastAsia="宋体" w:cs="宋体"/>
          <w:b/>
          <w:sz w:val="24"/>
          <w:highlight w:val="none"/>
          <w:u w:val="single"/>
        </w:rPr>
      </w:pPr>
      <w:r>
        <w:rPr>
          <w:rFonts w:hint="eastAsia" w:ascii="宋体" w:hAnsi="宋体" w:eastAsia="宋体" w:cs="宋体"/>
          <w:b/>
          <w:sz w:val="24"/>
          <w:highlight w:val="none"/>
          <w:u w:val="single"/>
        </w:rPr>
        <w:t>（投标单位应如实填写中小企业声明函并放置于投标文件商务标中）</w:t>
      </w:r>
    </w:p>
    <w:p>
      <w:pPr>
        <w:spacing w:after="120" w:afterLines="50" w:line="300" w:lineRule="exact"/>
        <w:jc w:val="center"/>
        <w:rPr>
          <w:rFonts w:hint="eastAsia" w:ascii="宋体" w:hAnsi="宋体" w:eastAsia="宋体" w:cs="宋体"/>
          <w:b/>
          <w:sz w:val="24"/>
          <w:highlight w:val="none"/>
          <w:u w:val="single"/>
        </w:rPr>
      </w:pPr>
    </w:p>
    <w:p>
      <w:pPr>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本公司（联合体）郑重声明，根据《政府采购促进中小企业发展管理办法》（财库﹝2020﹞46 号）的规定，本公司（联合体）参加</w:t>
      </w:r>
      <w:r>
        <w:rPr>
          <w:rFonts w:hint="eastAsia" w:ascii="宋体" w:hAnsi="宋体" w:eastAsia="宋体" w:cs="宋体"/>
          <w:i/>
          <w:iCs/>
          <w:kern w:val="0"/>
          <w:sz w:val="24"/>
          <w:highlight w:val="none"/>
          <w:u w:val="single"/>
        </w:rPr>
        <w:t>（单位名称）</w:t>
      </w:r>
      <w:r>
        <w:rPr>
          <w:rFonts w:hint="eastAsia" w:ascii="宋体" w:hAnsi="宋体" w:eastAsia="宋体" w:cs="宋体"/>
          <w:kern w:val="0"/>
          <w:sz w:val="24"/>
          <w:highlight w:val="none"/>
        </w:rPr>
        <w:t>的</w:t>
      </w:r>
      <w:r>
        <w:rPr>
          <w:rFonts w:hint="eastAsia" w:ascii="宋体" w:hAnsi="宋体" w:eastAsia="宋体" w:cs="宋体"/>
          <w:i/>
          <w:iCs/>
          <w:kern w:val="0"/>
          <w:sz w:val="24"/>
          <w:highlight w:val="none"/>
          <w:u w:val="single"/>
        </w:rPr>
        <w:t>（项目名称）</w:t>
      </w:r>
      <w:r>
        <w:rPr>
          <w:rFonts w:hint="eastAsia" w:ascii="宋体" w:hAnsi="宋体" w:eastAsia="宋体" w:cs="宋体"/>
          <w:kern w:val="0"/>
          <w:sz w:val="24"/>
          <w:highlight w:val="none"/>
        </w:rPr>
        <w:t>采购活动，工程的施工单位全部由符合政策要求的中小企业承接。相关企业（含联合体中的中小企业、签订分包意向协议的中小企业）的具体情况如下：</w:t>
      </w:r>
    </w:p>
    <w:p>
      <w:pPr>
        <w:tabs>
          <w:tab w:val="right" w:pos="8740"/>
        </w:tabs>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 xml:space="preserve">1. </w:t>
      </w:r>
      <w:r>
        <w:rPr>
          <w:rFonts w:hint="eastAsia" w:ascii="宋体" w:hAnsi="宋体" w:eastAsia="宋体" w:cs="宋体"/>
          <w:i/>
          <w:iCs/>
          <w:kern w:val="0"/>
          <w:sz w:val="24"/>
          <w:highlight w:val="none"/>
          <w:u w:val="single"/>
        </w:rPr>
        <w:t>（标的名称）</w:t>
      </w:r>
      <w:r>
        <w:rPr>
          <w:rFonts w:hint="eastAsia" w:ascii="宋体" w:hAnsi="宋体" w:eastAsia="宋体" w:cs="宋体"/>
          <w:kern w:val="0"/>
          <w:sz w:val="24"/>
          <w:highlight w:val="none"/>
        </w:rPr>
        <w:t>，属于</w:t>
      </w:r>
      <w:r>
        <w:rPr>
          <w:rFonts w:hint="eastAsia" w:ascii="宋体" w:hAnsi="宋体" w:eastAsia="宋体" w:cs="宋体"/>
          <w:i/>
          <w:iCs/>
          <w:kern w:val="0"/>
          <w:sz w:val="24"/>
          <w:highlight w:val="none"/>
          <w:u w:val="single"/>
        </w:rPr>
        <w:t>（采购文件中明确的所属行业）</w:t>
      </w:r>
      <w:r>
        <w:rPr>
          <w:rFonts w:hint="eastAsia" w:ascii="宋体" w:hAnsi="宋体" w:eastAsia="宋体" w:cs="宋体"/>
          <w:kern w:val="0"/>
          <w:sz w:val="24"/>
          <w:highlight w:val="none"/>
        </w:rPr>
        <w:t>；承建（承接）企业为</w:t>
      </w:r>
      <w:r>
        <w:rPr>
          <w:rFonts w:hint="eastAsia" w:ascii="宋体" w:hAnsi="宋体" w:eastAsia="宋体" w:cs="宋体"/>
          <w:i/>
          <w:iCs/>
          <w:kern w:val="0"/>
          <w:sz w:val="24"/>
          <w:highlight w:val="none"/>
          <w:u w:val="single"/>
        </w:rPr>
        <w:t>（企业名称）</w:t>
      </w:r>
      <w:r>
        <w:rPr>
          <w:rFonts w:hint="eastAsia" w:ascii="宋体" w:hAnsi="宋体" w:eastAsia="宋体" w:cs="宋体"/>
          <w:kern w:val="0"/>
          <w:sz w:val="24"/>
          <w:highlight w:val="none"/>
        </w:rPr>
        <w:t>，从业人员</w:t>
      </w:r>
      <w:r>
        <w:rPr>
          <w:rFonts w:hint="eastAsia" w:ascii="宋体" w:hAnsi="宋体" w:eastAsia="宋体" w:cs="宋体"/>
          <w:kern w:val="0"/>
          <w:sz w:val="24"/>
          <w:highlight w:val="none"/>
          <w:u w:val="single"/>
        </w:rPr>
        <w:t xml:space="preserve">    </w:t>
      </w:r>
      <w:r>
        <w:rPr>
          <w:rFonts w:hint="eastAsia" w:ascii="宋体" w:hAnsi="宋体" w:eastAsia="宋体" w:cs="宋体"/>
          <w:kern w:val="0"/>
          <w:sz w:val="24"/>
          <w:highlight w:val="none"/>
        </w:rPr>
        <w:t>人，营业 收入为</w:t>
      </w:r>
      <w:r>
        <w:rPr>
          <w:rFonts w:hint="eastAsia" w:ascii="宋体" w:hAnsi="宋体" w:eastAsia="宋体" w:cs="宋体"/>
          <w:kern w:val="0"/>
          <w:sz w:val="24"/>
          <w:highlight w:val="none"/>
          <w:u w:val="single"/>
        </w:rPr>
        <w:t xml:space="preserve">    </w:t>
      </w:r>
      <w:r>
        <w:rPr>
          <w:rFonts w:hint="eastAsia" w:ascii="宋体" w:hAnsi="宋体" w:eastAsia="宋体" w:cs="宋体"/>
          <w:kern w:val="0"/>
          <w:sz w:val="24"/>
          <w:highlight w:val="none"/>
        </w:rPr>
        <w:t>万元，资产总额为</w:t>
      </w:r>
      <w:r>
        <w:rPr>
          <w:rFonts w:hint="eastAsia" w:ascii="宋体" w:hAnsi="宋体" w:eastAsia="宋体" w:cs="宋体"/>
          <w:kern w:val="0"/>
          <w:sz w:val="24"/>
          <w:highlight w:val="none"/>
          <w:u w:val="single"/>
        </w:rPr>
        <w:t xml:space="preserve">    </w:t>
      </w:r>
      <w:r>
        <w:rPr>
          <w:rFonts w:hint="eastAsia" w:ascii="宋体" w:hAnsi="宋体" w:eastAsia="宋体" w:cs="宋体"/>
          <w:kern w:val="0"/>
          <w:sz w:val="24"/>
          <w:highlight w:val="none"/>
        </w:rPr>
        <w:t>万元</w:t>
      </w:r>
      <w:r>
        <w:rPr>
          <w:rStyle w:val="63"/>
          <w:rFonts w:hint="eastAsia" w:ascii="宋体" w:hAnsi="宋体" w:eastAsia="宋体" w:cs="宋体"/>
          <w:kern w:val="0"/>
          <w:sz w:val="24"/>
          <w:highlight w:val="none"/>
        </w:rPr>
        <w:footnoteReference w:id="0"/>
      </w:r>
      <w:r>
        <w:rPr>
          <w:rFonts w:hint="eastAsia" w:ascii="宋体" w:hAnsi="宋体" w:eastAsia="宋体" w:cs="宋体"/>
          <w:kern w:val="0"/>
          <w:sz w:val="24"/>
          <w:highlight w:val="none"/>
        </w:rPr>
        <w:t>，属于</w:t>
      </w:r>
      <w:r>
        <w:rPr>
          <w:rFonts w:hint="eastAsia" w:ascii="宋体" w:hAnsi="宋体" w:eastAsia="宋体" w:cs="宋体"/>
          <w:i/>
          <w:iCs/>
          <w:kern w:val="0"/>
          <w:sz w:val="24"/>
          <w:highlight w:val="none"/>
          <w:u w:val="single"/>
        </w:rPr>
        <w:t>（中型企业、小型企业、微型企业）</w:t>
      </w:r>
      <w:r>
        <w:rPr>
          <w:rFonts w:hint="eastAsia" w:ascii="宋体" w:hAnsi="宋体" w:eastAsia="宋体" w:cs="宋体"/>
          <w:kern w:val="0"/>
          <w:sz w:val="24"/>
          <w:highlight w:val="none"/>
        </w:rPr>
        <w:t>；</w:t>
      </w:r>
    </w:p>
    <w:p>
      <w:pPr>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 xml:space="preserve">2. </w:t>
      </w:r>
      <w:r>
        <w:rPr>
          <w:rFonts w:hint="eastAsia" w:ascii="宋体" w:hAnsi="宋体" w:eastAsia="宋体" w:cs="宋体"/>
          <w:i/>
          <w:iCs/>
          <w:kern w:val="0"/>
          <w:sz w:val="24"/>
          <w:highlight w:val="none"/>
          <w:u w:val="single"/>
        </w:rPr>
        <w:t>（标的名称）</w:t>
      </w:r>
      <w:r>
        <w:rPr>
          <w:rFonts w:hint="eastAsia" w:ascii="宋体" w:hAnsi="宋体" w:eastAsia="宋体" w:cs="宋体"/>
          <w:kern w:val="0"/>
          <w:sz w:val="24"/>
          <w:highlight w:val="none"/>
        </w:rPr>
        <w:t>，属于</w:t>
      </w:r>
      <w:r>
        <w:rPr>
          <w:rFonts w:hint="eastAsia" w:ascii="宋体" w:hAnsi="宋体" w:eastAsia="宋体" w:cs="宋体"/>
          <w:i/>
          <w:iCs/>
          <w:kern w:val="0"/>
          <w:sz w:val="24"/>
          <w:highlight w:val="none"/>
          <w:u w:val="single"/>
        </w:rPr>
        <w:t>（采购文件中明确的所属行业</w:t>
      </w:r>
      <w:r>
        <w:rPr>
          <w:rFonts w:hint="eastAsia" w:ascii="宋体" w:hAnsi="宋体" w:eastAsia="宋体" w:cs="宋体"/>
          <w:kern w:val="0"/>
          <w:sz w:val="24"/>
          <w:highlight w:val="none"/>
          <w:u w:val="single"/>
        </w:rPr>
        <w:t>）</w:t>
      </w:r>
      <w:r>
        <w:rPr>
          <w:rFonts w:hint="eastAsia" w:ascii="宋体" w:hAnsi="宋体" w:eastAsia="宋体" w:cs="宋体"/>
          <w:kern w:val="0"/>
          <w:sz w:val="24"/>
          <w:highlight w:val="none"/>
        </w:rPr>
        <w:t>； 承建（承接）企业为</w:t>
      </w:r>
      <w:r>
        <w:rPr>
          <w:rFonts w:hint="eastAsia" w:ascii="宋体" w:hAnsi="宋体" w:eastAsia="宋体" w:cs="宋体"/>
          <w:i/>
          <w:iCs/>
          <w:kern w:val="0"/>
          <w:sz w:val="24"/>
          <w:highlight w:val="none"/>
          <w:u w:val="single"/>
        </w:rPr>
        <w:t>（企业名称）</w:t>
      </w:r>
      <w:r>
        <w:rPr>
          <w:rFonts w:hint="eastAsia" w:ascii="宋体" w:hAnsi="宋体" w:eastAsia="宋体" w:cs="宋体"/>
          <w:kern w:val="0"/>
          <w:sz w:val="24"/>
          <w:highlight w:val="none"/>
        </w:rPr>
        <w:t>，从业人员</w:t>
      </w:r>
      <w:r>
        <w:rPr>
          <w:rFonts w:hint="eastAsia" w:ascii="宋体" w:hAnsi="宋体" w:eastAsia="宋体" w:cs="宋体"/>
          <w:kern w:val="0"/>
          <w:sz w:val="24"/>
          <w:highlight w:val="none"/>
          <w:u w:val="single"/>
        </w:rPr>
        <w:t xml:space="preserve">    </w:t>
      </w:r>
      <w:r>
        <w:rPr>
          <w:rFonts w:hint="eastAsia" w:ascii="宋体" w:hAnsi="宋体" w:eastAsia="宋体" w:cs="宋体"/>
          <w:kern w:val="0"/>
          <w:sz w:val="24"/>
          <w:highlight w:val="none"/>
        </w:rPr>
        <w:t>人，营业收入为</w:t>
      </w:r>
      <w:r>
        <w:rPr>
          <w:rFonts w:hint="eastAsia" w:ascii="宋体" w:hAnsi="宋体" w:eastAsia="宋体" w:cs="宋体"/>
          <w:kern w:val="0"/>
          <w:sz w:val="24"/>
          <w:highlight w:val="none"/>
          <w:u w:val="single"/>
        </w:rPr>
        <w:t xml:space="preserve">   </w:t>
      </w:r>
      <w:r>
        <w:rPr>
          <w:rFonts w:hint="eastAsia" w:ascii="宋体" w:hAnsi="宋体" w:eastAsia="宋体" w:cs="宋体"/>
          <w:kern w:val="0"/>
          <w:sz w:val="24"/>
          <w:highlight w:val="none"/>
        </w:rPr>
        <w:t>万元，资产总额为</w:t>
      </w:r>
      <w:r>
        <w:rPr>
          <w:rFonts w:hint="eastAsia" w:ascii="宋体" w:hAnsi="宋体" w:eastAsia="宋体" w:cs="宋体"/>
          <w:kern w:val="0"/>
          <w:sz w:val="24"/>
          <w:highlight w:val="none"/>
          <w:u w:val="single"/>
        </w:rPr>
        <w:t xml:space="preserve">   </w:t>
      </w:r>
      <w:r>
        <w:rPr>
          <w:rFonts w:hint="eastAsia" w:ascii="宋体" w:hAnsi="宋体" w:eastAsia="宋体" w:cs="宋体"/>
          <w:kern w:val="0"/>
          <w:sz w:val="24"/>
          <w:highlight w:val="none"/>
          <w:u w:val="single"/>
        </w:rPr>
        <w:tab/>
      </w:r>
      <w:r>
        <w:rPr>
          <w:rFonts w:hint="eastAsia" w:ascii="宋体" w:hAnsi="宋体" w:eastAsia="宋体" w:cs="宋体"/>
          <w:kern w:val="0"/>
          <w:sz w:val="24"/>
          <w:highlight w:val="none"/>
        </w:rPr>
        <w:t>万元，属于</w:t>
      </w:r>
      <w:r>
        <w:rPr>
          <w:rFonts w:hint="eastAsia" w:ascii="宋体" w:hAnsi="宋体" w:eastAsia="宋体" w:cs="宋体"/>
          <w:i/>
          <w:iCs/>
          <w:kern w:val="0"/>
          <w:sz w:val="24"/>
          <w:highlight w:val="none"/>
          <w:u w:val="single"/>
        </w:rPr>
        <w:t>（中型企业、小型企业、微型企业）</w:t>
      </w:r>
      <w:r>
        <w:rPr>
          <w:rFonts w:hint="eastAsia" w:ascii="宋体" w:hAnsi="宋体" w:eastAsia="宋体" w:cs="宋体"/>
          <w:kern w:val="0"/>
          <w:sz w:val="24"/>
          <w:highlight w:val="none"/>
        </w:rPr>
        <w:t>；</w:t>
      </w:r>
    </w:p>
    <w:p>
      <w:pPr>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 xml:space="preserve">…… </w:t>
      </w:r>
    </w:p>
    <w:p>
      <w:pPr>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以上企业，不属于大企业的分支机构，不存在控股股东为大企业的情形，也不存在与大企业的负责人为同一人的情形。</w:t>
      </w:r>
    </w:p>
    <w:p>
      <w:pPr>
        <w:spacing w:line="360" w:lineRule="auto"/>
        <w:ind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本企业对上述声明内容的真实性负责。如有虚假，将依法承担相应责任。</w:t>
      </w:r>
    </w:p>
    <w:p>
      <w:pPr>
        <w:spacing w:line="360" w:lineRule="auto"/>
        <w:ind w:firstLine="3600" w:firstLineChars="15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企业名称（盖章）：</w:t>
      </w:r>
    </w:p>
    <w:p>
      <w:pPr>
        <w:spacing w:line="360" w:lineRule="auto"/>
        <w:ind w:firstLine="3600" w:firstLineChars="15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日 期：</w:t>
      </w:r>
    </w:p>
    <w:p>
      <w:pPr>
        <w:spacing w:after="120" w:afterLines="50" w:line="300" w:lineRule="exact"/>
        <w:ind w:left="3360" w:leftChars="1600"/>
        <w:rPr>
          <w:rFonts w:hint="eastAsia" w:ascii="宋体" w:hAnsi="宋体" w:eastAsia="宋体" w:cs="宋体"/>
          <w:sz w:val="24"/>
          <w:highlight w:val="none"/>
        </w:rPr>
      </w:pPr>
    </w:p>
    <w:p>
      <w:pPr>
        <w:spacing w:after="120" w:afterLines="50" w:line="300" w:lineRule="exact"/>
        <w:ind w:left="3360" w:leftChars="1600"/>
        <w:rPr>
          <w:rFonts w:hint="eastAsia" w:ascii="宋体" w:hAnsi="宋体" w:eastAsia="宋体" w:cs="宋体"/>
          <w:sz w:val="24"/>
          <w:highlight w:val="none"/>
        </w:rPr>
      </w:pPr>
    </w:p>
    <w:p>
      <w:pPr>
        <w:spacing w:after="120" w:afterLines="50" w:line="300" w:lineRule="exact"/>
        <w:ind w:left="3360" w:leftChars="1600"/>
        <w:rPr>
          <w:rFonts w:hint="eastAsia" w:ascii="宋体" w:hAnsi="宋体" w:eastAsia="宋体" w:cs="宋体"/>
          <w:sz w:val="24"/>
          <w:highlight w:val="none"/>
        </w:rPr>
      </w:pPr>
    </w:p>
    <w:p>
      <w:pPr>
        <w:adjustRightInd w:val="0"/>
        <w:snapToGrid w:val="0"/>
        <w:spacing w:line="36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（1）从业人员、营业收入、资产总额填报上一年度数据，无上一年度数据的新成立企业可不填报。</w:t>
      </w:r>
    </w:p>
    <w:p>
      <w:pPr>
        <w:adjustRightInd w:val="0"/>
        <w:snapToGrid w:val="0"/>
        <w:spacing w:line="36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2）本声明函适用于所有在中国境内依法设立的各类所有制和各种组织形式的企业。事业单位、团体组织等非企业性质的政府采购供应商，不属于中小企业划型标准确定的中小企业，不得按《关于印发中小企业划型标准规定的通知》规定声明为中小微企业，也不适用《政府采购促进中小企业发展管理办法》。</w:t>
      </w:r>
    </w:p>
    <w:p>
      <w:pPr>
        <w:adjustRightInd w:val="0"/>
        <w:snapToGrid w:val="0"/>
        <w:spacing w:line="36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 xml:space="preserve">（3）中标、成交供应商享受本办法规定的中小企业扶持政策的，采购人、采购代理机构将随中标、成交结果公开中标、成交供应商的《中小企业声明函》。 </w:t>
      </w:r>
    </w:p>
    <w:p>
      <w:pPr>
        <w:adjustRightInd w:val="0"/>
        <w:snapToGrid w:val="0"/>
        <w:spacing w:line="36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（4）依据《管理办法》第二十条 供应商按照本办法规定提供声明函内容不实的，属于提供虚假材料谋取中标、成交，依照《中华人民共和国政府采购法》等国家有关规定追究相应责任。</w:t>
      </w:r>
    </w:p>
    <w:p>
      <w:pPr>
        <w:adjustRightInd w:val="0"/>
        <w:snapToGrid w:val="0"/>
        <w:spacing w:line="36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（5）工业和信息化部组织开发了中小企业规模类型自测小程序，并于2020年2月27日上线运行，在国务院客户端和工业和信息化部网站上均有链接，供各投标企业自查。</w:t>
      </w:r>
    </w:p>
    <w:p>
      <w:pPr>
        <w:adjustRightInd w:val="0"/>
        <w:snapToGrid w:val="0"/>
        <w:spacing w:line="360" w:lineRule="auto"/>
        <w:ind w:firstLine="420" w:firstLineChars="200"/>
        <w:rPr>
          <w:rFonts w:hint="eastAsia" w:ascii="宋体" w:hAnsi="宋体" w:eastAsia="宋体" w:cs="宋体"/>
          <w:kern w:val="0"/>
          <w:szCs w:val="21"/>
          <w:highlight w:val="none"/>
        </w:rPr>
      </w:pPr>
    </w:p>
    <w:p>
      <w:pPr>
        <w:widowControl/>
        <w:jc w:val="left"/>
        <w:rPr>
          <w:rFonts w:hint="eastAsia" w:ascii="宋体" w:hAnsi="宋体" w:eastAsia="宋体" w:cs="宋体"/>
          <w:b/>
          <w:sz w:val="24"/>
          <w:szCs w:val="24"/>
          <w:highlight w:val="none"/>
        </w:rPr>
      </w:pPr>
      <w:bookmarkStart w:id="93" w:name="OLE_LINK38"/>
      <w:r>
        <w:rPr>
          <w:rFonts w:hint="eastAsia" w:ascii="宋体" w:hAnsi="宋体" w:eastAsia="宋体" w:cs="宋体"/>
          <w:sz w:val="18"/>
          <w:szCs w:val="18"/>
          <w:highlight w:val="none"/>
        </w:rPr>
        <w:t>注：各行业划型标准：</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（一）农、林、牧、渔业。营业收入20000万元以下的为中小微型企业。其中，营业收入500万元及以上的为中型企业，营业收入50万元及以上的为小型企业，营业收入50万元以下的为微型企业。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r>
        <w:rPr>
          <w:rFonts w:hint="eastAsia" w:ascii="宋体" w:hAnsi="宋体" w:eastAsia="宋体" w:cs="宋体"/>
          <w:sz w:val="18"/>
          <w:szCs w:val="18"/>
          <w:highlight w:val="none"/>
        </w:rPr>
        <w:br w:type="textWrapping"/>
      </w:r>
      <w:r>
        <w:rPr>
          <w:rFonts w:hint="eastAsia" w:ascii="宋体" w:hAnsi="宋体" w:eastAsia="宋体" w:cs="宋体"/>
          <w:sz w:val="18"/>
          <w:szCs w:val="18"/>
          <w:highlight w:val="none"/>
        </w:rPr>
        <w:t>　　（十六）其他未列明行业。从业人员300人以下的为中小微型企业。其中，从业人员100人及以上的为中型企业；从业人员10人及以上的为小型企业；从业人员10人以下的为微型企业。</w:t>
      </w:r>
      <w:bookmarkEnd w:id="93"/>
    </w:p>
    <w:p>
      <w:pPr>
        <w:widowControl/>
        <w:jc w:val="left"/>
        <w:rPr>
          <w:rFonts w:hint="eastAsia" w:ascii="宋体" w:hAnsi="宋体" w:eastAsia="宋体" w:cs="宋体"/>
          <w:b/>
          <w:sz w:val="24"/>
          <w:szCs w:val="24"/>
          <w:highlight w:val="none"/>
        </w:rPr>
      </w:pPr>
    </w:p>
    <w:p>
      <w:pPr>
        <w:spacing w:line="400" w:lineRule="exact"/>
        <w:jc w:val="center"/>
        <w:outlineLvl w:val="0"/>
        <w:rPr>
          <w:rFonts w:hint="eastAsia" w:ascii="宋体" w:hAnsi="宋体" w:eastAsia="宋体" w:cs="宋体"/>
          <w:b/>
          <w:sz w:val="24"/>
          <w:szCs w:val="24"/>
          <w:highlight w:val="none"/>
        </w:rPr>
      </w:pPr>
      <w:bookmarkStart w:id="94" w:name="_Toc7829"/>
      <w:r>
        <w:rPr>
          <w:rFonts w:hint="eastAsia" w:ascii="宋体" w:hAnsi="宋体" w:eastAsia="宋体" w:cs="宋体"/>
          <w:b/>
          <w:sz w:val="24"/>
          <w:szCs w:val="24"/>
          <w:highlight w:val="none"/>
        </w:rPr>
        <w:t>第七章  附  件</w:t>
      </w:r>
      <w:bookmarkEnd w:id="94"/>
    </w:p>
    <w:p>
      <w:pPr>
        <w:pStyle w:val="4"/>
        <w:rPr>
          <w:rFonts w:hint="eastAsia" w:ascii="宋体" w:hAnsi="宋体" w:eastAsia="宋体" w:cs="宋体"/>
          <w:b w:val="0"/>
          <w:sz w:val="28"/>
          <w:szCs w:val="28"/>
          <w:highlight w:val="none"/>
        </w:rPr>
      </w:pPr>
      <w:bookmarkStart w:id="95" w:name="_Toc20486524"/>
      <w:r>
        <w:rPr>
          <w:rFonts w:hint="eastAsia" w:ascii="宋体" w:hAnsi="宋体" w:eastAsia="宋体" w:cs="宋体"/>
          <w:b w:val="0"/>
          <w:bCs w:val="0"/>
          <w:sz w:val="28"/>
          <w:szCs w:val="28"/>
          <w:highlight w:val="none"/>
        </w:rPr>
        <w:t>一、商务标</w:t>
      </w:r>
      <w:bookmarkEnd w:id="95"/>
    </w:p>
    <w:p>
      <w:pPr>
        <w:spacing w:before="240" w:beforeLines="100" w:line="360" w:lineRule="auto"/>
        <w:jc w:val="center"/>
        <w:outlineLvl w:val="3"/>
        <w:rPr>
          <w:rFonts w:hint="eastAsia" w:ascii="宋体" w:hAnsi="宋体" w:eastAsia="宋体" w:cs="宋体"/>
          <w:szCs w:val="21"/>
          <w:highlight w:val="none"/>
        </w:rPr>
      </w:pPr>
      <w:bookmarkStart w:id="96" w:name="_Toc364679632"/>
      <w:r>
        <w:rPr>
          <w:rFonts w:hint="eastAsia" w:ascii="宋体" w:hAnsi="宋体" w:eastAsia="宋体" w:cs="宋体"/>
          <w:szCs w:val="21"/>
          <w:highlight w:val="none"/>
        </w:rPr>
        <w:t>（一）投 标 承 诺 书（2013版）</w:t>
      </w:r>
      <w:bookmarkEnd w:id="96"/>
    </w:p>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（本承诺书装订于投标文件首页）</w:t>
      </w:r>
    </w:p>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本公司承诺：</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遵循公开、公平、公正和诚实守信的原则，参加</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项目的投标。</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一、不提供有违真实的材料。</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二、不与招标人或其他投标人串通投标，损害国家利益、社会利益或他人的合法权益。</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三、不向招标人或评标委员会成员行贿，以谋取中标。</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四、不以他人名义投标或者其他方式弄虚作假，骗取中标。</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五、不进行缺乏事实根据或者法律依据的投诉。</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六、不在投标中哄抬价格或恶意压价。</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七、不违反相关法律法规，注册建造师不同时在两个及两个以上的建设项目上担任施工项目负责人。</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八、遵守国家和本市安全、质量有关法律法规和规范性文件中关于质量员、安全员的数量和人选的相关规定。</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九、加强对分包和劳务分包管理，对所分包工程的安全、质量和进度承担责任，不拖欠农民工工资，按时将分包合同报行政部门备案。</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十、按照招标文件规定及合同约定，执行合理的施工工期。</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十一、保证建筑材料符合相关标准和设计要求，不使用未经检测或者检测质量不合格的建筑材料。</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十二、近三年本企业及法定代表人、拟委托的项目负责人无行贿犯罪行为。</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十三、本公司若违反本投标承诺，愿承担相应的法律责任。</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十四、其他承诺：</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w:t>
      </w:r>
    </w:p>
    <w:p>
      <w:pPr>
        <w:spacing w:line="360" w:lineRule="auto"/>
        <w:ind w:firstLine="2100" w:firstLineChars="1000"/>
        <w:rPr>
          <w:rFonts w:hint="eastAsia" w:ascii="宋体" w:hAnsi="宋体" w:eastAsia="宋体" w:cs="宋体"/>
          <w:szCs w:val="21"/>
          <w:highlight w:val="none"/>
        </w:rPr>
      </w:pPr>
    </w:p>
    <w:p>
      <w:pPr>
        <w:spacing w:line="360" w:lineRule="auto"/>
        <w:ind w:firstLine="2100" w:firstLineChars="1000"/>
        <w:rPr>
          <w:rFonts w:hint="eastAsia" w:ascii="宋体" w:hAnsi="宋体" w:eastAsia="宋体" w:cs="宋体"/>
          <w:szCs w:val="21"/>
          <w:highlight w:val="none"/>
        </w:rPr>
      </w:pPr>
      <w:r>
        <w:rPr>
          <w:rFonts w:hint="eastAsia" w:ascii="宋体" w:hAnsi="宋体" w:eastAsia="宋体" w:cs="宋体"/>
          <w:szCs w:val="21"/>
          <w:highlight w:val="none"/>
        </w:rPr>
        <w:t>投标人（单位公章）：</w:t>
      </w:r>
      <w:r>
        <w:rPr>
          <w:rFonts w:hint="eastAsia" w:ascii="宋体" w:hAnsi="宋体" w:eastAsia="宋体" w:cs="宋体"/>
          <w:szCs w:val="21"/>
          <w:highlight w:val="none"/>
          <w:u w:val="single"/>
        </w:rPr>
        <w:t xml:space="preserve">                                      </w:t>
      </w:r>
    </w:p>
    <w:p>
      <w:pPr>
        <w:spacing w:line="360" w:lineRule="auto"/>
        <w:ind w:firstLine="2100" w:firstLineChars="1000"/>
        <w:rPr>
          <w:rFonts w:hint="eastAsia" w:ascii="宋体" w:hAnsi="宋体" w:eastAsia="宋体" w:cs="宋体"/>
          <w:szCs w:val="21"/>
          <w:highlight w:val="none"/>
        </w:rPr>
      </w:pPr>
      <w:r>
        <w:rPr>
          <w:rFonts w:hint="eastAsia" w:ascii="宋体" w:hAnsi="宋体" w:eastAsia="宋体" w:cs="宋体"/>
          <w:szCs w:val="21"/>
          <w:highlight w:val="none"/>
        </w:rPr>
        <w:t>法定代表人（签字或盖章）：</w:t>
      </w:r>
      <w:r>
        <w:rPr>
          <w:rFonts w:hint="eastAsia" w:ascii="宋体" w:hAnsi="宋体" w:eastAsia="宋体" w:cs="宋体"/>
          <w:szCs w:val="21"/>
          <w:highlight w:val="none"/>
          <w:u w:val="single"/>
        </w:rPr>
        <w:t xml:space="preserve">                                </w:t>
      </w:r>
    </w:p>
    <w:p>
      <w:pPr>
        <w:spacing w:line="360" w:lineRule="auto"/>
        <w:ind w:firstLine="2100" w:firstLineChars="1000"/>
        <w:rPr>
          <w:rFonts w:hint="eastAsia" w:ascii="宋体" w:hAnsi="宋体" w:eastAsia="宋体" w:cs="宋体"/>
          <w:szCs w:val="21"/>
          <w:highlight w:val="none"/>
        </w:rPr>
      </w:pPr>
      <w:r>
        <w:rPr>
          <w:rFonts w:hint="eastAsia" w:ascii="宋体" w:hAnsi="宋体" w:eastAsia="宋体" w:cs="宋体"/>
          <w:szCs w:val="21"/>
          <w:highlight w:val="none"/>
        </w:rPr>
        <w:t>拟任项目负责人（签字并盖章并盖执业章）：</w:t>
      </w:r>
      <w:r>
        <w:rPr>
          <w:rFonts w:hint="eastAsia" w:ascii="宋体" w:hAnsi="宋体" w:eastAsia="宋体" w:cs="宋体"/>
          <w:szCs w:val="21"/>
          <w:highlight w:val="none"/>
          <w:u w:val="single"/>
        </w:rPr>
        <w:t xml:space="preserve">                    </w:t>
      </w:r>
    </w:p>
    <w:p>
      <w:pPr>
        <w:spacing w:line="360" w:lineRule="auto"/>
        <w:ind w:firstLine="2100" w:firstLineChars="1000"/>
        <w:rPr>
          <w:rFonts w:hint="eastAsia" w:ascii="宋体" w:hAnsi="宋体" w:eastAsia="宋体" w:cs="宋体"/>
          <w:szCs w:val="21"/>
          <w:highlight w:val="none"/>
          <w:u w:val="single"/>
        </w:rPr>
      </w:pPr>
      <w:r>
        <w:rPr>
          <w:rFonts w:hint="eastAsia" w:ascii="宋体" w:hAnsi="宋体" w:eastAsia="宋体" w:cs="宋体"/>
          <w:szCs w:val="21"/>
          <w:highlight w:val="none"/>
        </w:rPr>
        <w:t>拟任项目负责人手机：</w:t>
      </w:r>
      <w:r>
        <w:rPr>
          <w:rFonts w:hint="eastAsia" w:ascii="宋体" w:hAnsi="宋体" w:eastAsia="宋体" w:cs="宋体"/>
          <w:szCs w:val="21"/>
          <w:highlight w:val="none"/>
          <w:u w:val="single"/>
        </w:rPr>
        <w:t xml:space="preserve">                                       </w:t>
      </w:r>
    </w:p>
    <w:p>
      <w:pPr>
        <w:spacing w:line="360" w:lineRule="auto"/>
        <w:ind w:left="5460" w:leftChars="2550" w:hanging="105" w:hangingChars="50"/>
        <w:jc w:val="left"/>
        <w:rPr>
          <w:rFonts w:hint="eastAsia" w:ascii="宋体" w:hAnsi="宋体" w:eastAsia="宋体" w:cs="宋体"/>
          <w:szCs w:val="21"/>
          <w:highlight w:val="none"/>
        </w:rPr>
      </w:pPr>
      <w:r>
        <w:rPr>
          <w:rFonts w:hint="eastAsia" w:ascii="宋体" w:hAnsi="宋体" w:eastAsia="宋体" w:cs="宋体"/>
          <w:szCs w:val="21"/>
          <w:highlight w:val="none"/>
        </w:rPr>
        <w:t xml:space="preserve">  </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年</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月</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日</w:t>
      </w:r>
    </w:p>
    <w:p>
      <w:pPr>
        <w:spacing w:before="240" w:beforeLines="100" w:line="360" w:lineRule="auto"/>
        <w:jc w:val="center"/>
        <w:outlineLvl w:val="9"/>
        <w:rPr>
          <w:rFonts w:hint="eastAsia" w:ascii="宋体" w:hAnsi="宋体" w:eastAsia="宋体" w:cs="宋体"/>
          <w:szCs w:val="21"/>
          <w:highlight w:val="none"/>
        </w:rPr>
      </w:pPr>
      <w:bookmarkStart w:id="97" w:name="_Toc364679633"/>
    </w:p>
    <w:p>
      <w:pPr>
        <w:spacing w:before="240" w:beforeLines="100" w:line="360" w:lineRule="auto"/>
        <w:jc w:val="center"/>
        <w:outlineLvl w:val="3"/>
        <w:rPr>
          <w:rFonts w:hint="eastAsia" w:ascii="宋体" w:hAnsi="宋体" w:eastAsia="宋体" w:cs="宋体"/>
          <w:szCs w:val="21"/>
          <w:highlight w:val="none"/>
        </w:rPr>
      </w:pPr>
      <w:r>
        <w:rPr>
          <w:rFonts w:hint="eastAsia" w:ascii="宋体" w:hAnsi="宋体" w:eastAsia="宋体" w:cs="宋体"/>
          <w:szCs w:val="21"/>
          <w:highlight w:val="none"/>
        </w:rPr>
        <w:t>（二）投标函</w:t>
      </w:r>
      <w:bookmarkEnd w:id="97"/>
    </w:p>
    <w:p>
      <w:pPr>
        <w:spacing w:before="240" w:beforeLines="100" w:line="360" w:lineRule="auto"/>
        <w:jc w:val="center"/>
        <w:rPr>
          <w:rFonts w:hint="eastAsia" w:ascii="宋体" w:hAnsi="宋体" w:eastAsia="宋体" w:cs="宋体"/>
          <w:szCs w:val="21"/>
          <w:highlight w:val="none"/>
        </w:rPr>
      </w:pPr>
    </w:p>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致：</w:t>
      </w:r>
      <w:r>
        <w:rPr>
          <w:rFonts w:hint="eastAsia" w:ascii="宋体" w:hAnsi="宋体" w:eastAsia="宋体" w:cs="宋体"/>
          <w:szCs w:val="21"/>
          <w:highlight w:val="none"/>
          <w:u w:val="single"/>
        </w:rPr>
        <w:t xml:space="preserve">        （招标人名称）          </w:t>
      </w:r>
    </w:p>
    <w:p>
      <w:pPr>
        <w:spacing w:line="360" w:lineRule="auto"/>
        <w:ind w:firstLine="420" w:firstLineChars="200"/>
        <w:rPr>
          <w:rFonts w:hint="eastAsia" w:ascii="宋体" w:hAnsi="宋体" w:eastAsia="宋体" w:cs="宋体"/>
          <w:szCs w:val="21"/>
          <w:highlight w:val="none"/>
        </w:rPr>
      </w:pP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在考察现场并充分研究</w:t>
      </w:r>
      <w:r>
        <w:rPr>
          <w:rFonts w:hint="eastAsia" w:ascii="宋体" w:hAnsi="宋体" w:eastAsia="宋体" w:cs="宋体"/>
          <w:szCs w:val="21"/>
          <w:highlight w:val="none"/>
          <w:u w:val="single"/>
        </w:rPr>
        <w:t xml:space="preserve">         （项目名称）        </w:t>
      </w:r>
      <w:r>
        <w:rPr>
          <w:rFonts w:hint="eastAsia" w:ascii="宋体" w:hAnsi="宋体" w:eastAsia="宋体" w:cs="宋体"/>
          <w:szCs w:val="21"/>
          <w:highlight w:val="none"/>
        </w:rPr>
        <w:t>（</w:t>
      </w:r>
      <w:r>
        <w:rPr>
          <w:rFonts w:hint="eastAsia" w:ascii="宋体" w:hAnsi="宋体" w:eastAsia="宋体" w:cs="宋体"/>
          <w:szCs w:val="21"/>
          <w:highlight w:val="none"/>
          <w:u w:val="single"/>
        </w:rPr>
        <w:t>报建编号及标段号</w:t>
      </w:r>
      <w:r>
        <w:rPr>
          <w:rFonts w:hint="eastAsia" w:ascii="宋体" w:hAnsi="宋体" w:eastAsia="宋体" w:cs="宋体"/>
          <w:szCs w:val="21"/>
          <w:highlight w:val="none"/>
        </w:rPr>
        <w:t>）（以下简称“本工程”）施工招标文件的全部内容后，我方兹以本投标函附录A所载明的投标总价和按合同约定有权得到的其它金额，并严格按照合同约定，施工、竣工和交付本工程并维修其中的任何缺陷。</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如果我方中标，我方保证在</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年</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月</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日或按照合同约定的开工日期开始本工程的施工，投标函附录A载明的工期内竣工，并确保工程质量达到投标函附录A载明的质量标准。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随本投标函提交的投标函附录A、附录B是本投标函的组成部分，对我方构成约束力。</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随同本投标函提交投标保证金一份，金额为（大写）：</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元（</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元）。</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在签署协议书之前，你方的中标通知书连同本投标函，包括投标函附录A、附录B，对双方具有约束力。</w:t>
      </w:r>
    </w:p>
    <w:p>
      <w:pPr>
        <w:spacing w:line="360" w:lineRule="auto"/>
        <w:ind w:firstLine="3150" w:firstLineChars="1500"/>
        <w:rPr>
          <w:rFonts w:hint="eastAsia" w:ascii="宋体" w:hAnsi="宋体" w:eastAsia="宋体" w:cs="宋体"/>
          <w:szCs w:val="21"/>
          <w:highlight w:val="none"/>
        </w:rPr>
      </w:pPr>
    </w:p>
    <w:p>
      <w:pPr>
        <w:spacing w:line="360" w:lineRule="auto"/>
        <w:ind w:firstLine="3150" w:firstLineChars="1500"/>
        <w:rPr>
          <w:rFonts w:hint="eastAsia" w:ascii="宋体" w:hAnsi="宋体" w:eastAsia="宋体" w:cs="宋体"/>
          <w:szCs w:val="21"/>
          <w:highlight w:val="none"/>
        </w:rPr>
      </w:pPr>
    </w:p>
    <w:p>
      <w:pPr>
        <w:spacing w:line="360" w:lineRule="auto"/>
        <w:ind w:firstLine="2625" w:firstLineChars="1250"/>
        <w:rPr>
          <w:rFonts w:hint="eastAsia" w:ascii="宋体" w:hAnsi="宋体" w:eastAsia="宋体" w:cs="宋体"/>
          <w:szCs w:val="21"/>
          <w:highlight w:val="none"/>
          <w:u w:val="single"/>
        </w:rPr>
      </w:pPr>
      <w:r>
        <w:rPr>
          <w:rFonts w:hint="eastAsia" w:ascii="宋体" w:hAnsi="宋体" w:eastAsia="宋体" w:cs="宋体"/>
          <w:szCs w:val="21"/>
          <w:highlight w:val="none"/>
        </w:rPr>
        <w:t>投标人：</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（单位公章）</w:t>
      </w:r>
    </w:p>
    <w:p>
      <w:pPr>
        <w:spacing w:line="360" w:lineRule="auto"/>
        <w:ind w:firstLine="2625" w:firstLineChars="1250"/>
        <w:rPr>
          <w:rFonts w:hint="eastAsia" w:ascii="宋体" w:hAnsi="宋体" w:eastAsia="宋体" w:cs="宋体"/>
          <w:szCs w:val="21"/>
          <w:highlight w:val="none"/>
        </w:rPr>
      </w:pPr>
      <w:r>
        <w:rPr>
          <w:rFonts w:hint="eastAsia" w:ascii="宋体" w:hAnsi="宋体" w:eastAsia="宋体" w:cs="宋体"/>
          <w:szCs w:val="21"/>
          <w:highlight w:val="none"/>
        </w:rPr>
        <w:t>法定代表人或其委托代理人：</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（签字或盖章）</w:t>
      </w:r>
    </w:p>
    <w:p>
      <w:pPr>
        <w:spacing w:line="360" w:lineRule="auto"/>
        <w:ind w:firstLine="6090" w:firstLineChars="2900"/>
        <w:rPr>
          <w:rFonts w:hint="eastAsia" w:ascii="宋体" w:hAnsi="宋体" w:eastAsia="宋体" w:cs="宋体"/>
          <w:szCs w:val="21"/>
          <w:highlight w:val="none"/>
          <w:u w:val="single"/>
        </w:rPr>
      </w:pPr>
    </w:p>
    <w:p>
      <w:pPr>
        <w:spacing w:line="360" w:lineRule="auto"/>
        <w:ind w:firstLine="5565" w:firstLineChars="2650"/>
        <w:rPr>
          <w:rFonts w:hint="eastAsia" w:ascii="宋体" w:hAnsi="宋体" w:eastAsia="宋体" w:cs="宋体"/>
          <w:szCs w:val="21"/>
          <w:highlight w:val="none"/>
        </w:rPr>
      </w:pP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年</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月</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日</w:t>
      </w:r>
    </w:p>
    <w:p>
      <w:pPr>
        <w:spacing w:line="360" w:lineRule="auto"/>
        <w:rPr>
          <w:rFonts w:hint="eastAsia" w:ascii="宋体" w:hAnsi="宋体" w:eastAsia="宋体" w:cs="宋体"/>
          <w:szCs w:val="21"/>
          <w:highlight w:val="none"/>
          <w:u w:val="single"/>
        </w:rPr>
      </w:pPr>
    </w:p>
    <w:p>
      <w:pPr>
        <w:spacing w:line="360" w:lineRule="auto"/>
        <w:rPr>
          <w:rFonts w:hint="eastAsia" w:ascii="宋体" w:hAnsi="宋体" w:eastAsia="宋体" w:cs="宋体"/>
          <w:szCs w:val="21"/>
          <w:highlight w:val="none"/>
          <w:u w:val="single"/>
        </w:rPr>
        <w:sectPr>
          <w:pgSz w:w="11906" w:h="16838"/>
          <w:pgMar w:top="1440" w:right="1644" w:bottom="1440" w:left="1797" w:header="851" w:footer="992" w:gutter="0"/>
          <w:pgNumType w:fmt="decimal"/>
          <w:cols w:space="720" w:num="1"/>
          <w:docGrid w:linePitch="312" w:charSpace="0"/>
        </w:sectPr>
      </w:pPr>
    </w:p>
    <w:p>
      <w:pPr>
        <w:spacing w:before="240" w:beforeLines="100" w:line="360" w:lineRule="auto"/>
        <w:jc w:val="center"/>
        <w:outlineLvl w:val="3"/>
        <w:rPr>
          <w:rFonts w:hint="eastAsia" w:ascii="宋体" w:hAnsi="宋体" w:eastAsia="宋体" w:cs="宋体"/>
          <w:b/>
          <w:szCs w:val="21"/>
          <w:highlight w:val="none"/>
          <w:u w:val="single"/>
        </w:rPr>
      </w:pPr>
      <w:bookmarkStart w:id="98" w:name="_Toc364679634"/>
      <w:r>
        <w:rPr>
          <w:rFonts w:hint="eastAsia" w:ascii="宋体" w:hAnsi="宋体" w:eastAsia="宋体" w:cs="宋体"/>
          <w:szCs w:val="21"/>
          <w:highlight w:val="none"/>
        </w:rPr>
        <w:t>投标函附录A：上海市建设工程施工投标标书情况汇总表</w:t>
      </w:r>
      <w:bookmarkEnd w:id="98"/>
    </w:p>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建设工程名称：</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 报建编号及标段号 ）</w:t>
      </w:r>
      <w:r>
        <w:rPr>
          <w:rFonts w:hint="eastAsia" w:ascii="宋体" w:hAnsi="宋体" w:eastAsia="宋体" w:cs="宋体"/>
          <w:szCs w:val="21"/>
          <w:highlight w:val="none"/>
          <w:u w:val="single"/>
        </w:rPr>
        <w:t xml:space="preserve">  /   </w:t>
      </w:r>
      <w:r>
        <w:rPr>
          <w:rFonts w:hint="eastAsia" w:ascii="宋体" w:hAnsi="宋体" w:eastAsia="宋体" w:cs="宋体"/>
          <w:szCs w:val="21"/>
          <w:highlight w:val="none"/>
        </w:rPr>
        <w:t xml:space="preserve">          建筑面积：</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平方米</w:t>
      </w:r>
    </w:p>
    <w:tbl>
      <w:tblPr>
        <w:tblStyle w:val="54"/>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36"/>
        <w:gridCol w:w="746"/>
        <w:gridCol w:w="1486"/>
        <w:gridCol w:w="1105"/>
        <w:gridCol w:w="1377"/>
        <w:gridCol w:w="1487"/>
        <w:gridCol w:w="1772"/>
        <w:gridCol w:w="1241"/>
        <w:gridCol w:w="1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2936" w:type="dxa"/>
            <w:vMerge w:val="restart"/>
            <w:vAlign w:val="center"/>
          </w:tcPr>
          <w:p>
            <w:pPr>
              <w:spacing w:line="360"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单位工程名称</w:t>
            </w:r>
          </w:p>
        </w:tc>
        <w:tc>
          <w:tcPr>
            <w:tcW w:w="7973" w:type="dxa"/>
            <w:gridSpan w:val="6"/>
            <w:vAlign w:val="center"/>
          </w:tcPr>
          <w:p>
            <w:pPr>
              <w:spacing w:line="360"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报   价（万元）</w:t>
            </w:r>
          </w:p>
        </w:tc>
        <w:tc>
          <w:tcPr>
            <w:tcW w:w="1241" w:type="dxa"/>
            <w:vMerge w:val="restart"/>
            <w:vAlign w:val="center"/>
          </w:tcPr>
          <w:p>
            <w:pPr>
              <w:spacing w:line="360" w:lineRule="auto"/>
              <w:jc w:val="center"/>
              <w:rPr>
                <w:rFonts w:hint="eastAsia" w:ascii="宋体" w:hAnsi="宋体" w:eastAsia="宋体" w:cs="宋体"/>
                <w:b/>
                <w:bCs/>
                <w:szCs w:val="21"/>
                <w:highlight w:val="none"/>
              </w:rPr>
            </w:pPr>
          </w:p>
        </w:tc>
        <w:tc>
          <w:tcPr>
            <w:tcW w:w="1691" w:type="dxa"/>
            <w:vMerge w:val="restart"/>
            <w:vAlign w:val="center"/>
          </w:tcPr>
          <w:p>
            <w:pPr>
              <w:spacing w:line="360"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1" w:hRule="atLeast"/>
        </w:trPr>
        <w:tc>
          <w:tcPr>
            <w:tcW w:w="2936" w:type="dxa"/>
            <w:vMerge w:val="continue"/>
            <w:vAlign w:val="center"/>
          </w:tcPr>
          <w:p>
            <w:pPr>
              <w:spacing w:line="360" w:lineRule="auto"/>
              <w:rPr>
                <w:rFonts w:hint="eastAsia" w:ascii="宋体" w:hAnsi="宋体" w:eastAsia="宋体" w:cs="宋体"/>
                <w:b/>
                <w:bCs/>
                <w:szCs w:val="21"/>
                <w:highlight w:val="none"/>
              </w:rPr>
            </w:pPr>
          </w:p>
        </w:tc>
        <w:tc>
          <w:tcPr>
            <w:tcW w:w="746" w:type="dxa"/>
            <w:vMerge w:val="restart"/>
            <w:vAlign w:val="center"/>
          </w:tcPr>
          <w:p>
            <w:pPr>
              <w:spacing w:line="360"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总计</w:t>
            </w:r>
          </w:p>
        </w:tc>
        <w:tc>
          <w:tcPr>
            <w:tcW w:w="7227" w:type="dxa"/>
            <w:gridSpan w:val="5"/>
            <w:vAlign w:val="center"/>
          </w:tcPr>
          <w:p>
            <w:pPr>
              <w:spacing w:line="360"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其中</w:t>
            </w:r>
          </w:p>
        </w:tc>
        <w:tc>
          <w:tcPr>
            <w:tcW w:w="1241" w:type="dxa"/>
            <w:vMerge w:val="continue"/>
            <w:vAlign w:val="center"/>
          </w:tcPr>
          <w:p>
            <w:pPr>
              <w:spacing w:line="360" w:lineRule="auto"/>
              <w:jc w:val="center"/>
              <w:rPr>
                <w:rFonts w:hint="eastAsia" w:ascii="宋体" w:hAnsi="宋体" w:eastAsia="宋体" w:cs="宋体"/>
                <w:b/>
                <w:bCs/>
                <w:szCs w:val="21"/>
                <w:highlight w:val="none"/>
              </w:rPr>
            </w:pPr>
          </w:p>
        </w:tc>
        <w:tc>
          <w:tcPr>
            <w:tcW w:w="1691" w:type="dxa"/>
            <w:vMerge w:val="continue"/>
            <w:vAlign w:val="center"/>
          </w:tcPr>
          <w:p>
            <w:pPr>
              <w:spacing w:line="360" w:lineRule="auto"/>
              <w:jc w:val="center"/>
              <w:rPr>
                <w:rFonts w:hint="eastAsia" w:ascii="宋体" w:hAnsi="宋体" w:eastAsia="宋体" w:cs="宋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9" w:hRule="atLeast"/>
        </w:trPr>
        <w:tc>
          <w:tcPr>
            <w:tcW w:w="2936" w:type="dxa"/>
            <w:vMerge w:val="continue"/>
            <w:vAlign w:val="center"/>
          </w:tcPr>
          <w:p>
            <w:pPr>
              <w:spacing w:line="360" w:lineRule="auto"/>
              <w:rPr>
                <w:rFonts w:hint="eastAsia" w:ascii="宋体" w:hAnsi="宋体" w:eastAsia="宋体" w:cs="宋体"/>
                <w:b/>
                <w:bCs/>
                <w:szCs w:val="21"/>
                <w:highlight w:val="none"/>
              </w:rPr>
            </w:pPr>
          </w:p>
        </w:tc>
        <w:tc>
          <w:tcPr>
            <w:tcW w:w="746" w:type="dxa"/>
            <w:vMerge w:val="continue"/>
            <w:vAlign w:val="center"/>
          </w:tcPr>
          <w:p>
            <w:pPr>
              <w:spacing w:line="360" w:lineRule="auto"/>
              <w:jc w:val="center"/>
              <w:rPr>
                <w:rFonts w:hint="eastAsia" w:ascii="宋体" w:hAnsi="宋体" w:eastAsia="宋体" w:cs="宋体"/>
                <w:b/>
                <w:bCs/>
                <w:szCs w:val="21"/>
                <w:highlight w:val="none"/>
              </w:rPr>
            </w:pPr>
          </w:p>
        </w:tc>
        <w:tc>
          <w:tcPr>
            <w:tcW w:w="1486" w:type="dxa"/>
            <w:vAlign w:val="center"/>
          </w:tcPr>
          <w:p>
            <w:pPr>
              <w:spacing w:line="360"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分部分项工程量报价</w:t>
            </w:r>
          </w:p>
        </w:tc>
        <w:tc>
          <w:tcPr>
            <w:tcW w:w="1105" w:type="dxa"/>
            <w:vAlign w:val="center"/>
          </w:tcPr>
          <w:p>
            <w:pPr>
              <w:spacing w:line="360"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其他项目报价</w:t>
            </w:r>
          </w:p>
        </w:tc>
        <w:tc>
          <w:tcPr>
            <w:tcW w:w="1377" w:type="dxa"/>
            <w:vAlign w:val="center"/>
          </w:tcPr>
          <w:p>
            <w:pPr>
              <w:spacing w:line="360"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措施费报价</w:t>
            </w:r>
          </w:p>
        </w:tc>
        <w:tc>
          <w:tcPr>
            <w:tcW w:w="1487" w:type="dxa"/>
            <w:vAlign w:val="center"/>
          </w:tcPr>
          <w:p>
            <w:pPr>
              <w:spacing w:line="360"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规费项目报价</w:t>
            </w:r>
          </w:p>
        </w:tc>
        <w:tc>
          <w:tcPr>
            <w:tcW w:w="1772" w:type="dxa"/>
            <w:vAlign w:val="center"/>
          </w:tcPr>
          <w:p>
            <w:pPr>
              <w:spacing w:line="360"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增值税项目报价</w:t>
            </w:r>
          </w:p>
        </w:tc>
        <w:tc>
          <w:tcPr>
            <w:tcW w:w="1241" w:type="dxa"/>
            <w:vMerge w:val="continue"/>
            <w:vAlign w:val="center"/>
          </w:tcPr>
          <w:p>
            <w:pPr>
              <w:spacing w:line="360" w:lineRule="auto"/>
              <w:jc w:val="center"/>
              <w:rPr>
                <w:rFonts w:hint="eastAsia" w:ascii="宋体" w:hAnsi="宋体" w:eastAsia="宋体" w:cs="宋体"/>
                <w:b/>
                <w:bCs/>
                <w:szCs w:val="21"/>
                <w:highlight w:val="none"/>
              </w:rPr>
            </w:pPr>
          </w:p>
        </w:tc>
        <w:tc>
          <w:tcPr>
            <w:tcW w:w="1691" w:type="dxa"/>
            <w:vMerge w:val="continue"/>
            <w:vAlign w:val="center"/>
          </w:tcPr>
          <w:p>
            <w:pPr>
              <w:spacing w:line="360" w:lineRule="auto"/>
              <w:jc w:val="center"/>
              <w:rPr>
                <w:rFonts w:hint="eastAsia" w:ascii="宋体" w:hAnsi="宋体" w:eastAsia="宋体" w:cs="宋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2936" w:type="dxa"/>
          </w:tcPr>
          <w:p>
            <w:pPr>
              <w:spacing w:line="360" w:lineRule="auto"/>
              <w:rPr>
                <w:rFonts w:hint="eastAsia" w:ascii="宋体" w:hAnsi="宋体" w:eastAsia="宋体" w:cs="宋体"/>
                <w:szCs w:val="21"/>
                <w:highlight w:val="none"/>
              </w:rPr>
            </w:pPr>
          </w:p>
        </w:tc>
        <w:tc>
          <w:tcPr>
            <w:tcW w:w="746" w:type="dxa"/>
          </w:tcPr>
          <w:p>
            <w:pPr>
              <w:spacing w:line="360" w:lineRule="auto"/>
              <w:rPr>
                <w:rFonts w:hint="eastAsia" w:ascii="宋体" w:hAnsi="宋体" w:eastAsia="宋体" w:cs="宋体"/>
                <w:b/>
                <w:bCs/>
                <w:szCs w:val="21"/>
                <w:highlight w:val="none"/>
              </w:rPr>
            </w:pPr>
          </w:p>
        </w:tc>
        <w:tc>
          <w:tcPr>
            <w:tcW w:w="1486" w:type="dxa"/>
          </w:tcPr>
          <w:p>
            <w:pPr>
              <w:spacing w:line="360" w:lineRule="auto"/>
              <w:rPr>
                <w:rFonts w:hint="eastAsia" w:ascii="宋体" w:hAnsi="宋体" w:eastAsia="宋体" w:cs="宋体"/>
                <w:b/>
                <w:bCs/>
                <w:szCs w:val="21"/>
                <w:highlight w:val="none"/>
              </w:rPr>
            </w:pPr>
          </w:p>
        </w:tc>
        <w:tc>
          <w:tcPr>
            <w:tcW w:w="1105" w:type="dxa"/>
          </w:tcPr>
          <w:p>
            <w:pPr>
              <w:spacing w:line="360" w:lineRule="auto"/>
              <w:rPr>
                <w:rFonts w:hint="eastAsia" w:ascii="宋体" w:hAnsi="宋体" w:eastAsia="宋体" w:cs="宋体"/>
                <w:b/>
                <w:bCs/>
                <w:szCs w:val="21"/>
                <w:highlight w:val="none"/>
              </w:rPr>
            </w:pPr>
          </w:p>
        </w:tc>
        <w:tc>
          <w:tcPr>
            <w:tcW w:w="1377" w:type="dxa"/>
          </w:tcPr>
          <w:p>
            <w:pPr>
              <w:spacing w:line="360" w:lineRule="auto"/>
              <w:jc w:val="center"/>
              <w:rPr>
                <w:rFonts w:hint="eastAsia" w:ascii="宋体" w:hAnsi="宋体" w:eastAsia="宋体" w:cs="宋体"/>
                <w:b/>
                <w:bCs/>
                <w:szCs w:val="21"/>
                <w:highlight w:val="none"/>
              </w:rPr>
            </w:pPr>
          </w:p>
        </w:tc>
        <w:tc>
          <w:tcPr>
            <w:tcW w:w="1487" w:type="dxa"/>
          </w:tcPr>
          <w:p>
            <w:pPr>
              <w:spacing w:line="360" w:lineRule="auto"/>
              <w:jc w:val="center"/>
              <w:rPr>
                <w:rFonts w:hint="eastAsia" w:ascii="宋体" w:hAnsi="宋体" w:eastAsia="宋体" w:cs="宋体"/>
                <w:b/>
                <w:bCs/>
                <w:szCs w:val="21"/>
                <w:highlight w:val="none"/>
              </w:rPr>
            </w:pPr>
          </w:p>
        </w:tc>
        <w:tc>
          <w:tcPr>
            <w:tcW w:w="1772" w:type="dxa"/>
          </w:tcPr>
          <w:p>
            <w:pPr>
              <w:spacing w:line="360" w:lineRule="auto"/>
              <w:jc w:val="center"/>
              <w:rPr>
                <w:rFonts w:hint="eastAsia" w:ascii="宋体" w:hAnsi="宋体" w:eastAsia="宋体" w:cs="宋体"/>
                <w:b/>
                <w:bCs/>
                <w:szCs w:val="21"/>
                <w:highlight w:val="none"/>
              </w:rPr>
            </w:pPr>
          </w:p>
        </w:tc>
        <w:tc>
          <w:tcPr>
            <w:tcW w:w="1241" w:type="dxa"/>
            <w:vMerge w:val="continue"/>
          </w:tcPr>
          <w:p>
            <w:pPr>
              <w:spacing w:line="360" w:lineRule="auto"/>
              <w:jc w:val="center"/>
              <w:rPr>
                <w:rFonts w:hint="eastAsia" w:ascii="宋体" w:hAnsi="宋体" w:eastAsia="宋体" w:cs="宋体"/>
                <w:b/>
                <w:bCs/>
                <w:szCs w:val="21"/>
                <w:highlight w:val="none"/>
              </w:rPr>
            </w:pPr>
          </w:p>
        </w:tc>
        <w:tc>
          <w:tcPr>
            <w:tcW w:w="1691" w:type="dxa"/>
            <w:vMerge w:val="continue"/>
          </w:tcPr>
          <w:p>
            <w:pPr>
              <w:spacing w:line="360" w:lineRule="auto"/>
              <w:jc w:val="center"/>
              <w:rPr>
                <w:rFonts w:hint="eastAsia" w:ascii="宋体" w:hAnsi="宋体" w:eastAsia="宋体" w:cs="宋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936" w:type="dxa"/>
          </w:tcPr>
          <w:p>
            <w:pPr>
              <w:spacing w:line="360" w:lineRule="auto"/>
              <w:rPr>
                <w:rFonts w:hint="eastAsia" w:ascii="宋体" w:hAnsi="宋体" w:eastAsia="宋体" w:cs="宋体"/>
                <w:b/>
                <w:bCs/>
                <w:szCs w:val="21"/>
                <w:highlight w:val="none"/>
              </w:rPr>
            </w:pPr>
            <w:r>
              <w:rPr>
                <w:rFonts w:hint="eastAsia" w:ascii="宋体" w:hAnsi="宋体" w:eastAsia="宋体" w:cs="宋体"/>
                <w:b/>
                <w:bCs/>
                <w:szCs w:val="21"/>
                <w:highlight w:val="none"/>
              </w:rPr>
              <w:t>合计</w:t>
            </w:r>
          </w:p>
        </w:tc>
        <w:tc>
          <w:tcPr>
            <w:tcW w:w="746" w:type="dxa"/>
          </w:tcPr>
          <w:p>
            <w:pPr>
              <w:spacing w:line="360" w:lineRule="auto"/>
              <w:rPr>
                <w:rFonts w:hint="eastAsia" w:ascii="宋体" w:hAnsi="宋体" w:eastAsia="宋体" w:cs="宋体"/>
                <w:b/>
                <w:bCs/>
                <w:szCs w:val="21"/>
                <w:highlight w:val="none"/>
              </w:rPr>
            </w:pPr>
          </w:p>
        </w:tc>
        <w:tc>
          <w:tcPr>
            <w:tcW w:w="1486" w:type="dxa"/>
          </w:tcPr>
          <w:p>
            <w:pPr>
              <w:spacing w:line="360" w:lineRule="auto"/>
              <w:rPr>
                <w:rFonts w:hint="eastAsia" w:ascii="宋体" w:hAnsi="宋体" w:eastAsia="宋体" w:cs="宋体"/>
                <w:b/>
                <w:bCs/>
                <w:szCs w:val="21"/>
                <w:highlight w:val="none"/>
              </w:rPr>
            </w:pPr>
          </w:p>
        </w:tc>
        <w:tc>
          <w:tcPr>
            <w:tcW w:w="1105" w:type="dxa"/>
          </w:tcPr>
          <w:p>
            <w:pPr>
              <w:spacing w:line="360" w:lineRule="auto"/>
              <w:rPr>
                <w:rFonts w:hint="eastAsia" w:ascii="宋体" w:hAnsi="宋体" w:eastAsia="宋体" w:cs="宋体"/>
                <w:b/>
                <w:bCs/>
                <w:szCs w:val="21"/>
                <w:highlight w:val="none"/>
              </w:rPr>
            </w:pPr>
          </w:p>
        </w:tc>
        <w:tc>
          <w:tcPr>
            <w:tcW w:w="1377" w:type="dxa"/>
          </w:tcPr>
          <w:p>
            <w:pPr>
              <w:spacing w:line="360" w:lineRule="auto"/>
              <w:jc w:val="center"/>
              <w:rPr>
                <w:rFonts w:hint="eastAsia" w:ascii="宋体" w:hAnsi="宋体" w:eastAsia="宋体" w:cs="宋体"/>
                <w:b/>
                <w:bCs/>
                <w:szCs w:val="21"/>
                <w:highlight w:val="none"/>
              </w:rPr>
            </w:pPr>
          </w:p>
        </w:tc>
        <w:tc>
          <w:tcPr>
            <w:tcW w:w="1487" w:type="dxa"/>
          </w:tcPr>
          <w:p>
            <w:pPr>
              <w:spacing w:line="360" w:lineRule="auto"/>
              <w:jc w:val="center"/>
              <w:rPr>
                <w:rFonts w:hint="eastAsia" w:ascii="宋体" w:hAnsi="宋体" w:eastAsia="宋体" w:cs="宋体"/>
                <w:b/>
                <w:bCs/>
                <w:szCs w:val="21"/>
                <w:highlight w:val="none"/>
              </w:rPr>
            </w:pPr>
          </w:p>
        </w:tc>
        <w:tc>
          <w:tcPr>
            <w:tcW w:w="1772" w:type="dxa"/>
          </w:tcPr>
          <w:p>
            <w:pPr>
              <w:spacing w:line="360" w:lineRule="auto"/>
              <w:jc w:val="center"/>
              <w:rPr>
                <w:rFonts w:hint="eastAsia" w:ascii="宋体" w:hAnsi="宋体" w:eastAsia="宋体" w:cs="宋体"/>
                <w:b/>
                <w:bCs/>
                <w:szCs w:val="21"/>
                <w:highlight w:val="none"/>
              </w:rPr>
            </w:pPr>
          </w:p>
        </w:tc>
        <w:tc>
          <w:tcPr>
            <w:tcW w:w="1241" w:type="dxa"/>
            <w:vMerge w:val="continue"/>
          </w:tcPr>
          <w:p>
            <w:pPr>
              <w:spacing w:line="360" w:lineRule="auto"/>
              <w:jc w:val="center"/>
              <w:rPr>
                <w:rFonts w:hint="eastAsia" w:ascii="宋体" w:hAnsi="宋体" w:eastAsia="宋体" w:cs="宋体"/>
                <w:b/>
                <w:bCs/>
                <w:szCs w:val="21"/>
                <w:highlight w:val="none"/>
              </w:rPr>
            </w:pPr>
          </w:p>
        </w:tc>
        <w:tc>
          <w:tcPr>
            <w:tcW w:w="1691" w:type="dxa"/>
            <w:vMerge w:val="continue"/>
          </w:tcPr>
          <w:p>
            <w:pPr>
              <w:spacing w:line="360" w:lineRule="auto"/>
              <w:jc w:val="center"/>
              <w:rPr>
                <w:rFonts w:hint="eastAsia" w:ascii="宋体" w:hAnsi="宋体" w:eastAsia="宋体" w:cs="宋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3841" w:type="dxa"/>
            <w:gridSpan w:val="9"/>
          </w:tcPr>
          <w:p>
            <w:pPr>
              <w:spacing w:line="288" w:lineRule="auto"/>
              <w:jc w:val="left"/>
              <w:rPr>
                <w:rFonts w:hint="eastAsia" w:ascii="宋体" w:hAnsi="宋体" w:eastAsia="宋体" w:cs="宋体"/>
                <w:b/>
                <w:bCs/>
                <w:szCs w:val="21"/>
                <w:highlight w:val="none"/>
              </w:rPr>
            </w:pPr>
            <w:r>
              <w:rPr>
                <w:rFonts w:hint="eastAsia" w:ascii="宋体" w:hAnsi="宋体" w:eastAsia="宋体" w:cs="宋体"/>
                <w:b/>
                <w:bCs/>
                <w:szCs w:val="21"/>
                <w:highlight w:val="none"/>
              </w:rPr>
              <w:t>备注：    1.总报价人民币大写；</w:t>
            </w:r>
          </w:p>
          <w:p>
            <w:pPr>
              <w:spacing w:line="288" w:lineRule="auto"/>
              <w:ind w:firstLine="1054" w:firstLineChars="500"/>
              <w:jc w:val="left"/>
              <w:rPr>
                <w:rFonts w:hint="eastAsia" w:ascii="宋体" w:hAnsi="宋体" w:eastAsia="宋体" w:cs="宋体"/>
                <w:b/>
                <w:bCs/>
                <w:szCs w:val="21"/>
                <w:highlight w:val="none"/>
              </w:rPr>
            </w:pPr>
            <w:r>
              <w:rPr>
                <w:rFonts w:hint="eastAsia" w:ascii="宋体" w:hAnsi="宋体" w:eastAsia="宋体" w:cs="宋体"/>
                <w:b/>
                <w:bCs/>
                <w:szCs w:val="21"/>
                <w:highlight w:val="none"/>
              </w:rPr>
              <w:t>2.工期：</w:t>
            </w:r>
          </w:p>
          <w:p>
            <w:pPr>
              <w:spacing w:line="288" w:lineRule="auto"/>
              <w:ind w:firstLine="1054" w:firstLineChars="500"/>
              <w:jc w:val="left"/>
              <w:rPr>
                <w:rFonts w:hint="eastAsia" w:ascii="宋体" w:hAnsi="宋体" w:eastAsia="宋体" w:cs="宋体"/>
                <w:b/>
                <w:bCs/>
                <w:szCs w:val="21"/>
                <w:highlight w:val="none"/>
              </w:rPr>
            </w:pPr>
            <w:r>
              <w:rPr>
                <w:rFonts w:hint="eastAsia" w:ascii="宋体" w:hAnsi="宋体" w:eastAsia="宋体" w:cs="宋体"/>
                <w:b/>
                <w:bCs/>
                <w:szCs w:val="21"/>
                <w:highlight w:val="none"/>
              </w:rPr>
              <w:t>3.质量：</w:t>
            </w:r>
          </w:p>
          <w:p>
            <w:pPr>
              <w:spacing w:line="288" w:lineRule="auto"/>
              <w:ind w:firstLine="1054" w:firstLineChars="500"/>
              <w:jc w:val="left"/>
              <w:rPr>
                <w:rFonts w:hint="eastAsia" w:ascii="宋体" w:hAnsi="宋体" w:eastAsia="宋体" w:cs="宋体"/>
                <w:b/>
                <w:bCs/>
                <w:szCs w:val="21"/>
                <w:highlight w:val="none"/>
              </w:rPr>
            </w:pPr>
            <w:r>
              <w:rPr>
                <w:rFonts w:hint="eastAsia" w:ascii="宋体" w:hAnsi="宋体" w:eastAsia="宋体" w:cs="宋体"/>
                <w:b/>
                <w:bCs/>
                <w:szCs w:val="21"/>
                <w:highlight w:val="none"/>
              </w:rPr>
              <w:t>4.项目负责人姓名：____________________手机号：____________________ 身份证号：____________________</w:t>
            </w:r>
          </w:p>
          <w:p>
            <w:pPr>
              <w:spacing w:line="288" w:lineRule="auto"/>
              <w:ind w:firstLine="1054" w:firstLineChars="500"/>
              <w:jc w:val="left"/>
              <w:rPr>
                <w:rFonts w:hint="eastAsia" w:ascii="宋体" w:hAnsi="宋体" w:eastAsia="宋体" w:cs="宋体"/>
                <w:b/>
                <w:bCs/>
                <w:szCs w:val="21"/>
                <w:highlight w:val="none"/>
              </w:rPr>
            </w:pPr>
            <w:r>
              <w:rPr>
                <w:rFonts w:hint="eastAsia" w:ascii="宋体" w:hAnsi="宋体" w:eastAsia="宋体" w:cs="宋体"/>
                <w:b/>
                <w:bCs/>
                <w:szCs w:val="21"/>
                <w:highlight w:val="none"/>
              </w:rPr>
              <w:t>5、安全文明施工措施费：</w:t>
            </w:r>
          </w:p>
          <w:p>
            <w:pPr>
              <w:spacing w:line="288" w:lineRule="auto"/>
              <w:ind w:firstLine="1054" w:firstLineChars="500"/>
              <w:jc w:val="left"/>
              <w:rPr>
                <w:rFonts w:hint="eastAsia" w:ascii="宋体" w:hAnsi="宋体" w:eastAsia="宋体" w:cs="宋体"/>
                <w:b/>
                <w:bCs/>
                <w:szCs w:val="21"/>
                <w:highlight w:val="none"/>
              </w:rPr>
            </w:pPr>
            <w:r>
              <w:rPr>
                <w:rFonts w:hint="eastAsia" w:ascii="宋体" w:hAnsi="宋体" w:eastAsia="宋体" w:cs="宋体"/>
                <w:b/>
                <w:bCs/>
                <w:szCs w:val="21"/>
                <w:highlight w:val="none"/>
              </w:rPr>
              <w:t>6、人工费总额：</w:t>
            </w:r>
          </w:p>
          <w:p>
            <w:pPr>
              <w:spacing w:line="360" w:lineRule="auto"/>
              <w:jc w:val="right"/>
              <w:rPr>
                <w:rFonts w:hint="eastAsia" w:ascii="宋体" w:hAnsi="宋体" w:eastAsia="宋体" w:cs="宋体"/>
                <w:b/>
                <w:bCs/>
                <w:szCs w:val="21"/>
                <w:highlight w:val="none"/>
              </w:rPr>
            </w:pPr>
          </w:p>
          <w:p>
            <w:pPr>
              <w:spacing w:line="360" w:lineRule="auto"/>
              <w:jc w:val="center"/>
              <w:rPr>
                <w:rFonts w:hint="eastAsia" w:ascii="宋体" w:hAnsi="宋体" w:eastAsia="宋体" w:cs="宋体"/>
                <w:b/>
                <w:bCs/>
                <w:szCs w:val="21"/>
                <w:highlight w:val="none"/>
              </w:rPr>
            </w:pPr>
            <w:r>
              <w:rPr>
                <w:rFonts w:hint="eastAsia" w:ascii="宋体" w:hAnsi="宋体" w:eastAsia="宋体" w:cs="宋体"/>
                <w:b/>
                <w:bCs/>
                <w:szCs w:val="21"/>
                <w:highlight w:val="none"/>
              </w:rPr>
              <w:t xml:space="preserve">                            投标人：（单位公章）</w:t>
            </w:r>
          </w:p>
          <w:p>
            <w:pPr>
              <w:spacing w:line="360" w:lineRule="auto"/>
              <w:jc w:val="right"/>
              <w:rPr>
                <w:rFonts w:hint="eastAsia" w:ascii="宋体" w:hAnsi="宋体" w:eastAsia="宋体" w:cs="宋体"/>
                <w:b/>
                <w:bCs/>
                <w:szCs w:val="21"/>
                <w:highlight w:val="none"/>
              </w:rPr>
            </w:pPr>
            <w:r>
              <w:rPr>
                <w:rFonts w:hint="eastAsia" w:ascii="宋体" w:hAnsi="宋体" w:eastAsia="宋体" w:cs="宋体"/>
                <w:b/>
                <w:bCs/>
                <w:szCs w:val="21"/>
                <w:highlight w:val="none"/>
              </w:rPr>
              <w:t>法定代表人或其委托代理人：             （签字或盖章）</w:t>
            </w:r>
          </w:p>
          <w:p>
            <w:pPr>
              <w:spacing w:line="360" w:lineRule="auto"/>
              <w:ind w:firstLine="1054" w:firstLineChars="500"/>
              <w:jc w:val="right"/>
              <w:rPr>
                <w:rFonts w:hint="eastAsia" w:ascii="宋体" w:hAnsi="宋体" w:eastAsia="宋体" w:cs="宋体"/>
                <w:b/>
                <w:bCs/>
                <w:szCs w:val="21"/>
                <w:highlight w:val="none"/>
              </w:rPr>
            </w:pPr>
            <w:r>
              <w:rPr>
                <w:rFonts w:hint="eastAsia" w:ascii="宋体" w:hAnsi="宋体" w:eastAsia="宋体" w:cs="宋体"/>
                <w:b/>
                <w:bCs/>
                <w:szCs w:val="21"/>
                <w:highlight w:val="none"/>
              </w:rPr>
              <w:t xml:space="preserve">年     月      日 </w:t>
            </w:r>
          </w:p>
          <w:p>
            <w:pPr>
              <w:spacing w:line="360" w:lineRule="auto"/>
              <w:jc w:val="left"/>
              <w:rPr>
                <w:rFonts w:hint="eastAsia" w:ascii="宋体" w:hAnsi="宋体" w:eastAsia="宋体" w:cs="宋体"/>
                <w:b/>
                <w:bCs/>
                <w:szCs w:val="21"/>
                <w:highlight w:val="none"/>
              </w:rPr>
            </w:pPr>
          </w:p>
        </w:tc>
      </w:tr>
    </w:tbl>
    <w:p>
      <w:pPr>
        <w:spacing w:before="120" w:beforeLines="50" w:line="360" w:lineRule="auto"/>
        <w:rPr>
          <w:rFonts w:hint="eastAsia" w:ascii="宋体" w:hAnsi="宋体" w:eastAsia="宋体" w:cs="宋体"/>
          <w:szCs w:val="21"/>
          <w:highlight w:val="none"/>
        </w:rPr>
        <w:sectPr>
          <w:pgSz w:w="16838" w:h="11906" w:orient="landscape"/>
          <w:pgMar w:top="1797" w:right="1440" w:bottom="1644" w:left="1440" w:header="851" w:footer="992" w:gutter="0"/>
          <w:pgNumType w:fmt="decimal"/>
          <w:cols w:space="720" w:num="1"/>
          <w:titlePg/>
          <w:docGrid w:linePitch="312" w:charSpace="0"/>
        </w:sectPr>
      </w:pPr>
    </w:p>
    <w:p>
      <w:pPr>
        <w:spacing w:before="240" w:beforeLines="100" w:line="360" w:lineRule="auto"/>
        <w:ind w:firstLine="210" w:firstLineChars="100"/>
        <w:jc w:val="center"/>
        <w:outlineLvl w:val="3"/>
        <w:rPr>
          <w:rFonts w:hint="eastAsia" w:ascii="宋体" w:hAnsi="宋体" w:eastAsia="宋体" w:cs="宋体"/>
          <w:szCs w:val="21"/>
          <w:highlight w:val="none"/>
        </w:rPr>
      </w:pPr>
      <w:bookmarkStart w:id="99" w:name="_Toc364679638"/>
      <w:r>
        <w:rPr>
          <w:rFonts w:hint="eastAsia" w:ascii="宋体" w:hAnsi="宋体" w:eastAsia="宋体" w:cs="宋体"/>
          <w:szCs w:val="21"/>
          <w:highlight w:val="none"/>
        </w:rPr>
        <w:t>（三）法定代表人授权委托书</w:t>
      </w:r>
      <w:bookmarkEnd w:id="99"/>
    </w:p>
    <w:p>
      <w:pPr>
        <w:spacing w:line="360" w:lineRule="auto"/>
        <w:ind w:firstLine="420" w:firstLineChars="200"/>
        <w:rPr>
          <w:rFonts w:hint="eastAsia" w:ascii="宋体" w:hAnsi="宋体" w:eastAsia="宋体" w:cs="宋体"/>
          <w:szCs w:val="21"/>
          <w:highlight w:val="none"/>
        </w:rPr>
      </w:pP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本人</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（姓名）系</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（投标人名称）的法定代表人，现授权</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（姓名）为我方代理人。代理人根据授权，以我方名义签署、澄清、说明、补正、提交、撤回、修改</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（项目名称）</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（报建编号及标段号）施工投标文件、签订合同和处理有关事宜，其法律后果由我方承担。</w:t>
      </w:r>
    </w:p>
    <w:p>
      <w:pPr>
        <w:spacing w:before="120" w:beforeLines="50"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委托期限：</w:t>
      </w:r>
      <w:r>
        <w:rPr>
          <w:rFonts w:hint="eastAsia" w:ascii="宋体" w:hAnsi="宋体" w:eastAsia="宋体" w:cs="宋体"/>
          <w:szCs w:val="21"/>
          <w:highlight w:val="none"/>
          <w:u w:val="single"/>
        </w:rPr>
        <w:t xml:space="preserve">                                                          </w:t>
      </w:r>
    </w:p>
    <w:p>
      <w:pPr>
        <w:spacing w:line="360" w:lineRule="auto"/>
        <w:ind w:firstLine="1260" w:firstLineChars="600"/>
        <w:rPr>
          <w:rFonts w:hint="eastAsia" w:ascii="宋体" w:hAnsi="宋体" w:eastAsia="宋体" w:cs="宋体"/>
          <w:szCs w:val="21"/>
          <w:highlight w:val="none"/>
        </w:rPr>
      </w:pPr>
      <w:r>
        <w:rPr>
          <w:rFonts w:hint="eastAsia" w:ascii="宋体" w:hAnsi="宋体" w:eastAsia="宋体" w:cs="宋体"/>
          <w:szCs w:val="21"/>
          <w:highlight w:val="none"/>
        </w:rPr>
        <w:t xml:space="preserve">  </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w:t>
      </w:r>
    </w:p>
    <w:p>
      <w:pPr>
        <w:spacing w:before="240" w:beforeLines="100" w:after="240" w:afterLines="100"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代理人无转委托权。</w:t>
      </w:r>
    </w:p>
    <w:p>
      <w:pPr>
        <w:spacing w:line="360" w:lineRule="auto"/>
        <w:rPr>
          <w:rFonts w:hint="eastAsia" w:ascii="宋体" w:hAnsi="宋体" w:eastAsia="宋体" w:cs="宋体"/>
          <w:szCs w:val="21"/>
          <w:highlight w:val="none"/>
        </w:rPr>
      </w:pPr>
      <w:r>
        <w:rPr>
          <w:rFonts w:hint="eastAsia" w:ascii="宋体" w:hAnsi="宋体" w:eastAsia="宋体" w:cs="宋体"/>
          <w:highlight w:val="none"/>
        </w:rPr>
        <mc:AlternateContent>
          <mc:Choice Requires="wps">
            <w:drawing>
              <wp:anchor distT="0" distB="0" distL="114300" distR="114300" simplePos="0" relativeHeight="251660288" behindDoc="0" locked="0" layoutInCell="1" allowOverlap="1">
                <wp:simplePos x="0" y="0"/>
                <wp:positionH relativeFrom="column">
                  <wp:posOffset>457200</wp:posOffset>
                </wp:positionH>
                <wp:positionV relativeFrom="paragraph">
                  <wp:posOffset>55880</wp:posOffset>
                </wp:positionV>
                <wp:extent cx="4019550" cy="2167255"/>
                <wp:effectExtent l="4445" t="5080" r="14605" b="12065"/>
                <wp:wrapSquare wrapText="bothSides"/>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4019550" cy="2167255"/>
                        </a:xfrm>
                        <a:prstGeom prst="rect">
                          <a:avLst/>
                        </a:prstGeom>
                        <a:solidFill>
                          <a:srgbClr val="FFFFFF"/>
                        </a:solidFill>
                        <a:ln w="9525">
                          <a:solidFill>
                            <a:srgbClr val="000000"/>
                          </a:solidFill>
                          <a:miter lim="800000"/>
                        </a:ln>
                      </wps:spPr>
                      <wps:txbx>
                        <w:txbxContent>
                          <w:p>
                            <w:pPr>
                              <w:spacing w:after="240" w:afterLines="100" w:line="500" w:lineRule="exact"/>
                              <w:rPr>
                                <w:rFonts w:ascii="宋体"/>
                                <w:szCs w:val="21"/>
                              </w:rPr>
                            </w:pPr>
                          </w:p>
                          <w:p>
                            <w:pPr>
                              <w:spacing w:after="240" w:afterLines="100" w:line="500" w:lineRule="exact"/>
                              <w:ind w:firstLine="840" w:firstLineChars="400"/>
                              <w:rPr>
                                <w:rFonts w:ascii="宋体"/>
                                <w:szCs w:val="21"/>
                              </w:rPr>
                            </w:pPr>
                            <w:r>
                              <w:rPr>
                                <w:rFonts w:hint="eastAsia" w:ascii="宋体" w:hAnsi="宋体"/>
                                <w:szCs w:val="21"/>
                              </w:rPr>
                              <w:t>法定代表委托代理人身份证复印件粘贴处（</w:t>
                            </w:r>
                            <w:r>
                              <w:rPr>
                                <w:rFonts w:ascii="宋体" w:hAnsi="宋体"/>
                                <w:szCs w:val="21"/>
                              </w:rPr>
                              <w:t>正反面</w:t>
                            </w:r>
                            <w:r>
                              <w:rPr>
                                <w:rFonts w:hint="eastAsia" w:ascii="宋体" w:hAnsi="宋体"/>
                                <w:szCs w:val="21"/>
                              </w:rPr>
                              <w:t>）</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6pt;margin-top:4.4pt;height:170.65pt;width:316.5pt;mso-wrap-distance-bottom:0pt;mso-wrap-distance-left:9pt;mso-wrap-distance-right:9pt;mso-wrap-distance-top:0pt;z-index:251660288;mso-width-relative:page;mso-height-relative:page;" fillcolor="#FFFFFF" filled="t" stroked="t" coordsize="21600,21600" o:gfxdata="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BjiGwXXAAAACAEAAA8AAAAAAAAAAQAgAAAAIgAA&#10;AGRycy9kb3ducmV2LnhtbFBLAQIUABQAAAAIAIdO4kDRW8WVQgIAAIgEAAAOAAAAAAAAAAEAIAAA&#10;ACYBAABkcnMvZTJvRG9jLnhtbFBLBQYAAAAABgAGAFkBAADaBQAAAAA=&#10;">
                <v:fill on="t" focussize="0,0"/>
                <v:stroke color="#000000" miterlimit="8" joinstyle="miter"/>
                <v:imagedata o:title=""/>
                <o:lock v:ext="edit" aspectratio="f"/>
                <v:textbox>
                  <w:txbxContent>
                    <w:p>
                      <w:pPr>
                        <w:spacing w:after="240" w:afterLines="100" w:line="500" w:lineRule="exact"/>
                        <w:rPr>
                          <w:rFonts w:ascii="宋体"/>
                          <w:szCs w:val="21"/>
                        </w:rPr>
                      </w:pPr>
                    </w:p>
                    <w:p>
                      <w:pPr>
                        <w:spacing w:after="240" w:afterLines="100" w:line="500" w:lineRule="exact"/>
                        <w:ind w:firstLine="840" w:firstLineChars="400"/>
                        <w:rPr>
                          <w:rFonts w:ascii="宋体"/>
                          <w:szCs w:val="21"/>
                        </w:rPr>
                      </w:pPr>
                      <w:r>
                        <w:rPr>
                          <w:rFonts w:hint="eastAsia" w:ascii="宋体" w:hAnsi="宋体"/>
                          <w:szCs w:val="21"/>
                        </w:rPr>
                        <w:t>法定代表委托代理人身份证复印件粘贴处（</w:t>
                      </w:r>
                      <w:r>
                        <w:rPr>
                          <w:rFonts w:ascii="宋体" w:hAnsi="宋体"/>
                          <w:szCs w:val="21"/>
                        </w:rPr>
                        <w:t>正反面</w:t>
                      </w:r>
                      <w:r>
                        <w:rPr>
                          <w:rFonts w:hint="eastAsia" w:ascii="宋体" w:hAnsi="宋体"/>
                          <w:szCs w:val="21"/>
                        </w:rPr>
                        <w:t>）</w:t>
                      </w:r>
                    </w:p>
                  </w:txbxContent>
                </v:textbox>
                <w10:wrap type="square"/>
              </v:shape>
            </w:pict>
          </mc:Fallback>
        </mc:AlternateContent>
      </w:r>
    </w:p>
    <w:p>
      <w:pPr>
        <w:spacing w:line="360" w:lineRule="auto"/>
        <w:ind w:firstLine="3570" w:firstLineChars="1700"/>
        <w:rPr>
          <w:rFonts w:hint="eastAsia" w:ascii="宋体" w:hAnsi="宋体" w:eastAsia="宋体" w:cs="宋体"/>
          <w:szCs w:val="21"/>
          <w:highlight w:val="none"/>
        </w:rPr>
      </w:pPr>
    </w:p>
    <w:p>
      <w:pPr>
        <w:spacing w:line="360" w:lineRule="auto"/>
        <w:ind w:firstLine="3570" w:firstLineChars="1700"/>
        <w:rPr>
          <w:rFonts w:hint="eastAsia" w:ascii="宋体" w:hAnsi="宋体" w:eastAsia="宋体" w:cs="宋体"/>
          <w:szCs w:val="21"/>
          <w:highlight w:val="none"/>
        </w:rPr>
      </w:pPr>
    </w:p>
    <w:p>
      <w:pPr>
        <w:spacing w:line="360" w:lineRule="auto"/>
        <w:ind w:firstLine="3570" w:firstLineChars="1700"/>
        <w:rPr>
          <w:rFonts w:hint="eastAsia" w:ascii="宋体" w:hAnsi="宋体" w:eastAsia="宋体" w:cs="宋体"/>
          <w:szCs w:val="21"/>
          <w:highlight w:val="none"/>
        </w:rPr>
      </w:pPr>
    </w:p>
    <w:p>
      <w:pPr>
        <w:spacing w:line="360" w:lineRule="auto"/>
        <w:ind w:firstLine="3570" w:firstLineChars="1700"/>
        <w:rPr>
          <w:rFonts w:hint="eastAsia" w:ascii="宋体" w:hAnsi="宋体" w:eastAsia="宋体" w:cs="宋体"/>
          <w:szCs w:val="21"/>
          <w:highlight w:val="none"/>
        </w:rPr>
      </w:pPr>
    </w:p>
    <w:p>
      <w:pPr>
        <w:spacing w:line="360" w:lineRule="auto"/>
        <w:ind w:firstLine="3570" w:firstLineChars="1700"/>
        <w:rPr>
          <w:rFonts w:hint="eastAsia" w:ascii="宋体" w:hAnsi="宋体" w:eastAsia="宋体" w:cs="宋体"/>
          <w:szCs w:val="21"/>
          <w:highlight w:val="none"/>
        </w:rPr>
      </w:pPr>
    </w:p>
    <w:p>
      <w:pPr>
        <w:spacing w:line="360" w:lineRule="auto"/>
        <w:jc w:val="right"/>
        <w:rPr>
          <w:rFonts w:hint="eastAsia" w:ascii="宋体" w:hAnsi="宋体" w:eastAsia="宋体" w:cs="宋体"/>
          <w:szCs w:val="21"/>
          <w:highlight w:val="none"/>
        </w:rPr>
      </w:pPr>
    </w:p>
    <w:p>
      <w:pPr>
        <w:spacing w:line="360" w:lineRule="auto"/>
        <w:jc w:val="right"/>
        <w:rPr>
          <w:rFonts w:hint="eastAsia" w:ascii="宋体" w:hAnsi="宋体" w:eastAsia="宋体" w:cs="宋体"/>
          <w:szCs w:val="21"/>
          <w:highlight w:val="none"/>
        </w:rPr>
      </w:pPr>
    </w:p>
    <w:p>
      <w:pPr>
        <w:spacing w:line="360" w:lineRule="auto"/>
        <w:jc w:val="right"/>
        <w:rPr>
          <w:rFonts w:hint="eastAsia" w:ascii="宋体" w:hAnsi="宋体" w:eastAsia="宋体" w:cs="宋体"/>
          <w:szCs w:val="21"/>
          <w:highlight w:val="none"/>
        </w:rPr>
      </w:pPr>
    </w:p>
    <w:p>
      <w:pPr>
        <w:spacing w:line="360" w:lineRule="auto"/>
        <w:jc w:val="right"/>
        <w:rPr>
          <w:rFonts w:hint="eastAsia" w:ascii="宋体" w:hAnsi="宋体" w:eastAsia="宋体" w:cs="宋体"/>
          <w:szCs w:val="21"/>
          <w:highlight w:val="none"/>
        </w:rPr>
      </w:pPr>
    </w:p>
    <w:p>
      <w:pPr>
        <w:spacing w:line="360" w:lineRule="auto"/>
        <w:jc w:val="right"/>
        <w:rPr>
          <w:rFonts w:hint="eastAsia" w:ascii="宋体" w:hAnsi="宋体" w:eastAsia="宋体" w:cs="宋体"/>
          <w:szCs w:val="21"/>
          <w:highlight w:val="none"/>
        </w:rPr>
      </w:pPr>
    </w:p>
    <w:p>
      <w:pPr>
        <w:spacing w:line="360" w:lineRule="auto"/>
        <w:jc w:val="right"/>
        <w:rPr>
          <w:rFonts w:hint="eastAsia" w:ascii="宋体" w:hAnsi="宋体" w:eastAsia="宋体" w:cs="宋体"/>
          <w:szCs w:val="21"/>
          <w:highlight w:val="none"/>
        </w:rPr>
      </w:pPr>
      <w:r>
        <w:rPr>
          <w:rFonts w:hint="eastAsia" w:ascii="宋体" w:hAnsi="宋体" w:eastAsia="宋体" w:cs="宋体"/>
          <w:szCs w:val="21"/>
          <w:highlight w:val="none"/>
        </w:rPr>
        <w:t>投  标  人：</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（单位公章）</w:t>
      </w:r>
    </w:p>
    <w:p>
      <w:pPr>
        <w:spacing w:line="360" w:lineRule="auto"/>
        <w:jc w:val="right"/>
        <w:rPr>
          <w:rFonts w:hint="eastAsia" w:ascii="宋体" w:hAnsi="宋体" w:eastAsia="宋体" w:cs="宋体"/>
          <w:szCs w:val="21"/>
          <w:highlight w:val="none"/>
        </w:rPr>
      </w:pPr>
      <w:r>
        <w:rPr>
          <w:rFonts w:hint="eastAsia" w:ascii="宋体" w:hAnsi="宋体" w:eastAsia="宋体" w:cs="宋体"/>
          <w:szCs w:val="21"/>
          <w:highlight w:val="none"/>
        </w:rPr>
        <w:t>法定代表人：</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（签字或盖章）</w:t>
      </w:r>
    </w:p>
    <w:p>
      <w:pPr>
        <w:spacing w:line="360" w:lineRule="auto"/>
        <w:jc w:val="right"/>
        <w:rPr>
          <w:rFonts w:hint="eastAsia" w:ascii="宋体" w:hAnsi="宋体" w:eastAsia="宋体" w:cs="宋体"/>
          <w:szCs w:val="21"/>
          <w:highlight w:val="none"/>
          <w:u w:val="single"/>
        </w:rPr>
      </w:pPr>
      <w:r>
        <w:rPr>
          <w:rFonts w:hint="eastAsia" w:ascii="宋体" w:hAnsi="宋体" w:eastAsia="宋体" w:cs="宋体"/>
          <w:szCs w:val="21"/>
          <w:highlight w:val="none"/>
        </w:rPr>
        <w:t>身份证号码：</w:t>
      </w:r>
    </w:p>
    <w:p>
      <w:pPr>
        <w:spacing w:line="360" w:lineRule="auto"/>
        <w:jc w:val="right"/>
        <w:rPr>
          <w:rFonts w:hint="eastAsia" w:ascii="宋体" w:hAnsi="宋体" w:eastAsia="宋体" w:cs="宋体"/>
          <w:szCs w:val="21"/>
          <w:highlight w:val="none"/>
        </w:rPr>
      </w:pPr>
      <w:r>
        <w:rPr>
          <w:rFonts w:hint="eastAsia" w:ascii="宋体" w:hAnsi="宋体" w:eastAsia="宋体" w:cs="宋体"/>
          <w:szCs w:val="21"/>
          <w:highlight w:val="none"/>
        </w:rPr>
        <w:t>委托代理人：</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（签字或盖章）</w:t>
      </w:r>
    </w:p>
    <w:p>
      <w:pPr>
        <w:spacing w:line="360" w:lineRule="auto"/>
        <w:jc w:val="right"/>
        <w:rPr>
          <w:rFonts w:hint="eastAsia" w:ascii="宋体" w:hAnsi="宋体" w:eastAsia="宋体" w:cs="宋体"/>
          <w:szCs w:val="21"/>
          <w:highlight w:val="none"/>
        </w:rPr>
      </w:pPr>
      <w:r>
        <w:rPr>
          <w:rFonts w:hint="eastAsia" w:ascii="宋体" w:hAnsi="宋体" w:eastAsia="宋体" w:cs="宋体"/>
          <w:szCs w:val="21"/>
          <w:highlight w:val="none"/>
        </w:rPr>
        <w:t>身份证号码：</w:t>
      </w:r>
    </w:p>
    <w:p>
      <w:pPr>
        <w:spacing w:line="360" w:lineRule="auto"/>
        <w:ind w:firstLine="4830" w:firstLineChars="2300"/>
        <w:rPr>
          <w:rFonts w:hint="eastAsia" w:ascii="宋体" w:hAnsi="宋体" w:eastAsia="宋体" w:cs="宋体"/>
          <w:szCs w:val="21"/>
          <w:highlight w:val="none"/>
        </w:rPr>
      </w:pP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年</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月</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日</w:t>
      </w:r>
    </w:p>
    <w:p>
      <w:pPr>
        <w:spacing w:before="240" w:beforeLines="100" w:after="120" w:afterLines="50" w:line="360" w:lineRule="auto"/>
        <w:jc w:val="left"/>
        <w:outlineLvl w:val="9"/>
        <w:rPr>
          <w:rFonts w:hint="eastAsia" w:ascii="宋体" w:hAnsi="宋体" w:eastAsia="宋体" w:cs="宋体"/>
          <w:szCs w:val="21"/>
          <w:highlight w:val="none"/>
        </w:rPr>
      </w:pPr>
      <w:bookmarkStart w:id="100" w:name="_Toc364682245"/>
      <w:bookmarkStart w:id="101" w:name="_Toc364679639"/>
      <w:r>
        <w:rPr>
          <w:rFonts w:hint="eastAsia" w:ascii="宋体" w:hAnsi="宋体" w:eastAsia="宋体" w:cs="宋体"/>
          <w:szCs w:val="21"/>
          <w:highlight w:val="none"/>
        </w:rPr>
        <w:br w:type="page"/>
      </w:r>
      <w:bookmarkEnd w:id="100"/>
      <w:bookmarkEnd w:id="101"/>
    </w:p>
    <w:p>
      <w:pPr>
        <w:pStyle w:val="194"/>
        <w:tabs>
          <w:tab w:val="left" w:pos="1473"/>
        </w:tabs>
        <w:ind w:firstLine="643"/>
        <w:outlineLvl w:val="0"/>
        <w:rPr>
          <w:rFonts w:hint="eastAsia" w:ascii="宋体" w:hAnsi="宋体" w:eastAsia="宋体" w:cs="宋体"/>
          <w:b/>
          <w:kern w:val="2"/>
          <w:sz w:val="32"/>
          <w:szCs w:val="32"/>
          <w:highlight w:val="none"/>
        </w:rPr>
      </w:pPr>
      <w:bookmarkStart w:id="102" w:name="_Toc28147"/>
      <w:bookmarkStart w:id="103" w:name="_Toc20178"/>
      <w:r>
        <w:rPr>
          <w:rFonts w:hint="eastAsia" w:ascii="宋体" w:hAnsi="宋体" w:eastAsia="宋体" w:cs="宋体"/>
          <w:b/>
          <w:kern w:val="2"/>
          <w:sz w:val="32"/>
          <w:szCs w:val="32"/>
          <w:highlight w:val="none"/>
        </w:rPr>
        <w:t>不存在与参与本项目的其他投标单位负责人为同一人或者存在控股、管理关系承诺</w:t>
      </w:r>
      <w:bookmarkEnd w:id="102"/>
      <w:bookmarkEnd w:id="103"/>
    </w:p>
    <w:p>
      <w:pPr>
        <w:pStyle w:val="194"/>
        <w:tabs>
          <w:tab w:val="left" w:pos="1473"/>
        </w:tabs>
        <w:ind w:firstLine="560"/>
        <w:jc w:val="both"/>
        <w:rPr>
          <w:rFonts w:hint="eastAsia" w:ascii="宋体" w:hAnsi="宋体" w:eastAsia="宋体" w:cs="宋体"/>
          <w:kern w:val="2"/>
          <w:sz w:val="28"/>
          <w:szCs w:val="28"/>
          <w:highlight w:val="none"/>
        </w:rPr>
      </w:pPr>
      <w:r>
        <w:rPr>
          <w:rFonts w:hint="eastAsia" w:ascii="宋体" w:hAnsi="宋体" w:eastAsia="宋体" w:cs="宋体"/>
          <w:kern w:val="2"/>
          <w:sz w:val="28"/>
          <w:szCs w:val="28"/>
          <w:highlight w:val="none"/>
        </w:rPr>
        <w:t>复旦大学：</w:t>
      </w:r>
    </w:p>
    <w:p>
      <w:pPr>
        <w:pStyle w:val="194"/>
        <w:tabs>
          <w:tab w:val="left" w:pos="1473"/>
        </w:tabs>
        <w:ind w:firstLine="560"/>
        <w:jc w:val="both"/>
        <w:rPr>
          <w:rFonts w:hint="eastAsia" w:ascii="宋体" w:hAnsi="宋体" w:eastAsia="宋体" w:cs="宋体"/>
          <w:kern w:val="2"/>
          <w:sz w:val="28"/>
          <w:szCs w:val="28"/>
          <w:highlight w:val="none"/>
        </w:rPr>
      </w:pPr>
      <w:r>
        <w:rPr>
          <w:rFonts w:hint="eastAsia" w:ascii="宋体" w:hAnsi="宋体" w:eastAsia="宋体" w:cs="宋体"/>
          <w:kern w:val="2"/>
          <w:sz w:val="28"/>
          <w:szCs w:val="28"/>
          <w:highlight w:val="none"/>
        </w:rPr>
        <w:t>上海教育建设管理咨询有限公司：</w:t>
      </w:r>
    </w:p>
    <w:p>
      <w:pPr>
        <w:pStyle w:val="194"/>
        <w:tabs>
          <w:tab w:val="left" w:pos="1473"/>
        </w:tabs>
        <w:ind w:firstLine="560"/>
        <w:jc w:val="both"/>
        <w:rPr>
          <w:rFonts w:hint="eastAsia" w:ascii="宋体" w:hAnsi="宋体" w:eastAsia="宋体" w:cs="宋体"/>
          <w:kern w:val="2"/>
          <w:sz w:val="28"/>
          <w:szCs w:val="28"/>
          <w:highlight w:val="none"/>
        </w:rPr>
      </w:pPr>
      <w:r>
        <w:rPr>
          <w:rFonts w:hint="eastAsia" w:ascii="宋体" w:hAnsi="宋体" w:eastAsia="宋体" w:cs="宋体"/>
          <w:kern w:val="2"/>
          <w:sz w:val="28"/>
          <w:szCs w:val="28"/>
          <w:highlight w:val="none"/>
        </w:rPr>
        <w:t>我公司参加贵校组织的</w:t>
      </w:r>
      <w:r>
        <w:rPr>
          <w:rFonts w:hint="eastAsia" w:ascii="宋体" w:hAnsi="宋体" w:eastAsia="宋体" w:cs="宋体"/>
          <w:kern w:val="2"/>
          <w:sz w:val="28"/>
          <w:szCs w:val="28"/>
          <w:highlight w:val="none"/>
          <w:u w:val="single"/>
        </w:rPr>
        <w:t xml:space="preserve">               </w:t>
      </w:r>
      <w:r>
        <w:rPr>
          <w:rFonts w:hint="eastAsia" w:ascii="宋体" w:hAnsi="宋体" w:eastAsia="宋体" w:cs="宋体"/>
          <w:kern w:val="2"/>
          <w:sz w:val="28"/>
          <w:szCs w:val="28"/>
          <w:highlight w:val="none"/>
        </w:rPr>
        <w:t>（项目名称及编号）招标活动，郑重承诺：在参加本次招标活动不存在与参加本项目的其他投标单位负责人为同一人或者存在控股、管理关系。本公司对上述承诺的真实性负责。如有虚假，将依法承担相应责任。</w:t>
      </w:r>
    </w:p>
    <w:p>
      <w:pPr>
        <w:pStyle w:val="194"/>
        <w:tabs>
          <w:tab w:val="left" w:pos="1473"/>
        </w:tabs>
        <w:ind w:firstLine="560"/>
        <w:jc w:val="both"/>
        <w:rPr>
          <w:rFonts w:hint="eastAsia" w:ascii="宋体" w:hAnsi="宋体" w:eastAsia="宋体" w:cs="宋体"/>
          <w:kern w:val="2"/>
          <w:sz w:val="28"/>
          <w:szCs w:val="28"/>
          <w:highlight w:val="none"/>
        </w:rPr>
      </w:pPr>
      <w:r>
        <w:rPr>
          <w:rFonts w:hint="eastAsia" w:ascii="宋体" w:hAnsi="宋体" w:eastAsia="宋体" w:cs="宋体"/>
          <w:kern w:val="2"/>
          <w:sz w:val="28"/>
          <w:szCs w:val="28"/>
          <w:highlight w:val="none"/>
        </w:rPr>
        <w:t>特此承诺</w:t>
      </w:r>
    </w:p>
    <w:p>
      <w:pPr>
        <w:pStyle w:val="194"/>
        <w:tabs>
          <w:tab w:val="left" w:pos="1473"/>
        </w:tabs>
        <w:ind w:firstLine="420"/>
        <w:jc w:val="both"/>
        <w:rPr>
          <w:rFonts w:hint="eastAsia" w:ascii="宋体" w:hAnsi="宋体" w:eastAsia="宋体" w:cs="宋体"/>
          <w:kern w:val="2"/>
          <w:sz w:val="21"/>
          <w:szCs w:val="21"/>
          <w:highlight w:val="none"/>
        </w:rPr>
      </w:pPr>
    </w:p>
    <w:p>
      <w:pPr>
        <w:pStyle w:val="194"/>
        <w:tabs>
          <w:tab w:val="left" w:pos="1473"/>
        </w:tabs>
        <w:ind w:firstLine="420"/>
        <w:jc w:val="both"/>
        <w:rPr>
          <w:rFonts w:hint="eastAsia" w:ascii="宋体" w:hAnsi="宋体" w:eastAsia="宋体" w:cs="宋体"/>
          <w:kern w:val="2"/>
          <w:sz w:val="21"/>
          <w:szCs w:val="21"/>
          <w:highlight w:val="none"/>
        </w:rPr>
      </w:pPr>
    </w:p>
    <w:p>
      <w:pPr>
        <w:pStyle w:val="194"/>
        <w:tabs>
          <w:tab w:val="left" w:pos="1473"/>
        </w:tabs>
        <w:ind w:firstLine="420"/>
        <w:jc w:val="both"/>
        <w:rPr>
          <w:rFonts w:hint="eastAsia" w:ascii="宋体" w:hAnsi="宋体" w:eastAsia="宋体" w:cs="宋体"/>
          <w:kern w:val="2"/>
          <w:sz w:val="21"/>
          <w:szCs w:val="21"/>
          <w:highlight w:val="none"/>
        </w:rPr>
      </w:pPr>
    </w:p>
    <w:p>
      <w:pPr>
        <w:pStyle w:val="194"/>
        <w:tabs>
          <w:tab w:val="left" w:pos="1473"/>
        </w:tabs>
        <w:ind w:firstLine="420"/>
        <w:jc w:val="both"/>
        <w:rPr>
          <w:rFonts w:hint="eastAsia" w:ascii="宋体" w:hAnsi="宋体" w:eastAsia="宋体" w:cs="宋体"/>
          <w:kern w:val="2"/>
          <w:sz w:val="21"/>
          <w:szCs w:val="21"/>
          <w:highlight w:val="none"/>
        </w:rPr>
      </w:pPr>
    </w:p>
    <w:p>
      <w:pPr>
        <w:pStyle w:val="194"/>
        <w:tabs>
          <w:tab w:val="left" w:pos="1473"/>
        </w:tabs>
        <w:ind w:firstLine="420"/>
        <w:jc w:val="both"/>
        <w:rPr>
          <w:rFonts w:hint="eastAsia" w:ascii="宋体" w:hAnsi="宋体" w:eastAsia="宋体" w:cs="宋体"/>
          <w:kern w:val="2"/>
          <w:sz w:val="21"/>
          <w:szCs w:val="21"/>
          <w:highlight w:val="none"/>
        </w:rPr>
      </w:pPr>
    </w:p>
    <w:p>
      <w:pPr>
        <w:pStyle w:val="194"/>
        <w:tabs>
          <w:tab w:val="left" w:pos="1473"/>
        </w:tabs>
        <w:ind w:firstLine="560"/>
        <w:jc w:val="both"/>
        <w:rPr>
          <w:rFonts w:hint="eastAsia" w:ascii="宋体" w:hAnsi="宋体" w:eastAsia="宋体" w:cs="宋体"/>
          <w:kern w:val="2"/>
          <w:sz w:val="28"/>
          <w:szCs w:val="28"/>
          <w:highlight w:val="none"/>
        </w:rPr>
      </w:pPr>
      <w:r>
        <w:rPr>
          <w:rFonts w:hint="eastAsia" w:ascii="宋体" w:hAnsi="宋体" w:eastAsia="宋体" w:cs="宋体"/>
          <w:kern w:val="2"/>
          <w:sz w:val="28"/>
          <w:szCs w:val="28"/>
          <w:highlight w:val="none"/>
        </w:rPr>
        <w:t>投标人名称：（单位盖章）</w:t>
      </w:r>
    </w:p>
    <w:p>
      <w:pPr>
        <w:pStyle w:val="194"/>
        <w:tabs>
          <w:tab w:val="left" w:pos="1473"/>
        </w:tabs>
        <w:ind w:firstLine="560"/>
        <w:jc w:val="both"/>
        <w:rPr>
          <w:rFonts w:hint="eastAsia" w:ascii="宋体" w:hAnsi="宋体" w:eastAsia="宋体" w:cs="宋体"/>
          <w:kern w:val="2"/>
          <w:sz w:val="28"/>
          <w:szCs w:val="28"/>
          <w:highlight w:val="none"/>
        </w:rPr>
      </w:pPr>
      <w:r>
        <w:rPr>
          <w:rFonts w:hint="eastAsia" w:ascii="宋体" w:hAnsi="宋体" w:eastAsia="宋体" w:cs="宋体"/>
          <w:kern w:val="2"/>
          <w:sz w:val="28"/>
          <w:szCs w:val="28"/>
          <w:highlight w:val="none"/>
        </w:rPr>
        <w:t>法定代表人或授权代表（签字或加盖个人名章）：</w:t>
      </w:r>
    </w:p>
    <w:p>
      <w:pPr>
        <w:pStyle w:val="194"/>
        <w:tabs>
          <w:tab w:val="left" w:pos="1473"/>
        </w:tabs>
        <w:ind w:firstLine="560"/>
        <w:jc w:val="both"/>
        <w:rPr>
          <w:rFonts w:hint="eastAsia" w:ascii="宋体" w:hAnsi="宋体" w:eastAsia="宋体" w:cs="宋体"/>
          <w:kern w:val="2"/>
          <w:sz w:val="28"/>
          <w:szCs w:val="28"/>
          <w:highlight w:val="none"/>
          <w:lang w:val="zh-CN"/>
        </w:rPr>
      </w:pPr>
      <w:r>
        <w:rPr>
          <w:rFonts w:hint="eastAsia" w:ascii="宋体" w:hAnsi="宋体" w:eastAsia="宋体" w:cs="宋体"/>
          <w:kern w:val="2"/>
          <w:sz w:val="28"/>
          <w:szCs w:val="28"/>
          <w:highlight w:val="none"/>
        </w:rPr>
        <w:t>日期：       年    月   日</w:t>
      </w:r>
    </w:p>
    <w:p>
      <w:pPr>
        <w:autoSpaceDE w:val="0"/>
        <w:autoSpaceDN w:val="0"/>
        <w:adjustRightInd w:val="0"/>
        <w:jc w:val="center"/>
        <w:rPr>
          <w:rFonts w:hint="eastAsia" w:ascii="宋体" w:hAnsi="宋体" w:eastAsia="宋体" w:cs="宋体"/>
          <w:b/>
          <w:sz w:val="24"/>
          <w:szCs w:val="24"/>
          <w:highlight w:val="none"/>
          <w:lang w:val="zh-CN"/>
        </w:rPr>
      </w:pPr>
    </w:p>
    <w:p>
      <w:pPr>
        <w:autoSpaceDE w:val="0"/>
        <w:autoSpaceDN w:val="0"/>
        <w:adjustRightInd w:val="0"/>
        <w:jc w:val="center"/>
        <w:rPr>
          <w:rFonts w:hint="eastAsia" w:ascii="宋体" w:hAnsi="宋体" w:eastAsia="宋体" w:cs="宋体"/>
          <w:b/>
          <w:sz w:val="24"/>
          <w:szCs w:val="24"/>
          <w:highlight w:val="none"/>
          <w:lang w:val="zh-CN"/>
        </w:rPr>
      </w:pPr>
    </w:p>
    <w:p>
      <w:pPr>
        <w:autoSpaceDE w:val="0"/>
        <w:autoSpaceDN w:val="0"/>
        <w:adjustRightInd w:val="0"/>
        <w:jc w:val="center"/>
        <w:rPr>
          <w:rFonts w:hint="eastAsia" w:ascii="宋体" w:hAnsi="宋体" w:eastAsia="宋体" w:cs="宋体"/>
          <w:b/>
          <w:sz w:val="24"/>
          <w:szCs w:val="24"/>
          <w:highlight w:val="none"/>
          <w:lang w:val="zh-CN"/>
        </w:rPr>
      </w:pPr>
    </w:p>
    <w:p>
      <w:pPr>
        <w:widowControl/>
        <w:jc w:val="left"/>
        <w:rPr>
          <w:rFonts w:hint="eastAsia" w:ascii="宋体" w:hAnsi="宋体" w:eastAsia="宋体" w:cs="宋体"/>
          <w:b/>
          <w:sz w:val="24"/>
          <w:szCs w:val="24"/>
          <w:highlight w:val="none"/>
          <w:lang w:val="zh-CN"/>
        </w:rPr>
      </w:pPr>
      <w:r>
        <w:rPr>
          <w:rFonts w:hint="eastAsia" w:ascii="宋体" w:hAnsi="宋体" w:eastAsia="宋体" w:cs="宋体"/>
          <w:b/>
          <w:sz w:val="24"/>
          <w:szCs w:val="24"/>
          <w:highlight w:val="none"/>
          <w:lang w:val="zh-CN"/>
        </w:rPr>
        <w:br w:type="page"/>
      </w:r>
    </w:p>
    <w:p>
      <w:pPr>
        <w:widowControl/>
        <w:jc w:val="left"/>
        <w:rPr>
          <w:rFonts w:hint="eastAsia" w:ascii="宋体" w:hAnsi="宋体" w:eastAsia="宋体" w:cs="宋体"/>
          <w:b/>
          <w:sz w:val="24"/>
          <w:szCs w:val="24"/>
          <w:highlight w:val="none"/>
          <w:lang w:val="zh-CN"/>
        </w:rPr>
      </w:pPr>
    </w:p>
    <w:p>
      <w:pPr>
        <w:spacing w:after="120" w:afterLines="50" w:line="300" w:lineRule="exact"/>
        <w:jc w:val="center"/>
        <w:rPr>
          <w:rFonts w:hint="eastAsia" w:ascii="宋体" w:hAnsi="宋体" w:eastAsia="宋体" w:cs="宋体"/>
          <w:sz w:val="24"/>
          <w:highlight w:val="none"/>
        </w:rPr>
      </w:pPr>
      <w:r>
        <w:rPr>
          <w:rFonts w:hint="eastAsia" w:ascii="宋体" w:hAnsi="宋体" w:eastAsia="宋体" w:cs="宋体"/>
          <w:sz w:val="24"/>
          <w:highlight w:val="none"/>
        </w:rPr>
        <w:t>参加政府采购活动前3年内在经营活动中没有重大违法记录的书面声明</w:t>
      </w:r>
    </w:p>
    <w:p>
      <w:pPr>
        <w:spacing w:after="120" w:afterLines="50" w:line="300" w:lineRule="exact"/>
        <w:ind w:firstLine="480" w:firstLineChars="200"/>
        <w:rPr>
          <w:rFonts w:hint="eastAsia" w:ascii="宋体" w:hAnsi="宋体" w:eastAsia="宋体" w:cs="宋体"/>
          <w:sz w:val="24"/>
          <w:highlight w:val="none"/>
        </w:rPr>
      </w:pPr>
    </w:p>
    <w:p>
      <w:pPr>
        <w:spacing w:after="120" w:afterLines="50" w:line="300" w:lineRule="exact"/>
        <w:rPr>
          <w:rFonts w:hint="eastAsia" w:ascii="宋体" w:hAnsi="宋体" w:eastAsia="宋体" w:cs="宋体"/>
          <w:sz w:val="24"/>
          <w:highlight w:val="none"/>
        </w:rPr>
      </w:pPr>
    </w:p>
    <w:p>
      <w:pPr>
        <w:spacing w:after="120" w:afterLines="50" w:line="3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我公司在参加本次投标活动中，作为如下承诺：</w:t>
      </w:r>
    </w:p>
    <w:p>
      <w:pPr>
        <w:spacing w:after="120" w:afterLines="50" w:line="3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一、参加本次政府采购活动前三年内(2018年</w:t>
      </w:r>
      <w:r>
        <w:rPr>
          <w:rFonts w:hint="eastAsia" w:ascii="宋体" w:hAnsi="宋体" w:cs="宋体"/>
          <w:sz w:val="24"/>
          <w:highlight w:val="none"/>
          <w:lang w:val="en-US" w:eastAsia="zh-CN"/>
        </w:rPr>
        <w:t>9</w:t>
      </w:r>
      <w:r>
        <w:rPr>
          <w:rFonts w:hint="eastAsia" w:ascii="宋体" w:hAnsi="宋体" w:eastAsia="宋体" w:cs="宋体"/>
          <w:sz w:val="24"/>
          <w:highlight w:val="none"/>
        </w:rPr>
        <w:t>月至今），在经营活动中没有重大违法记录。</w:t>
      </w:r>
    </w:p>
    <w:p>
      <w:pPr>
        <w:spacing w:after="120" w:afterLines="50" w:line="3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二、未挂靠、借用资质进行投标等违法违规行为。</w:t>
      </w:r>
    </w:p>
    <w:p>
      <w:pPr>
        <w:spacing w:after="120" w:afterLines="50" w:line="3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三、提供的相关文件均真实、有效。</w:t>
      </w:r>
    </w:p>
    <w:p>
      <w:pPr>
        <w:spacing w:after="120" w:afterLines="50" w:line="3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若查实我公司提供的资料及上述承诺不属实，则招标人有权取消我公司的投标及中标资格，且我公司将无条件承担由此给本次招标带来的一切后果（包括经济损失）。</w:t>
      </w:r>
    </w:p>
    <w:p>
      <w:pPr>
        <w:spacing w:after="120" w:afterLines="50" w:line="300" w:lineRule="exact"/>
        <w:ind w:firstLine="480" w:firstLineChars="200"/>
        <w:rPr>
          <w:rFonts w:hint="eastAsia" w:ascii="宋体" w:hAnsi="宋体" w:eastAsia="宋体" w:cs="宋体"/>
          <w:sz w:val="24"/>
          <w:highlight w:val="none"/>
        </w:rPr>
      </w:pPr>
    </w:p>
    <w:p>
      <w:pPr>
        <w:spacing w:after="120" w:afterLines="50" w:line="3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特此声明。</w:t>
      </w:r>
    </w:p>
    <w:p>
      <w:pPr>
        <w:spacing w:after="120" w:afterLines="50" w:line="300" w:lineRule="exact"/>
        <w:ind w:firstLine="480" w:firstLineChars="200"/>
        <w:rPr>
          <w:rFonts w:hint="eastAsia" w:ascii="宋体" w:hAnsi="宋体" w:eastAsia="宋体" w:cs="宋体"/>
          <w:sz w:val="24"/>
          <w:highlight w:val="none"/>
        </w:rPr>
      </w:pPr>
    </w:p>
    <w:p>
      <w:pPr>
        <w:spacing w:after="120" w:afterLines="50" w:line="300" w:lineRule="exact"/>
        <w:ind w:firstLine="480" w:firstLineChars="200"/>
        <w:rPr>
          <w:rFonts w:hint="eastAsia" w:ascii="宋体" w:hAnsi="宋体" w:eastAsia="宋体" w:cs="宋体"/>
          <w:sz w:val="24"/>
          <w:highlight w:val="none"/>
        </w:rPr>
      </w:pPr>
    </w:p>
    <w:p>
      <w:pPr>
        <w:spacing w:after="120" w:afterLines="50" w:line="300" w:lineRule="exact"/>
        <w:ind w:left="3360" w:leftChars="1600"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投标人全称（公章）：</w:t>
      </w:r>
    </w:p>
    <w:p>
      <w:pPr>
        <w:spacing w:after="120" w:afterLines="50" w:line="300" w:lineRule="exact"/>
        <w:ind w:left="3360" w:leftChars="1600" w:firstLine="480" w:firstLineChars="200"/>
        <w:rPr>
          <w:rFonts w:hint="eastAsia" w:ascii="宋体" w:hAnsi="宋体" w:eastAsia="宋体" w:cs="宋体"/>
          <w:sz w:val="24"/>
          <w:highlight w:val="none"/>
        </w:rPr>
      </w:pPr>
      <w:r>
        <w:rPr>
          <w:rFonts w:hint="eastAsia" w:ascii="宋体" w:hAnsi="宋体" w:eastAsia="宋体" w:cs="宋体"/>
          <w:sz w:val="24"/>
          <w:highlight w:val="none"/>
        </w:rPr>
        <w:t>法定代表人（签章）：</w:t>
      </w:r>
    </w:p>
    <w:p>
      <w:pPr>
        <w:spacing w:after="120" w:afterLines="50" w:line="300" w:lineRule="exact"/>
        <w:ind w:left="3360" w:leftChars="1600" w:firstLine="480" w:firstLineChars="200"/>
        <w:rPr>
          <w:rFonts w:hint="eastAsia" w:ascii="宋体" w:hAnsi="宋体" w:eastAsia="宋体" w:cs="宋体"/>
          <w:sz w:val="24"/>
          <w:highlight w:val="none"/>
        </w:rPr>
      </w:pPr>
      <w:r>
        <w:rPr>
          <w:rFonts w:hint="eastAsia" w:ascii="宋体" w:hAnsi="宋体" w:eastAsia="宋体" w:cs="宋体"/>
          <w:sz w:val="24"/>
          <w:highlight w:val="none"/>
        </w:rPr>
        <w:t>日期：    年  月  日</w:t>
      </w:r>
    </w:p>
    <w:p>
      <w:pPr>
        <w:spacing w:after="120" w:afterLines="50" w:line="300" w:lineRule="exact"/>
        <w:ind w:firstLine="480" w:firstLineChars="200"/>
        <w:rPr>
          <w:rFonts w:hint="eastAsia" w:ascii="宋体" w:hAnsi="宋体" w:eastAsia="宋体" w:cs="宋体"/>
          <w:sz w:val="24"/>
          <w:highlight w:val="none"/>
        </w:rPr>
      </w:pPr>
    </w:p>
    <w:p>
      <w:pPr>
        <w:spacing w:after="120" w:afterLines="50" w:line="300" w:lineRule="exact"/>
        <w:rPr>
          <w:rFonts w:hint="eastAsia" w:ascii="宋体" w:hAnsi="宋体" w:eastAsia="宋体" w:cs="宋体"/>
          <w:b/>
          <w:sz w:val="24"/>
          <w:highlight w:val="none"/>
          <w:u w:val="single"/>
        </w:rPr>
      </w:pPr>
      <w:r>
        <w:rPr>
          <w:rFonts w:hint="eastAsia" w:ascii="宋体" w:hAnsi="宋体" w:eastAsia="宋体" w:cs="宋体"/>
          <w:b/>
          <w:sz w:val="24"/>
          <w:highlight w:val="none"/>
          <w:u w:val="single"/>
        </w:rPr>
        <w:t>后附：</w:t>
      </w:r>
    </w:p>
    <w:p>
      <w:pPr>
        <w:spacing w:after="120" w:afterLines="50" w:line="300" w:lineRule="exact"/>
        <w:rPr>
          <w:rFonts w:hint="eastAsia" w:ascii="宋体" w:hAnsi="宋体" w:eastAsia="宋体" w:cs="宋体"/>
          <w:b/>
          <w:sz w:val="24"/>
          <w:highlight w:val="none"/>
          <w:u w:val="single"/>
        </w:rPr>
      </w:pPr>
      <w:r>
        <w:rPr>
          <w:rFonts w:hint="eastAsia" w:ascii="宋体" w:hAnsi="宋体" w:eastAsia="宋体" w:cs="宋体"/>
          <w:b/>
          <w:sz w:val="24"/>
          <w:highlight w:val="none"/>
          <w:u w:val="single"/>
        </w:rPr>
        <w:t>A、 “信用中国”网站（www.creditchina.gov.cn）查询的投标人信用记录</w:t>
      </w:r>
    </w:p>
    <w:p>
      <w:pPr>
        <w:spacing w:after="120" w:afterLines="50" w:line="300" w:lineRule="exact"/>
        <w:rPr>
          <w:rFonts w:hint="eastAsia" w:ascii="宋体" w:hAnsi="宋体" w:eastAsia="宋体" w:cs="宋体"/>
          <w:b/>
          <w:sz w:val="24"/>
          <w:highlight w:val="none"/>
          <w:u w:val="single"/>
        </w:rPr>
      </w:pPr>
      <w:r>
        <w:rPr>
          <w:rFonts w:hint="eastAsia" w:ascii="宋体" w:hAnsi="宋体" w:eastAsia="宋体" w:cs="宋体"/>
          <w:b/>
          <w:sz w:val="24"/>
          <w:highlight w:val="none"/>
          <w:u w:val="single"/>
        </w:rPr>
        <w:t>B、中国政府采购网（http://www.ccgp.gov.cn/cr/list）查询的投标人信用记录。</w:t>
      </w:r>
    </w:p>
    <w:p>
      <w:pPr>
        <w:spacing w:after="120" w:afterLines="50" w:line="300" w:lineRule="exact"/>
        <w:ind w:firstLine="480" w:firstLineChars="200"/>
        <w:rPr>
          <w:rFonts w:hint="eastAsia" w:ascii="宋体" w:hAnsi="宋体" w:eastAsia="宋体" w:cs="宋体"/>
          <w:sz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rPr>
          <w:rFonts w:hint="eastAsia" w:ascii="宋体" w:hAnsi="宋体" w:eastAsia="宋体" w:cs="宋体"/>
          <w:b/>
          <w:sz w:val="24"/>
          <w:szCs w:val="24"/>
          <w:highlight w:val="none"/>
        </w:rPr>
      </w:pPr>
    </w:p>
    <w:p>
      <w:pPr>
        <w:spacing w:line="360" w:lineRule="auto"/>
        <w:jc w:val="left"/>
        <w:outlineLvl w:val="0"/>
        <w:rPr>
          <w:rFonts w:hint="eastAsia" w:ascii="宋体" w:hAnsi="宋体" w:eastAsia="宋体" w:cs="宋体"/>
          <w:b/>
          <w:bCs/>
          <w:sz w:val="30"/>
          <w:szCs w:val="30"/>
          <w:highlight w:val="none"/>
        </w:rPr>
      </w:pPr>
      <w:bookmarkStart w:id="104" w:name="_Toc31026"/>
      <w:bookmarkStart w:id="105" w:name="_Toc31057"/>
      <w:r>
        <w:rPr>
          <w:rFonts w:hint="eastAsia" w:ascii="宋体" w:hAnsi="宋体" w:eastAsia="宋体" w:cs="宋体"/>
          <w:b/>
          <w:bCs/>
          <w:sz w:val="30"/>
          <w:szCs w:val="30"/>
          <w:highlight w:val="none"/>
        </w:rPr>
        <w:t>附件：</w:t>
      </w:r>
      <w:bookmarkEnd w:id="104"/>
      <w:bookmarkEnd w:id="105"/>
    </w:p>
    <w:p>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宋体" w:hAnsi="宋体" w:eastAsia="宋体" w:cs="宋体"/>
          <w:color w:val="auto"/>
          <w:sz w:val="28"/>
          <w:szCs w:val="28"/>
          <w:highlight w:val="none"/>
        </w:rPr>
      </w:pPr>
    </w:p>
    <w:p>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宋体" w:hAnsi="宋体" w:eastAsia="宋体" w:cs="宋体"/>
          <w:color w:val="auto"/>
          <w:sz w:val="28"/>
          <w:szCs w:val="28"/>
          <w:highlight w:val="none"/>
        </w:rPr>
      </w:pPr>
    </w:p>
    <w:p>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w:t>
      </w:r>
    </w:p>
    <w:p>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本人及同住人最近14天内未到过（或途经）风险地区承诺书</w:t>
      </w:r>
    </w:p>
    <w:p>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w:t>
      </w:r>
    </w:p>
    <w:p>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本人承诺：本人及同住人最近14天内未到过（或途经）国务院政务服务平台发布的中、高风险地区。</w:t>
      </w:r>
    </w:p>
    <w:p>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w:t>
      </w:r>
    </w:p>
    <w:p>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w:t>
      </w:r>
    </w:p>
    <w:p>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w:t>
      </w:r>
    </w:p>
    <w:p>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w:t>
      </w:r>
    </w:p>
    <w:p>
      <w:pPr>
        <w:keepNext w:val="0"/>
        <w:keepLines w:val="0"/>
        <w:pageBreakBefore w:val="0"/>
        <w:widowControl w:val="0"/>
        <w:kinsoku/>
        <w:wordWrap/>
        <w:overflowPunct/>
        <w:topLinePunct w:val="0"/>
        <w:autoSpaceDE/>
        <w:autoSpaceDN/>
        <w:bidi w:val="0"/>
        <w:adjustRightInd w:val="0"/>
        <w:snapToGrid/>
        <w:spacing w:line="360" w:lineRule="auto"/>
        <w:ind w:firstLine="5600" w:firstLineChars="2000"/>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承诺人：</w:t>
      </w:r>
    </w:p>
    <w:p>
      <w:pPr>
        <w:keepNext w:val="0"/>
        <w:keepLines w:val="0"/>
        <w:pageBreakBefore w:val="0"/>
        <w:widowControl w:val="0"/>
        <w:kinsoku/>
        <w:wordWrap/>
        <w:overflowPunct/>
        <w:topLinePunct w:val="0"/>
        <w:autoSpaceDE/>
        <w:autoSpaceDN/>
        <w:bidi w:val="0"/>
        <w:adjustRightInd w:val="0"/>
        <w:snapToGrid/>
        <w:spacing w:line="360" w:lineRule="auto"/>
        <w:ind w:firstLine="5600" w:firstLineChars="2000"/>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承诺人单位：</w:t>
      </w:r>
    </w:p>
    <w:p>
      <w:pPr>
        <w:keepNext w:val="0"/>
        <w:keepLines w:val="0"/>
        <w:pageBreakBefore w:val="0"/>
        <w:widowControl w:val="0"/>
        <w:kinsoku/>
        <w:wordWrap/>
        <w:overflowPunct/>
        <w:topLinePunct w:val="0"/>
        <w:autoSpaceDE/>
        <w:autoSpaceDN/>
        <w:bidi w:val="0"/>
        <w:adjustRightInd w:val="0"/>
        <w:snapToGrid/>
        <w:spacing w:line="360" w:lineRule="auto"/>
        <w:ind w:firstLine="5320" w:firstLineChars="1900"/>
        <w:textAlignment w:val="baseline"/>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年    月    日</w:t>
      </w: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b/>
          <w:sz w:val="24"/>
          <w:szCs w:val="24"/>
          <w:highlight w:val="none"/>
        </w:rPr>
      </w:pPr>
      <w:r>
        <w:rPr>
          <w:rFonts w:hint="eastAsia" w:ascii="宋体" w:hAnsi="宋体" w:eastAsia="宋体" w:cs="宋体"/>
          <w:b/>
          <w:sz w:val="24"/>
          <w:szCs w:val="24"/>
          <w:highlight w:val="none"/>
        </w:rPr>
        <w:br w:type="page"/>
      </w:r>
    </w:p>
    <w:p>
      <w:pPr>
        <w:pStyle w:val="201"/>
        <w:rPr>
          <w:rFonts w:hint="eastAsia" w:ascii="宋体" w:hAnsi="宋体" w:eastAsia="宋体" w:cs="宋体"/>
          <w:b/>
          <w:sz w:val="28"/>
          <w:szCs w:val="28"/>
          <w:highlight w:val="none"/>
        </w:rPr>
      </w:pPr>
      <w:bookmarkStart w:id="106" w:name="_Hlk67322555"/>
      <w:r>
        <w:rPr>
          <w:rFonts w:hint="eastAsia" w:ascii="宋体" w:hAnsi="宋体" w:eastAsia="宋体" w:cs="宋体"/>
          <w:b/>
          <w:sz w:val="28"/>
          <w:szCs w:val="28"/>
          <w:highlight w:val="none"/>
        </w:rPr>
        <w:t>★</w:t>
      </w:r>
      <w:r>
        <w:rPr>
          <w:rFonts w:hint="eastAsia" w:ascii="宋体" w:hAnsi="宋体" w:eastAsia="宋体" w:cs="宋体"/>
          <w:b/>
          <w:sz w:val="24"/>
          <w:szCs w:val="24"/>
          <w:highlight w:val="none"/>
        </w:rPr>
        <w:t>上海教育建设管理咨询有限公司投标保证金提交和退还操作须知</w:t>
      </w:r>
      <w:bookmarkEnd w:id="106"/>
      <w:r>
        <w:rPr>
          <w:rFonts w:hint="eastAsia" w:ascii="宋体" w:hAnsi="宋体" w:eastAsia="宋体" w:cs="宋体"/>
          <w:b/>
          <w:sz w:val="24"/>
          <w:szCs w:val="24"/>
          <w:highlight w:val="none"/>
        </w:rPr>
        <w:t>V2.</w:t>
      </w:r>
      <w:bookmarkStart w:id="107" w:name="_Ref329935320"/>
      <w:bookmarkStart w:id="108" w:name="_Ref202346040"/>
      <w:r>
        <w:rPr>
          <w:rFonts w:hint="eastAsia" w:ascii="宋体" w:hAnsi="宋体" w:eastAsia="宋体" w:cs="宋体"/>
          <w:b/>
          <w:sz w:val="24"/>
          <w:szCs w:val="24"/>
          <w:highlight w:val="none"/>
        </w:rPr>
        <w:t>3</w:t>
      </w:r>
    </w:p>
    <w:p>
      <w:pPr>
        <w:pStyle w:val="3"/>
        <w:rPr>
          <w:rFonts w:hint="eastAsia" w:ascii="宋体" w:hAnsi="宋体" w:eastAsia="宋体" w:cs="宋体"/>
          <w:b w:val="0"/>
          <w:highlight w:val="none"/>
        </w:rPr>
      </w:pPr>
      <w:bookmarkStart w:id="109" w:name="_Toc20482"/>
      <w:bookmarkStart w:id="110" w:name="_Toc1369"/>
      <w:r>
        <w:rPr>
          <w:rFonts w:hint="eastAsia" w:ascii="宋体" w:hAnsi="宋体" w:eastAsia="宋体" w:cs="宋体"/>
          <w:highlight w:val="none"/>
        </w:rPr>
        <w:t>1、接收</w:t>
      </w:r>
      <w:r>
        <w:rPr>
          <w:rFonts w:hint="eastAsia" w:ascii="宋体" w:hAnsi="宋体" w:eastAsia="宋体" w:cs="宋体"/>
          <w:highlight w:val="none"/>
          <w:u w:val="single"/>
        </w:rPr>
        <w:t>投标保证金</w:t>
      </w:r>
      <w:r>
        <w:rPr>
          <w:rFonts w:hint="eastAsia" w:ascii="宋体" w:hAnsi="宋体" w:eastAsia="宋体" w:cs="宋体"/>
          <w:highlight w:val="none"/>
        </w:rPr>
        <w:t>的银行账户信息</w:t>
      </w:r>
      <w:bookmarkEnd w:id="107"/>
      <w:bookmarkEnd w:id="109"/>
      <w:bookmarkEnd w:id="110"/>
    </w:p>
    <w:p>
      <w:pPr>
        <w:ind w:firstLine="420" w:firstLineChars="200"/>
        <w:rPr>
          <w:rFonts w:hint="eastAsia" w:ascii="宋体" w:hAnsi="宋体" w:eastAsia="宋体" w:cs="宋体"/>
          <w:highlight w:val="none"/>
        </w:rPr>
      </w:pPr>
      <w:r>
        <w:rPr>
          <w:rFonts w:hint="eastAsia" w:ascii="宋体" w:hAnsi="宋体" w:eastAsia="宋体" w:cs="宋体"/>
          <w:highlight w:val="none"/>
        </w:rPr>
        <w:t>(1)帐户名（人民币）：上海教育建设管理咨询有限公司</w:t>
      </w:r>
    </w:p>
    <w:p>
      <w:pPr>
        <w:ind w:firstLine="420" w:firstLineChars="200"/>
        <w:rPr>
          <w:rFonts w:hint="eastAsia" w:ascii="宋体" w:hAnsi="宋体" w:eastAsia="宋体" w:cs="宋体"/>
          <w:highlight w:val="none"/>
        </w:rPr>
      </w:pPr>
      <w:r>
        <w:rPr>
          <w:rFonts w:hint="eastAsia" w:ascii="宋体" w:hAnsi="宋体" w:eastAsia="宋体" w:cs="宋体"/>
          <w:highlight w:val="none"/>
        </w:rPr>
        <w:t>(2)开户银行：工行中山广场支行</w:t>
      </w:r>
    </w:p>
    <w:p>
      <w:pPr>
        <w:ind w:firstLine="420" w:firstLineChars="200"/>
        <w:rPr>
          <w:rFonts w:hint="eastAsia" w:ascii="宋体" w:hAnsi="宋体" w:eastAsia="宋体" w:cs="宋体"/>
          <w:highlight w:val="none"/>
        </w:rPr>
      </w:pPr>
      <w:r>
        <w:rPr>
          <w:rFonts w:hint="eastAsia" w:ascii="宋体" w:hAnsi="宋体" w:eastAsia="宋体" w:cs="宋体"/>
          <w:highlight w:val="none"/>
        </w:rPr>
        <w:t>(3)银行行号：102290017039</w:t>
      </w:r>
    </w:p>
    <w:p>
      <w:pPr>
        <w:ind w:firstLine="420" w:firstLineChars="200"/>
        <w:rPr>
          <w:rFonts w:hint="eastAsia" w:ascii="宋体" w:hAnsi="宋体" w:eastAsia="宋体" w:cs="宋体"/>
          <w:highlight w:val="none"/>
        </w:rPr>
      </w:pPr>
      <w:r>
        <w:rPr>
          <w:rFonts w:hint="eastAsia" w:ascii="宋体" w:hAnsi="宋体" w:eastAsia="宋体" w:cs="宋体"/>
          <w:highlight w:val="none"/>
        </w:rPr>
        <w:t>(4)帐号（人民币）：1001170319006748261</w:t>
      </w:r>
    </w:p>
    <w:p>
      <w:pPr>
        <w:ind w:firstLine="420" w:firstLineChars="200"/>
        <w:rPr>
          <w:rFonts w:hint="eastAsia" w:ascii="宋体" w:hAnsi="宋体" w:eastAsia="宋体" w:cs="宋体"/>
          <w:highlight w:val="none"/>
        </w:rPr>
      </w:pPr>
    </w:p>
    <w:p>
      <w:pPr>
        <w:ind w:firstLine="480"/>
        <w:rPr>
          <w:rFonts w:hint="eastAsia" w:ascii="宋体" w:hAnsi="宋体" w:eastAsia="宋体" w:cs="宋体"/>
          <w:highlight w:val="none"/>
        </w:rPr>
      </w:pPr>
      <w:r>
        <w:rPr>
          <w:rFonts w:hint="eastAsia" w:ascii="宋体" w:hAnsi="宋体" w:eastAsia="宋体" w:cs="宋体"/>
          <w:highlight w:val="none"/>
        </w:rPr>
        <w:t>备注：国际招标的投标保证金账户应增加：</w:t>
      </w:r>
    </w:p>
    <w:p>
      <w:pPr>
        <w:ind w:firstLine="480"/>
        <w:rPr>
          <w:rFonts w:hint="eastAsia" w:ascii="宋体" w:hAnsi="宋体" w:eastAsia="宋体" w:cs="宋体"/>
          <w:highlight w:val="none"/>
        </w:rPr>
      </w:pPr>
      <w:r>
        <w:rPr>
          <w:rFonts w:hint="eastAsia" w:ascii="宋体" w:hAnsi="宋体" w:eastAsia="宋体" w:cs="宋体"/>
          <w:highlight w:val="none"/>
        </w:rPr>
        <w:t>(1)开户银行（美元）：INDUSTRIAL AND COMMERCIAL BANK OF CHINA SHANGHAI MUNICIPAL BRANCH CHANGNING SUB-BRANCH（</w:t>
      </w:r>
      <w:r>
        <w:rPr>
          <w:rFonts w:hint="eastAsia" w:ascii="宋体" w:hAnsi="宋体" w:eastAsia="宋体" w:cs="宋体"/>
          <w:szCs w:val="18"/>
          <w:highlight w:val="none"/>
        </w:rPr>
        <w:t>Swift Code: ICBKCNBJSHI）</w:t>
      </w:r>
    </w:p>
    <w:p>
      <w:pPr>
        <w:ind w:firstLine="480"/>
        <w:rPr>
          <w:rFonts w:hint="eastAsia" w:ascii="宋体" w:hAnsi="宋体" w:eastAsia="宋体" w:cs="宋体"/>
          <w:highlight w:val="none"/>
        </w:rPr>
      </w:pPr>
      <w:r>
        <w:rPr>
          <w:rFonts w:hint="eastAsia" w:ascii="宋体" w:hAnsi="宋体" w:eastAsia="宋体" w:cs="宋体"/>
          <w:highlight w:val="none"/>
        </w:rPr>
        <w:t>(2)账号（美元）：1001170309148002545</w:t>
      </w:r>
    </w:p>
    <w:p>
      <w:pPr>
        <w:ind w:firstLine="420" w:firstLineChars="200"/>
        <w:rPr>
          <w:rFonts w:hint="eastAsia" w:ascii="宋体" w:hAnsi="宋体" w:eastAsia="宋体" w:cs="宋体"/>
          <w:highlight w:val="none"/>
        </w:rPr>
      </w:pPr>
    </w:p>
    <w:p>
      <w:pPr>
        <w:pStyle w:val="3"/>
        <w:rPr>
          <w:rFonts w:hint="eastAsia" w:ascii="宋体" w:hAnsi="宋体" w:eastAsia="宋体" w:cs="宋体"/>
          <w:b w:val="0"/>
          <w:highlight w:val="none"/>
        </w:rPr>
      </w:pPr>
      <w:bookmarkStart w:id="111" w:name="_Toc7614"/>
      <w:bookmarkStart w:id="112" w:name="_Ref329937703"/>
      <w:bookmarkStart w:id="113" w:name="_Toc29187"/>
      <w:r>
        <w:rPr>
          <w:rFonts w:hint="eastAsia" w:ascii="宋体" w:hAnsi="宋体" w:eastAsia="宋体" w:cs="宋体"/>
          <w:kern w:val="0"/>
          <w:highlight w:val="none"/>
        </w:rPr>
        <w:t>2、</w:t>
      </w:r>
      <w:r>
        <w:rPr>
          <w:rFonts w:hint="eastAsia" w:ascii="宋体" w:hAnsi="宋体" w:eastAsia="宋体" w:cs="宋体"/>
          <w:highlight w:val="none"/>
        </w:rPr>
        <w:t>投标保证金咨询</w:t>
      </w:r>
      <w:bookmarkEnd w:id="111"/>
      <w:bookmarkEnd w:id="112"/>
      <w:bookmarkEnd w:id="113"/>
    </w:p>
    <w:p>
      <w:pPr>
        <w:ind w:firstLine="420" w:firstLineChars="200"/>
        <w:rPr>
          <w:rFonts w:hint="eastAsia" w:ascii="宋体" w:hAnsi="宋体" w:eastAsia="宋体" w:cs="宋体"/>
          <w:highlight w:val="none"/>
        </w:rPr>
      </w:pPr>
      <w:r>
        <w:rPr>
          <w:rFonts w:hint="eastAsia" w:ascii="宋体" w:hAnsi="宋体" w:eastAsia="宋体" w:cs="宋体"/>
          <w:highlight w:val="none"/>
        </w:rPr>
        <w:t>(1)地点：中国上海钦江路88号东楼626室前台处</w:t>
      </w:r>
    </w:p>
    <w:p>
      <w:pPr>
        <w:ind w:firstLine="420" w:firstLineChars="200"/>
        <w:rPr>
          <w:rFonts w:hint="eastAsia" w:ascii="宋体" w:hAnsi="宋体" w:eastAsia="宋体" w:cs="宋体"/>
          <w:highlight w:val="none"/>
        </w:rPr>
      </w:pPr>
      <w:r>
        <w:rPr>
          <w:rFonts w:hint="eastAsia" w:ascii="宋体" w:hAnsi="宋体" w:eastAsia="宋体" w:cs="宋体"/>
          <w:highlight w:val="none"/>
        </w:rPr>
        <w:t>(2)时间：中国境内每个法定工作日的正常工作时间（北京时间9:30时～11:30时和13:30时～16:30时）</w:t>
      </w:r>
    </w:p>
    <w:p>
      <w:pPr>
        <w:ind w:firstLine="420" w:firstLineChars="200"/>
        <w:rPr>
          <w:rFonts w:hint="eastAsia" w:ascii="宋体" w:hAnsi="宋体" w:eastAsia="宋体" w:cs="宋体"/>
          <w:highlight w:val="none"/>
          <w:lang w:val="en-US" w:eastAsia="zh-CN"/>
        </w:rPr>
      </w:pPr>
      <w:r>
        <w:rPr>
          <w:rFonts w:hint="eastAsia" w:ascii="宋体" w:hAnsi="宋体" w:eastAsia="宋体" w:cs="宋体"/>
          <w:highlight w:val="none"/>
        </w:rPr>
        <w:t>(3)联系人：</w:t>
      </w:r>
      <w:r>
        <w:rPr>
          <w:rFonts w:hint="eastAsia" w:ascii="宋体" w:hAnsi="宋体" w:cs="宋体"/>
          <w:highlight w:val="none"/>
          <w:lang w:val="en-US" w:eastAsia="zh-CN"/>
        </w:rPr>
        <w:t>朱</w:t>
      </w:r>
      <w:r>
        <w:rPr>
          <w:rFonts w:hint="eastAsia" w:ascii="宋体" w:hAnsi="宋体" w:eastAsia="宋体" w:cs="宋体"/>
          <w:highlight w:val="none"/>
        </w:rPr>
        <w:t>老师，联系电话：63820186*800</w:t>
      </w:r>
      <w:r>
        <w:rPr>
          <w:rFonts w:hint="eastAsia" w:ascii="宋体" w:hAnsi="宋体" w:cs="宋体"/>
          <w:highlight w:val="none"/>
          <w:lang w:val="en-US" w:eastAsia="zh-CN"/>
        </w:rPr>
        <w:t>1</w:t>
      </w:r>
    </w:p>
    <w:p>
      <w:pPr>
        <w:pStyle w:val="3"/>
        <w:rPr>
          <w:rFonts w:hint="eastAsia" w:ascii="宋体" w:hAnsi="宋体" w:eastAsia="宋体" w:cs="宋体"/>
          <w:b w:val="0"/>
          <w:highlight w:val="none"/>
        </w:rPr>
      </w:pPr>
      <w:bookmarkStart w:id="114" w:name="_Toc10355"/>
      <w:bookmarkStart w:id="115" w:name="_Toc16887"/>
      <w:r>
        <w:rPr>
          <w:rFonts w:hint="eastAsia" w:ascii="宋体" w:hAnsi="宋体" w:eastAsia="宋体" w:cs="宋体"/>
          <w:kern w:val="0"/>
          <w:highlight w:val="none"/>
        </w:rPr>
        <w:t>3、</w:t>
      </w:r>
      <w:r>
        <w:rPr>
          <w:rFonts w:hint="eastAsia" w:ascii="宋体" w:hAnsi="宋体" w:eastAsia="宋体" w:cs="宋体"/>
          <w:highlight w:val="none"/>
        </w:rPr>
        <w:t>投标保证金编号及金额</w:t>
      </w:r>
      <w:bookmarkEnd w:id="114"/>
      <w:bookmarkEnd w:id="115"/>
    </w:p>
    <w:p>
      <w:pPr>
        <w:ind w:firstLine="422" w:firstLineChars="200"/>
        <w:rPr>
          <w:rFonts w:hint="eastAsia" w:ascii="宋体" w:hAnsi="宋体" w:eastAsia="宋体" w:cs="宋体"/>
          <w:b/>
          <w:highlight w:val="none"/>
          <w:u w:val="single"/>
        </w:rPr>
      </w:pPr>
      <w:r>
        <w:rPr>
          <w:rFonts w:hint="eastAsia" w:ascii="宋体" w:hAnsi="宋体" w:eastAsia="宋体" w:cs="宋体"/>
          <w:b/>
          <w:highlight w:val="none"/>
        </w:rPr>
        <w:t>(1)本项目保证金编号:</w:t>
      </w:r>
      <w:r>
        <w:rPr>
          <w:rFonts w:hint="eastAsia" w:ascii="宋体" w:hAnsi="宋体" w:eastAsia="宋体" w:cs="宋体"/>
          <w:b/>
          <w:highlight w:val="none"/>
          <w:u w:val="single"/>
        </w:rPr>
        <w:t>2021-0415-ne</w:t>
      </w:r>
    </w:p>
    <w:p>
      <w:pPr>
        <w:ind w:firstLine="422" w:firstLineChars="200"/>
        <w:rPr>
          <w:rFonts w:hint="eastAsia" w:ascii="宋体" w:hAnsi="宋体" w:eastAsia="宋体" w:cs="宋体"/>
          <w:b/>
          <w:highlight w:val="none"/>
          <w:u w:val="single"/>
        </w:rPr>
      </w:pPr>
      <w:r>
        <w:rPr>
          <w:rFonts w:hint="eastAsia" w:ascii="宋体" w:hAnsi="宋体" w:eastAsia="宋体" w:cs="宋体"/>
          <w:b/>
          <w:highlight w:val="none"/>
        </w:rPr>
        <w:t>(2)本投标保证金：</w:t>
      </w:r>
      <w:r>
        <w:rPr>
          <w:rFonts w:hint="eastAsia" w:ascii="宋体" w:hAnsi="宋体" w:eastAsia="宋体" w:cs="宋体"/>
          <w:b/>
          <w:highlight w:val="none"/>
          <w:u w:val="single"/>
        </w:rPr>
        <w:t xml:space="preserve"> </w:t>
      </w:r>
      <w:r>
        <w:rPr>
          <w:rFonts w:hint="eastAsia" w:ascii="宋体" w:hAnsi="宋体" w:cs="宋体"/>
          <w:b/>
          <w:highlight w:val="none"/>
          <w:u w:val="single"/>
          <w:lang w:val="en-US" w:eastAsia="zh-CN"/>
        </w:rPr>
        <w:t>1</w:t>
      </w:r>
      <w:r>
        <w:rPr>
          <w:rFonts w:hint="eastAsia" w:ascii="宋体" w:hAnsi="宋体" w:eastAsia="宋体" w:cs="宋体"/>
          <w:b/>
          <w:highlight w:val="none"/>
          <w:u w:val="single"/>
        </w:rPr>
        <w:t xml:space="preserve"> </w:t>
      </w:r>
      <w:r>
        <w:rPr>
          <w:rFonts w:hint="eastAsia" w:ascii="宋体" w:hAnsi="宋体" w:eastAsia="宋体" w:cs="宋体"/>
          <w:b/>
          <w:highlight w:val="none"/>
        </w:rPr>
        <w:t>万元</w:t>
      </w:r>
    </w:p>
    <w:p>
      <w:pPr>
        <w:pStyle w:val="3"/>
        <w:rPr>
          <w:rFonts w:hint="eastAsia" w:ascii="宋体" w:hAnsi="宋体" w:eastAsia="宋体" w:cs="宋体"/>
          <w:b w:val="0"/>
          <w:highlight w:val="none"/>
        </w:rPr>
      </w:pPr>
      <w:bookmarkStart w:id="116" w:name="_Toc24901"/>
      <w:bookmarkStart w:id="117" w:name="_Toc17337"/>
      <w:r>
        <w:rPr>
          <w:rFonts w:hint="eastAsia" w:ascii="宋体" w:hAnsi="宋体" w:eastAsia="宋体" w:cs="宋体"/>
          <w:highlight w:val="none"/>
        </w:rPr>
        <w:t>4、投标保证金的提交</w:t>
      </w:r>
      <w:bookmarkEnd w:id="108"/>
      <w:bookmarkEnd w:id="116"/>
      <w:bookmarkEnd w:id="117"/>
      <w:bookmarkStart w:id="118" w:name="_Ref202337736"/>
    </w:p>
    <w:p>
      <w:pPr>
        <w:ind w:firstLine="420" w:firstLineChars="200"/>
        <w:rPr>
          <w:rFonts w:hint="eastAsia" w:ascii="宋体" w:hAnsi="宋体" w:eastAsia="宋体" w:cs="宋体"/>
          <w:highlight w:val="none"/>
        </w:rPr>
      </w:pPr>
      <w:r>
        <w:rPr>
          <w:rFonts w:hint="eastAsia" w:ascii="宋体" w:hAnsi="宋体" w:eastAsia="宋体" w:cs="宋体"/>
          <w:highlight w:val="none"/>
        </w:rPr>
        <w:t>(一)提交方式为支票、银行本票、银行汇票、贷记凭证、电汇、网上支付、银行保函。</w:t>
      </w:r>
    </w:p>
    <w:p>
      <w:pPr>
        <w:ind w:firstLine="420" w:firstLineChars="200"/>
        <w:rPr>
          <w:rFonts w:hint="eastAsia" w:ascii="宋体" w:hAnsi="宋体" w:eastAsia="宋体" w:cs="宋体"/>
          <w:highlight w:val="none"/>
        </w:rPr>
      </w:pPr>
      <w:r>
        <w:rPr>
          <w:rFonts w:hint="eastAsia" w:ascii="宋体" w:hAnsi="宋体" w:eastAsia="宋体" w:cs="宋体"/>
          <w:highlight w:val="none"/>
        </w:rPr>
        <w:t>1、投标人在递交投标文件的同时，应按本须知规定的金额、形式递交投标保证金，并作为其投标文件的组成部分。在提交保证金的汇款附言中请务必注明：“投标保证金：项目编号”；</w:t>
      </w:r>
    </w:p>
    <w:p>
      <w:pPr>
        <w:ind w:firstLine="420" w:firstLineChars="200"/>
        <w:rPr>
          <w:rFonts w:hint="eastAsia" w:ascii="宋体" w:hAnsi="宋体" w:eastAsia="宋体" w:cs="宋体"/>
          <w:highlight w:val="none"/>
        </w:rPr>
      </w:pPr>
      <w:r>
        <w:rPr>
          <w:rFonts w:hint="eastAsia" w:ascii="宋体" w:hAnsi="宋体" w:eastAsia="宋体" w:cs="宋体"/>
          <w:highlight w:val="none"/>
        </w:rPr>
        <w:t>2、联合体投标的，其投标保证金应由牵头人递交，并应符合本须知的规定。</w:t>
      </w:r>
    </w:p>
    <w:p>
      <w:pPr>
        <w:ind w:firstLine="420" w:firstLineChars="200"/>
        <w:rPr>
          <w:rFonts w:hint="eastAsia" w:ascii="宋体" w:hAnsi="宋体" w:eastAsia="宋体" w:cs="宋体"/>
          <w:highlight w:val="none"/>
        </w:rPr>
      </w:pPr>
      <w:r>
        <w:rPr>
          <w:rFonts w:hint="eastAsia" w:ascii="宋体" w:hAnsi="宋体" w:eastAsia="宋体" w:cs="宋体"/>
          <w:highlight w:val="none"/>
        </w:rPr>
        <w:t xml:space="preserve">3、投标保证金的付款人必须与投标人名称一致，不得委托分支机构代为提交。 </w:t>
      </w:r>
    </w:p>
    <w:p>
      <w:pPr>
        <w:ind w:firstLine="420" w:firstLineChars="200"/>
        <w:rPr>
          <w:rFonts w:hint="eastAsia" w:ascii="宋体" w:hAnsi="宋体" w:eastAsia="宋体" w:cs="宋体"/>
          <w:highlight w:val="none"/>
        </w:rPr>
      </w:pPr>
      <w:r>
        <w:rPr>
          <w:rFonts w:hint="eastAsia" w:ascii="宋体" w:hAnsi="宋体" w:eastAsia="宋体" w:cs="宋体"/>
          <w:highlight w:val="none"/>
        </w:rPr>
        <w:t xml:space="preserve">4、投标人必须按照本须知要求金额足额提交投标保证金，不得超额提交，更不得提供虚假、无效的票函。 </w:t>
      </w:r>
    </w:p>
    <w:p>
      <w:pPr>
        <w:ind w:firstLine="420" w:firstLineChars="200"/>
        <w:rPr>
          <w:rFonts w:hint="eastAsia" w:ascii="宋体" w:hAnsi="宋体" w:eastAsia="宋体" w:cs="宋体"/>
          <w:highlight w:val="none"/>
        </w:rPr>
      </w:pPr>
      <w:r>
        <w:rPr>
          <w:rFonts w:hint="eastAsia" w:ascii="宋体" w:hAnsi="宋体" w:eastAsia="宋体" w:cs="宋体"/>
          <w:highlight w:val="none"/>
        </w:rPr>
        <w:t xml:space="preserve">5、投标人不得使用经过背书转让的支票、银行本票、银行汇票提交投标保证金。 </w:t>
      </w:r>
    </w:p>
    <w:p>
      <w:pPr>
        <w:ind w:firstLine="420" w:firstLineChars="200"/>
        <w:rPr>
          <w:rFonts w:hint="eastAsia" w:ascii="宋体" w:hAnsi="宋体" w:eastAsia="宋体" w:cs="宋体"/>
          <w:highlight w:val="none"/>
        </w:rPr>
      </w:pPr>
      <w:r>
        <w:rPr>
          <w:rFonts w:hint="eastAsia" w:ascii="宋体" w:hAnsi="宋体" w:eastAsia="宋体" w:cs="宋体"/>
          <w:highlight w:val="none"/>
        </w:rPr>
        <w:t>6、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pPr>
        <w:ind w:firstLine="420" w:firstLineChars="200"/>
        <w:rPr>
          <w:rFonts w:hint="eastAsia" w:ascii="宋体" w:hAnsi="宋体" w:eastAsia="宋体" w:cs="宋体"/>
          <w:highlight w:val="none"/>
        </w:rPr>
      </w:pPr>
      <w:r>
        <w:rPr>
          <w:rFonts w:hint="eastAsia" w:ascii="宋体" w:hAnsi="宋体" w:eastAsia="宋体" w:cs="宋体"/>
          <w:highlight w:val="none"/>
        </w:rPr>
        <w:t>7、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pPr>
        <w:ind w:firstLine="420" w:firstLineChars="200"/>
        <w:rPr>
          <w:rFonts w:hint="eastAsia" w:ascii="宋体" w:hAnsi="宋体" w:eastAsia="宋体" w:cs="宋体"/>
          <w:highlight w:val="none"/>
        </w:rPr>
      </w:pPr>
      <w:r>
        <w:rPr>
          <w:rFonts w:hint="eastAsia" w:ascii="宋体" w:hAnsi="宋体" w:eastAsia="宋体" w:cs="宋体"/>
          <w:highlight w:val="none"/>
        </w:rPr>
        <w:t>8、中国境外（含中国台湾、香港和澳门地区，下同）的投标人也可以授权中国境内的某单位采用本须知所列形式代替其提交投标保证金；或者通过一家在中国境内的银行直接开具投标保证金银行保函。</w:t>
      </w:r>
      <w:r>
        <w:rPr>
          <w:rFonts w:hint="eastAsia" w:ascii="宋体" w:hAnsi="宋体" w:eastAsia="宋体" w:cs="宋体"/>
          <w:b/>
          <w:highlight w:val="none"/>
          <w:u w:val="single"/>
        </w:rPr>
        <w:t>当采用前一种方式提交时，投标人应在开标时携带授权书原件，否则按未实质性响应标书要求处理。</w:t>
      </w:r>
      <w:r>
        <w:rPr>
          <w:rFonts w:hint="eastAsia" w:ascii="宋体" w:hAnsi="宋体" w:eastAsia="宋体" w:cs="宋体"/>
          <w:highlight w:val="none"/>
        </w:rPr>
        <w:t>格式如本须知附件一所示的授权书。（仅适用于境外投标人）</w:t>
      </w:r>
      <w:bookmarkEnd w:id="118"/>
    </w:p>
    <w:p>
      <w:pPr>
        <w:ind w:firstLine="420" w:firstLineChars="200"/>
        <w:rPr>
          <w:rFonts w:hint="eastAsia" w:ascii="宋体" w:hAnsi="宋体" w:eastAsia="宋体" w:cs="宋体"/>
          <w:highlight w:val="none"/>
        </w:rPr>
      </w:pPr>
      <w:r>
        <w:rPr>
          <w:rFonts w:hint="eastAsia" w:ascii="宋体" w:hAnsi="宋体" w:eastAsia="宋体" w:cs="宋体"/>
          <w:highlight w:val="none"/>
        </w:rPr>
        <w:t>9、境内投标人以支票形式提交的投标保证金，应当从其基本账户转出并在投标文件中附上基本账户开户证明。</w:t>
      </w:r>
    </w:p>
    <w:p>
      <w:pPr>
        <w:pStyle w:val="3"/>
        <w:rPr>
          <w:rFonts w:hint="eastAsia" w:ascii="宋体" w:hAnsi="宋体" w:eastAsia="宋体" w:cs="宋体"/>
          <w:highlight w:val="none"/>
        </w:rPr>
      </w:pPr>
      <w:bookmarkStart w:id="119" w:name="_Toc14941"/>
      <w:bookmarkStart w:id="120" w:name="_Toc8923"/>
      <w:r>
        <w:rPr>
          <w:rFonts w:hint="eastAsia" w:ascii="宋体" w:hAnsi="宋体" w:eastAsia="宋体" w:cs="宋体"/>
          <w:highlight w:val="none"/>
        </w:rPr>
        <w:t>5、投标保证金的退还</w:t>
      </w:r>
      <w:bookmarkEnd w:id="119"/>
      <w:bookmarkEnd w:id="120"/>
    </w:p>
    <w:p>
      <w:pPr>
        <w:ind w:firstLine="422" w:firstLineChars="200"/>
        <w:rPr>
          <w:rFonts w:hint="eastAsia" w:ascii="宋体" w:hAnsi="宋体" w:eastAsia="宋体" w:cs="宋体"/>
          <w:highlight w:val="none"/>
        </w:rPr>
      </w:pPr>
      <w:r>
        <w:rPr>
          <w:rFonts w:hint="eastAsia" w:ascii="宋体" w:hAnsi="宋体" w:eastAsia="宋体" w:cs="宋体"/>
          <w:b/>
          <w:highlight w:val="none"/>
        </w:rPr>
        <w:t>(1)</w:t>
      </w:r>
      <w:r>
        <w:rPr>
          <w:rFonts w:hint="eastAsia" w:ascii="宋体" w:hAnsi="宋体" w:eastAsia="宋体" w:cs="宋体"/>
          <w:b/>
          <w:highlight w:val="none"/>
          <w:u w:val="single"/>
        </w:rPr>
        <w:t>中标人：</w:t>
      </w:r>
      <w:r>
        <w:rPr>
          <w:rFonts w:hint="eastAsia" w:ascii="宋体" w:hAnsi="宋体" w:eastAsia="宋体" w:cs="宋体"/>
          <w:highlight w:val="none"/>
        </w:rPr>
        <w:t>在评审结果公示后，招标人和（或）招标代理机构</w:t>
      </w:r>
      <w:r>
        <w:rPr>
          <w:rFonts w:hint="eastAsia" w:ascii="宋体" w:hAnsi="宋体" w:eastAsia="宋体" w:cs="宋体"/>
          <w:b/>
          <w:highlight w:val="none"/>
          <w:u w:val="single"/>
        </w:rPr>
        <w:t>在中标人缴纳中标服务费（如有）</w:t>
      </w:r>
      <w:r>
        <w:rPr>
          <w:rFonts w:hint="eastAsia" w:ascii="宋体" w:hAnsi="宋体" w:eastAsia="宋体" w:cs="宋体"/>
          <w:highlight w:val="none"/>
        </w:rPr>
        <w:t>后将向中标人发出“中标通知书”，招标人在与中标人签订中标合同后，且在未发生招标文件规定的招标人和（或）招标代理机构有权不退还投标保证金的情况时退还：</w:t>
      </w:r>
    </w:p>
    <w:p>
      <w:pPr>
        <w:ind w:firstLine="420" w:firstLineChars="200"/>
        <w:rPr>
          <w:rFonts w:hint="eastAsia" w:ascii="宋体" w:hAnsi="宋体" w:eastAsia="宋体" w:cs="宋体"/>
          <w:highlight w:val="none"/>
        </w:rPr>
      </w:pPr>
      <w:r>
        <w:rPr>
          <w:rFonts w:hint="eastAsia" w:ascii="宋体" w:hAnsi="宋体" w:eastAsia="宋体" w:cs="宋体"/>
          <w:highlight w:val="none"/>
        </w:rPr>
        <w:t>中标人登录“教建咨询”微信公众号上传</w:t>
      </w:r>
      <w:r>
        <w:rPr>
          <w:rFonts w:hint="eastAsia" w:ascii="宋体" w:hAnsi="宋体" w:eastAsia="宋体" w:cs="宋体"/>
          <w:b/>
          <w:highlight w:val="none"/>
          <w:u w:val="single"/>
        </w:rPr>
        <w:t>中标人与招标人签署的加盖中标人公章（红章）的合同扫描件</w:t>
      </w:r>
      <w:r>
        <w:rPr>
          <w:rFonts w:hint="eastAsia" w:ascii="宋体" w:hAnsi="宋体" w:eastAsia="宋体" w:cs="宋体"/>
          <w:highlight w:val="none"/>
        </w:rPr>
        <w:t>后向</w:t>
      </w:r>
      <w:r>
        <w:rPr>
          <w:rFonts w:hint="eastAsia" w:ascii="宋体" w:hAnsi="宋体" w:eastAsia="宋体" w:cs="宋体"/>
          <w:b/>
          <w:highlight w:val="none"/>
        </w:rPr>
        <w:t>原账户</w:t>
      </w:r>
      <w:r>
        <w:rPr>
          <w:rFonts w:hint="eastAsia" w:ascii="宋体" w:hAnsi="宋体" w:eastAsia="宋体" w:cs="宋体"/>
          <w:highlight w:val="none"/>
        </w:rPr>
        <w:t>退还。</w:t>
      </w:r>
    </w:p>
    <w:p>
      <w:pPr>
        <w:rPr>
          <w:rFonts w:hint="eastAsia" w:ascii="宋体" w:hAnsi="宋体" w:eastAsia="宋体" w:cs="宋体"/>
          <w:highlight w:val="none"/>
        </w:rPr>
      </w:pPr>
    </w:p>
    <w:p>
      <w:pPr>
        <w:ind w:firstLine="422" w:firstLineChars="200"/>
        <w:rPr>
          <w:rFonts w:hint="eastAsia" w:ascii="宋体" w:hAnsi="宋体" w:eastAsia="宋体" w:cs="宋体"/>
          <w:highlight w:val="none"/>
        </w:rPr>
      </w:pPr>
      <w:r>
        <w:rPr>
          <w:rFonts w:hint="eastAsia" w:ascii="宋体" w:hAnsi="宋体" w:eastAsia="宋体" w:cs="宋体"/>
          <w:b/>
          <w:highlight w:val="none"/>
        </w:rPr>
        <w:t>(2)</w:t>
      </w:r>
      <w:r>
        <w:rPr>
          <w:rFonts w:hint="eastAsia" w:ascii="宋体" w:hAnsi="宋体" w:eastAsia="宋体" w:cs="宋体"/>
          <w:b/>
          <w:highlight w:val="none"/>
          <w:u w:val="single"/>
        </w:rPr>
        <w:t>未中标人：</w:t>
      </w:r>
      <w:r>
        <w:rPr>
          <w:rFonts w:hint="eastAsia" w:ascii="宋体" w:hAnsi="宋体" w:eastAsia="宋体" w:cs="宋体"/>
          <w:highlight w:val="none"/>
        </w:rPr>
        <w:t>招标人最迟将在与中标人签订合同后 5 日内，在未发生招标文件规定的招标人和（或）招标代理机构有权不退还投标保证金的情况时向</w:t>
      </w:r>
      <w:r>
        <w:rPr>
          <w:rFonts w:hint="eastAsia" w:ascii="宋体" w:hAnsi="宋体" w:eastAsia="宋体" w:cs="宋体"/>
          <w:b/>
          <w:highlight w:val="none"/>
        </w:rPr>
        <w:t>原账户</w:t>
      </w:r>
      <w:r>
        <w:rPr>
          <w:rFonts w:hint="eastAsia" w:ascii="宋体" w:hAnsi="宋体" w:eastAsia="宋体" w:cs="宋体"/>
          <w:highlight w:val="none"/>
        </w:rPr>
        <w:t>退还。</w:t>
      </w:r>
    </w:p>
    <w:p>
      <w:pPr>
        <w:rPr>
          <w:rFonts w:hint="eastAsia" w:ascii="宋体" w:hAnsi="宋体" w:eastAsia="宋体" w:cs="宋体"/>
          <w:highlight w:val="none"/>
        </w:rPr>
      </w:pPr>
    </w:p>
    <w:p>
      <w:pPr>
        <w:ind w:firstLine="420" w:firstLineChars="200"/>
        <w:rPr>
          <w:rFonts w:hint="eastAsia" w:ascii="宋体" w:hAnsi="宋体" w:eastAsia="宋体" w:cs="宋体"/>
          <w:b/>
          <w:highlight w:val="none"/>
          <w:u w:val="single"/>
        </w:rPr>
      </w:pPr>
      <w:r>
        <w:rPr>
          <w:rFonts w:hint="eastAsia" w:ascii="宋体" w:hAnsi="宋体" w:eastAsia="宋体" w:cs="宋体"/>
          <w:highlight w:val="none"/>
        </w:rPr>
        <w:t>(3)对采用网上转账、贷记凭证、电汇、银行本票、银行汇票或支票方式提交的投标保证金，在退还的同时还将按中国人民银行公布的</w:t>
      </w:r>
      <w:r>
        <w:rPr>
          <w:rFonts w:hint="eastAsia" w:ascii="宋体" w:hAnsi="宋体" w:eastAsia="宋体" w:cs="宋体"/>
          <w:b/>
          <w:highlight w:val="none"/>
        </w:rPr>
        <w:t>人民币活期存款利率</w:t>
      </w:r>
      <w:r>
        <w:rPr>
          <w:rFonts w:hint="eastAsia" w:ascii="宋体" w:hAnsi="宋体" w:eastAsia="宋体" w:cs="宋体"/>
          <w:highlight w:val="none"/>
        </w:rPr>
        <w:t>向投标人支付</w:t>
      </w:r>
      <w:r>
        <w:rPr>
          <w:rFonts w:hint="eastAsia" w:ascii="宋体" w:hAnsi="宋体" w:eastAsia="宋体" w:cs="宋体"/>
          <w:b/>
          <w:highlight w:val="none"/>
        </w:rPr>
        <w:t>投标保证金利息。</w:t>
      </w:r>
      <w:r>
        <w:rPr>
          <w:rFonts w:hint="eastAsia" w:ascii="宋体" w:hAnsi="宋体" w:eastAsia="宋体" w:cs="宋体"/>
          <w:highlight w:val="none"/>
        </w:rPr>
        <w:t>对采用银行保函形式提交的投标保证金，将只退还保函正本，</w:t>
      </w:r>
      <w:r>
        <w:rPr>
          <w:rFonts w:hint="eastAsia" w:ascii="宋体" w:hAnsi="宋体" w:eastAsia="宋体" w:cs="宋体"/>
          <w:b/>
          <w:highlight w:val="none"/>
        </w:rPr>
        <w:t>不支付投标保证金利息</w:t>
      </w:r>
      <w:r>
        <w:rPr>
          <w:rFonts w:hint="eastAsia" w:ascii="宋体" w:hAnsi="宋体" w:eastAsia="宋体" w:cs="宋体"/>
          <w:highlight w:val="none"/>
        </w:rPr>
        <w:t>。</w:t>
      </w:r>
    </w:p>
    <w:p>
      <w:pPr>
        <w:pStyle w:val="3"/>
        <w:rPr>
          <w:rFonts w:hint="eastAsia" w:ascii="宋体" w:hAnsi="宋体" w:eastAsia="宋体" w:cs="宋体"/>
          <w:highlight w:val="none"/>
        </w:rPr>
      </w:pPr>
      <w:bookmarkStart w:id="121" w:name="_Toc30021"/>
      <w:bookmarkStart w:id="122" w:name="_Toc12414"/>
      <w:r>
        <w:rPr>
          <w:rFonts w:hint="eastAsia" w:ascii="宋体" w:hAnsi="宋体" w:eastAsia="宋体" w:cs="宋体"/>
          <w:highlight w:val="none"/>
        </w:rPr>
        <w:t>6、其他</w:t>
      </w:r>
      <w:bookmarkEnd w:id="121"/>
      <w:bookmarkEnd w:id="122"/>
    </w:p>
    <w:p>
      <w:pPr>
        <w:ind w:firstLine="420" w:firstLineChars="200"/>
        <w:rPr>
          <w:rFonts w:hint="eastAsia" w:ascii="宋体" w:hAnsi="宋体" w:eastAsia="宋体" w:cs="宋体"/>
          <w:highlight w:val="none"/>
        </w:rPr>
      </w:pPr>
      <w:r>
        <w:rPr>
          <w:rFonts w:hint="eastAsia" w:ascii="宋体" w:hAnsi="宋体" w:eastAsia="宋体" w:cs="宋体"/>
          <w:highlight w:val="none"/>
        </w:rPr>
        <w:t>(1)本须知如被具体招标项目的招标文件所引用，即成为该</w:t>
      </w:r>
      <w:r>
        <w:rPr>
          <w:rFonts w:hint="eastAsia" w:ascii="宋体" w:hAnsi="宋体" w:eastAsia="宋体" w:cs="宋体"/>
          <w:b/>
          <w:highlight w:val="none"/>
        </w:rPr>
        <w:t>招标文件的组成部分</w:t>
      </w:r>
      <w:r>
        <w:rPr>
          <w:rFonts w:hint="eastAsia" w:ascii="宋体" w:hAnsi="宋体" w:eastAsia="宋体" w:cs="宋体"/>
          <w:highlight w:val="none"/>
        </w:rPr>
        <w:t>。</w:t>
      </w:r>
    </w:p>
    <w:p>
      <w:pPr>
        <w:ind w:firstLine="420" w:firstLineChars="200"/>
        <w:rPr>
          <w:rFonts w:hint="eastAsia" w:ascii="宋体" w:hAnsi="宋体" w:eastAsia="宋体" w:cs="宋体"/>
          <w:b/>
          <w:highlight w:val="none"/>
          <w:u w:val="single"/>
        </w:rPr>
      </w:pPr>
      <w:r>
        <w:rPr>
          <w:rFonts w:hint="eastAsia" w:ascii="宋体" w:hAnsi="宋体" w:eastAsia="宋体" w:cs="宋体"/>
          <w:highlight w:val="none"/>
        </w:rPr>
        <w:t>(2)</w:t>
      </w:r>
      <w:r>
        <w:rPr>
          <w:rFonts w:hint="eastAsia" w:ascii="宋体" w:hAnsi="宋体" w:eastAsia="宋体" w:cs="宋体"/>
          <w:b/>
          <w:highlight w:val="none"/>
          <w:u w:val="single"/>
        </w:rPr>
        <w:t>对于因不可抗力等原因导致投标保证金未及时到账等情况，招标人和招标代理机构不承担任何责任。</w:t>
      </w:r>
    </w:p>
    <w:p>
      <w:pPr>
        <w:ind w:firstLine="420" w:firstLineChars="200"/>
        <w:rPr>
          <w:rFonts w:hint="eastAsia" w:ascii="宋体" w:hAnsi="宋体" w:eastAsia="宋体" w:cs="宋体"/>
          <w:b/>
          <w:highlight w:val="none"/>
          <w:u w:val="single"/>
        </w:rPr>
      </w:pPr>
      <w:r>
        <w:rPr>
          <w:rFonts w:hint="eastAsia" w:ascii="宋体" w:hAnsi="宋体" w:eastAsia="宋体" w:cs="宋体"/>
          <w:highlight w:val="none"/>
        </w:rPr>
        <w:t>(3)当投标人选投一个招标项目的多个包件或标段时，须用</w:t>
      </w:r>
      <w:r>
        <w:rPr>
          <w:rFonts w:hint="eastAsia" w:ascii="宋体" w:hAnsi="宋体" w:eastAsia="宋体" w:cs="宋体"/>
          <w:b/>
          <w:highlight w:val="none"/>
        </w:rPr>
        <w:t>附表方式注明每个包件或标段的投标保证金金额</w:t>
      </w:r>
      <w:r>
        <w:rPr>
          <w:rFonts w:hint="eastAsia" w:ascii="宋体" w:hAnsi="宋体" w:eastAsia="宋体" w:cs="宋体"/>
          <w:highlight w:val="none"/>
        </w:rPr>
        <w:t>。如投标人未具体注明其所投各包件或标段的投标保证金金额，且合计的保证金金额又不足时，评标委员将按其所投全部包件或标段的投标保证金均不符合要求来处理。</w:t>
      </w:r>
    </w:p>
    <w:p>
      <w:pPr>
        <w:ind w:firstLine="420" w:firstLineChars="200"/>
        <w:rPr>
          <w:rFonts w:hint="eastAsia" w:ascii="宋体" w:hAnsi="宋体" w:eastAsia="宋体" w:cs="宋体"/>
          <w:b/>
          <w:highlight w:val="none"/>
          <w:u w:val="single"/>
        </w:rPr>
      </w:pPr>
      <w:r>
        <w:rPr>
          <w:rFonts w:hint="eastAsia" w:ascii="宋体" w:hAnsi="宋体" w:eastAsia="宋体" w:cs="宋体"/>
          <w:highlight w:val="none"/>
        </w:rPr>
        <w:t>(4)</w:t>
      </w:r>
      <w:r>
        <w:rPr>
          <w:rFonts w:hint="eastAsia" w:ascii="宋体" w:hAnsi="宋体" w:eastAsia="宋体" w:cs="宋体"/>
          <w:b/>
          <w:highlight w:val="none"/>
        </w:rPr>
        <w:t>投标保证金的有效期应当与投标有效期一致。</w:t>
      </w:r>
    </w:p>
    <w:p>
      <w:pPr>
        <w:ind w:firstLine="420" w:firstLineChars="200"/>
        <w:rPr>
          <w:rFonts w:hint="eastAsia" w:ascii="宋体" w:hAnsi="宋体" w:eastAsia="宋体" w:cs="宋体"/>
          <w:b/>
          <w:highlight w:val="none"/>
        </w:rPr>
      </w:pPr>
      <w:r>
        <w:rPr>
          <w:rFonts w:hint="eastAsia" w:ascii="宋体" w:hAnsi="宋体" w:eastAsia="宋体" w:cs="宋体"/>
          <w:highlight w:val="none"/>
        </w:rPr>
        <w:t>(5)</w:t>
      </w:r>
      <w:r>
        <w:rPr>
          <w:rFonts w:hint="eastAsia" w:ascii="宋体" w:hAnsi="宋体" w:eastAsia="宋体" w:cs="宋体"/>
          <w:b/>
          <w:highlight w:val="none"/>
        </w:rPr>
        <w:t>有下列情形之一的，投标保证金将不予退还：</w:t>
      </w:r>
    </w:p>
    <w:p>
      <w:pPr>
        <w:pStyle w:val="93"/>
        <w:numPr>
          <w:ilvl w:val="0"/>
          <w:numId w:val="8"/>
        </w:numPr>
        <w:adjustRightInd w:val="0"/>
        <w:spacing w:line="360" w:lineRule="atLeast"/>
        <w:ind w:left="1100" w:firstLineChars="0"/>
        <w:textAlignment w:val="baseline"/>
        <w:rPr>
          <w:rFonts w:hint="eastAsia" w:ascii="宋体" w:hAnsi="宋体" w:eastAsia="宋体" w:cs="宋体"/>
          <w:b/>
          <w:highlight w:val="none"/>
        </w:rPr>
      </w:pPr>
      <w:r>
        <w:rPr>
          <w:rFonts w:hint="eastAsia" w:ascii="宋体" w:hAnsi="宋体" w:eastAsia="宋体" w:cs="宋体"/>
          <w:b/>
          <w:highlight w:val="none"/>
        </w:rPr>
        <w:t>投标人在投标有效期内撤销投标文件；</w:t>
      </w:r>
    </w:p>
    <w:p>
      <w:pPr>
        <w:pStyle w:val="93"/>
        <w:numPr>
          <w:ilvl w:val="0"/>
          <w:numId w:val="8"/>
        </w:numPr>
        <w:adjustRightInd w:val="0"/>
        <w:spacing w:line="360" w:lineRule="atLeast"/>
        <w:ind w:left="1100" w:firstLineChars="0"/>
        <w:textAlignment w:val="baseline"/>
        <w:rPr>
          <w:rFonts w:hint="eastAsia" w:ascii="宋体" w:hAnsi="宋体" w:eastAsia="宋体" w:cs="宋体"/>
          <w:b/>
          <w:highlight w:val="none"/>
        </w:rPr>
      </w:pPr>
      <w:r>
        <w:rPr>
          <w:rFonts w:hint="eastAsia" w:ascii="宋体" w:hAnsi="宋体" w:eastAsia="宋体" w:cs="宋体"/>
          <w:b/>
          <w:highlight w:val="none"/>
        </w:rPr>
        <w:t>中标人在收到中标通知书后，无正当理由不与招标人订立合同，在签订合同时向招标人提出附加条件，或者不按照招标文件要求提交履约保证金；</w:t>
      </w:r>
    </w:p>
    <w:p>
      <w:pPr>
        <w:pStyle w:val="93"/>
        <w:numPr>
          <w:ilvl w:val="0"/>
          <w:numId w:val="8"/>
        </w:numPr>
        <w:adjustRightInd w:val="0"/>
        <w:spacing w:line="360" w:lineRule="atLeast"/>
        <w:ind w:left="1100" w:firstLineChars="0"/>
        <w:textAlignment w:val="baseline"/>
        <w:rPr>
          <w:rFonts w:hint="eastAsia" w:ascii="宋体" w:hAnsi="宋体" w:eastAsia="宋体" w:cs="宋体"/>
          <w:b/>
          <w:highlight w:val="none"/>
        </w:rPr>
      </w:pPr>
      <w:r>
        <w:rPr>
          <w:rFonts w:hint="eastAsia" w:ascii="宋体" w:hAnsi="宋体" w:eastAsia="宋体" w:cs="宋体"/>
          <w:b/>
          <w:highlight w:val="none"/>
        </w:rPr>
        <w:t>发生其他可以不予退还投标保证金的情形。</w:t>
      </w:r>
    </w:p>
    <w:p>
      <w:pPr>
        <w:ind w:firstLine="420" w:firstLineChars="200"/>
        <w:outlineLvl w:val="0"/>
        <w:rPr>
          <w:rFonts w:hint="eastAsia" w:ascii="宋体" w:hAnsi="宋体" w:eastAsia="宋体" w:cs="宋体"/>
          <w:highlight w:val="none"/>
        </w:rPr>
      </w:pPr>
      <w:r>
        <w:rPr>
          <w:rFonts w:hint="eastAsia" w:ascii="宋体" w:hAnsi="宋体" w:eastAsia="宋体" w:cs="宋体"/>
          <w:highlight w:val="none"/>
        </w:rPr>
        <w:br w:type="page"/>
      </w:r>
      <w:bookmarkStart w:id="123" w:name="_Toc6005"/>
      <w:bookmarkStart w:id="124" w:name="_Toc26016"/>
      <w:r>
        <w:rPr>
          <w:rFonts w:hint="eastAsia" w:ascii="宋体" w:hAnsi="宋体" w:eastAsia="宋体" w:cs="宋体"/>
          <w:b/>
          <w:highlight w:val="none"/>
        </w:rPr>
        <w:t>附件一：</w:t>
      </w:r>
      <w:bookmarkEnd w:id="123"/>
      <w:bookmarkEnd w:id="124"/>
    </w:p>
    <w:p>
      <w:pPr>
        <w:pStyle w:val="194"/>
        <w:spacing w:before="168" w:beforeLines="70" w:after="288" w:afterLines="120"/>
        <w:rPr>
          <w:rFonts w:hint="eastAsia" w:ascii="宋体" w:hAnsi="宋体" w:eastAsia="宋体" w:cs="宋体"/>
          <w:b/>
          <w:sz w:val="28"/>
          <w:szCs w:val="28"/>
          <w:highlight w:val="none"/>
        </w:rPr>
      </w:pPr>
      <w:r>
        <w:rPr>
          <w:rFonts w:hint="eastAsia" w:ascii="宋体" w:hAnsi="宋体" w:eastAsia="宋体" w:cs="宋体"/>
          <w:b/>
          <w:sz w:val="28"/>
          <w:szCs w:val="28"/>
          <w:highlight w:val="none"/>
        </w:rPr>
        <w:t>关于投标保证金的授权函</w:t>
      </w:r>
    </w:p>
    <w:p>
      <w:pPr>
        <w:pStyle w:val="15"/>
        <w:ind w:firstLine="400" w:firstLineChars="200"/>
        <w:rPr>
          <w:rFonts w:hint="eastAsia" w:ascii="宋体" w:hAnsi="宋体" w:eastAsia="宋体" w:cs="宋体"/>
          <w:highlight w:val="none"/>
        </w:rPr>
      </w:pPr>
      <w:r>
        <w:rPr>
          <w:rFonts w:hint="eastAsia" w:ascii="宋体" w:hAnsi="宋体" w:eastAsia="宋体" w:cs="宋体"/>
          <w:i/>
          <w:highlight w:val="none"/>
          <w:u w:val="single"/>
        </w:rPr>
        <w:t>（填入投标人名称）</w:t>
      </w:r>
      <w:r>
        <w:rPr>
          <w:rFonts w:hint="eastAsia" w:ascii="宋体" w:hAnsi="宋体" w:eastAsia="宋体" w:cs="宋体"/>
          <w:highlight w:val="none"/>
        </w:rPr>
        <w:t>（以下简称“授权人”）授权</w:t>
      </w:r>
      <w:r>
        <w:rPr>
          <w:rFonts w:hint="eastAsia" w:ascii="宋体" w:hAnsi="宋体" w:eastAsia="宋体" w:cs="宋体"/>
          <w:i/>
          <w:highlight w:val="none"/>
          <w:u w:val="single"/>
        </w:rPr>
        <w:t>（填入被授权单位名称）</w:t>
      </w:r>
      <w:r>
        <w:rPr>
          <w:rFonts w:hint="eastAsia" w:ascii="宋体" w:hAnsi="宋体" w:eastAsia="宋体" w:cs="宋体"/>
          <w:highlight w:val="none"/>
        </w:rPr>
        <w:t>（以下简称“被授权人”）代表本方提交</w:t>
      </w:r>
      <w:r>
        <w:rPr>
          <w:rFonts w:hint="eastAsia" w:ascii="宋体" w:hAnsi="宋体" w:eastAsia="宋体" w:cs="宋体"/>
          <w:i/>
          <w:highlight w:val="none"/>
          <w:u w:val="single"/>
        </w:rPr>
        <w:t>（填入招标项目名称及编号）</w:t>
      </w:r>
      <w:r>
        <w:rPr>
          <w:rFonts w:hint="eastAsia" w:ascii="宋体" w:hAnsi="宋体" w:eastAsia="宋体" w:cs="宋体"/>
          <w:highlight w:val="none"/>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pPr>
        <w:pStyle w:val="15"/>
        <w:ind w:firstLine="400" w:firstLineChars="200"/>
        <w:rPr>
          <w:rFonts w:hint="eastAsia" w:ascii="宋体" w:hAnsi="宋体" w:eastAsia="宋体" w:cs="宋体"/>
          <w:highlight w:val="none"/>
        </w:rPr>
      </w:pPr>
      <w:r>
        <w:rPr>
          <w:rFonts w:hint="eastAsia" w:ascii="宋体" w:hAnsi="宋体" w:eastAsia="宋体" w:cs="宋体"/>
          <w:highlight w:val="none"/>
        </w:rPr>
        <w:t>本授权书在本项目招标文件规定的投标有效期内（包括授权人同意延长的投标有效期内）始终有效。</w:t>
      </w:r>
    </w:p>
    <w:p>
      <w:pPr>
        <w:spacing w:before="1248" w:beforeLines="520"/>
        <w:ind w:firstLine="3775" w:firstLineChars="1798"/>
        <w:rPr>
          <w:rFonts w:hint="eastAsia" w:ascii="宋体" w:hAnsi="宋体" w:eastAsia="宋体" w:cs="宋体"/>
          <w:highlight w:val="none"/>
        </w:rPr>
      </w:pPr>
      <w:r>
        <w:rPr>
          <w:rFonts w:hint="eastAsia" w:ascii="宋体" w:hAnsi="宋体" w:eastAsia="宋体" w:cs="宋体"/>
          <w:highlight w:val="none"/>
        </w:rPr>
        <w:t>授权人：</w:t>
      </w:r>
      <w:r>
        <w:rPr>
          <w:rFonts w:hint="eastAsia" w:ascii="宋体" w:hAnsi="宋体" w:eastAsia="宋体" w:cs="宋体"/>
          <w:i/>
          <w:highlight w:val="none"/>
          <w:u w:val="single"/>
        </w:rPr>
        <w:t>（填入投标人名称）</w:t>
      </w:r>
    </w:p>
    <w:p>
      <w:pPr>
        <w:spacing w:before="168" w:beforeLines="70"/>
        <w:ind w:firstLine="3775" w:firstLineChars="1798"/>
        <w:rPr>
          <w:rFonts w:hint="eastAsia" w:ascii="宋体" w:hAnsi="宋体" w:eastAsia="宋体" w:cs="宋体"/>
          <w:highlight w:val="none"/>
        </w:rPr>
      </w:pPr>
      <w:r>
        <w:rPr>
          <w:rFonts w:hint="eastAsia" w:ascii="宋体" w:hAnsi="宋体" w:eastAsia="宋体" w:cs="宋体"/>
          <w:highlight w:val="none"/>
        </w:rPr>
        <w:t>授权人的法定代表人或其</w:t>
      </w:r>
    </w:p>
    <w:p>
      <w:pPr>
        <w:ind w:firstLine="3775" w:firstLineChars="1798"/>
        <w:rPr>
          <w:rFonts w:hint="eastAsia" w:ascii="宋体" w:hAnsi="宋体" w:eastAsia="宋体" w:cs="宋体"/>
          <w:highlight w:val="none"/>
        </w:rPr>
      </w:pPr>
      <w:r>
        <w:rPr>
          <w:rFonts w:hint="eastAsia" w:ascii="宋体" w:hAnsi="宋体" w:eastAsia="宋体" w:cs="宋体"/>
          <w:highlight w:val="none"/>
        </w:rPr>
        <w:t>授权签署投标文件的代表签名：</w:t>
      </w:r>
    </w:p>
    <w:p>
      <w:pPr>
        <w:spacing w:before="192" w:beforeLines="80"/>
        <w:ind w:firstLine="3775" w:firstLineChars="1798"/>
        <w:rPr>
          <w:rFonts w:hint="eastAsia" w:ascii="宋体" w:hAnsi="宋体" w:eastAsia="宋体" w:cs="宋体"/>
          <w:highlight w:val="none"/>
        </w:rPr>
      </w:pPr>
      <w:r>
        <w:rPr>
          <w:rFonts w:hint="eastAsia" w:ascii="宋体" w:hAnsi="宋体" w:eastAsia="宋体" w:cs="宋体"/>
          <w:highlight w:val="none"/>
        </w:rPr>
        <w:t>被授权人：</w:t>
      </w:r>
      <w:r>
        <w:rPr>
          <w:rFonts w:hint="eastAsia" w:ascii="宋体" w:hAnsi="宋体" w:eastAsia="宋体" w:cs="宋体"/>
          <w:i/>
          <w:highlight w:val="none"/>
          <w:u w:val="single"/>
        </w:rPr>
        <w:t>（被授权人加盖公章）</w:t>
      </w: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widowControl/>
        <w:jc w:val="left"/>
        <w:rPr>
          <w:rFonts w:hint="eastAsia" w:ascii="宋体" w:hAnsi="宋体" w:eastAsia="宋体" w:cs="宋体"/>
          <w:b/>
          <w:highlight w:val="none"/>
        </w:rPr>
      </w:pPr>
      <w:r>
        <w:rPr>
          <w:rFonts w:hint="eastAsia" w:ascii="宋体" w:hAnsi="宋体" w:eastAsia="宋体" w:cs="宋体"/>
          <w:b/>
          <w:highlight w:val="none"/>
        </w:rPr>
        <w:br w:type="page"/>
      </w:r>
    </w:p>
    <w:p>
      <w:pPr>
        <w:widowControl/>
        <w:wordWrap w:val="0"/>
        <w:snapToGrid w:val="0"/>
        <w:spacing w:after="120" w:afterLines="50" w:line="300" w:lineRule="exact"/>
        <w:jc w:val="left"/>
        <w:outlineLvl w:val="0"/>
        <w:rPr>
          <w:rFonts w:hint="eastAsia" w:ascii="宋体" w:hAnsi="宋体" w:eastAsia="宋体" w:cs="宋体"/>
          <w:b/>
          <w:highlight w:val="none"/>
        </w:rPr>
      </w:pPr>
      <w:bookmarkStart w:id="125" w:name="_Toc20119"/>
      <w:bookmarkStart w:id="126" w:name="_Toc1994"/>
      <w:r>
        <w:rPr>
          <w:rFonts w:hint="eastAsia" w:ascii="宋体" w:hAnsi="宋体" w:eastAsia="宋体" w:cs="宋体"/>
          <w:b/>
          <w:highlight w:val="none"/>
        </w:rPr>
        <w:t>附件二：</w:t>
      </w:r>
      <w:bookmarkEnd w:id="125"/>
      <w:bookmarkEnd w:id="126"/>
    </w:p>
    <w:p>
      <w:pPr>
        <w:widowControl/>
        <w:wordWrap w:val="0"/>
        <w:snapToGrid w:val="0"/>
        <w:spacing w:after="120" w:afterLines="50" w:line="300" w:lineRule="exact"/>
        <w:jc w:val="left"/>
        <w:rPr>
          <w:rFonts w:hint="eastAsia" w:ascii="宋体" w:hAnsi="宋体" w:eastAsia="宋体" w:cs="宋体"/>
          <w:b/>
          <w:highlight w:val="none"/>
        </w:rPr>
      </w:pPr>
    </w:p>
    <w:p>
      <w:pPr>
        <w:widowControl/>
        <w:snapToGrid w:val="0"/>
        <w:spacing w:after="120" w:afterLines="50" w:line="300" w:lineRule="exact"/>
        <w:jc w:val="center"/>
        <w:outlineLvl w:val="0"/>
        <w:rPr>
          <w:rFonts w:hint="eastAsia" w:ascii="宋体" w:hAnsi="宋体" w:eastAsia="宋体" w:cs="宋体"/>
          <w:b/>
          <w:spacing w:val="20"/>
          <w:sz w:val="28"/>
          <w:szCs w:val="28"/>
          <w:highlight w:val="none"/>
        </w:rPr>
      </w:pPr>
      <w:bookmarkStart w:id="127" w:name="_Toc19921"/>
      <w:bookmarkStart w:id="128" w:name="_Toc2194"/>
      <w:r>
        <w:rPr>
          <w:rFonts w:hint="eastAsia" w:ascii="宋体" w:hAnsi="宋体" w:eastAsia="宋体" w:cs="宋体"/>
          <w:b/>
          <w:sz w:val="28"/>
          <w:szCs w:val="28"/>
          <w:highlight w:val="none"/>
        </w:rPr>
        <w:t>投标保函（银行保函）格式</w:t>
      </w:r>
      <w:bookmarkEnd w:id="127"/>
      <w:bookmarkEnd w:id="128"/>
    </w:p>
    <w:p>
      <w:pPr>
        <w:widowControl/>
        <w:wordWrap w:val="0"/>
        <w:snapToGrid w:val="0"/>
        <w:spacing w:after="120" w:afterLines="50" w:line="300" w:lineRule="exact"/>
        <w:ind w:firstLine="420" w:firstLineChars="200"/>
        <w:jc w:val="left"/>
        <w:rPr>
          <w:rFonts w:hint="eastAsia" w:ascii="宋体" w:hAnsi="宋体" w:eastAsia="宋体" w:cs="宋体"/>
          <w:highlight w:val="none"/>
        </w:rPr>
      </w:pPr>
    </w:p>
    <w:p>
      <w:pPr>
        <w:widowControl/>
        <w:wordWrap w:val="0"/>
        <w:snapToGrid w:val="0"/>
        <w:spacing w:after="120" w:afterLines="50" w:line="30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鉴于______[投标人名称]（以下称“投标人”）于____年___月___日递交了______________[项目名称]的投标书（以下简称“投标书”）。</w:t>
      </w:r>
    </w:p>
    <w:p>
      <w:pPr>
        <w:widowControl/>
        <w:wordWrap w:val="0"/>
        <w:snapToGrid w:val="0"/>
        <w:spacing w:after="120" w:afterLines="50" w:line="30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在中华人民共和国____________________[注册办公地点]注册经营的_________________[银行名称]（以下称“本行”）在此承担向____________________[招标代理名称]（以下称“招标代理”）支付总金额人民币____________元（投标保证金金额）的责任，本行及本行的继承人和受让人均承担此责任。</w:t>
      </w:r>
    </w:p>
    <w:p>
      <w:pPr>
        <w:widowControl/>
        <w:wordWrap w:val="0"/>
        <w:snapToGrid w:val="0"/>
        <w:spacing w:after="120" w:afterLines="50" w:line="30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本行以公章签发本保函的日期为____年_____月_____日。</w:t>
      </w:r>
    </w:p>
    <w:p>
      <w:pPr>
        <w:widowControl/>
        <w:wordWrap w:val="0"/>
        <w:snapToGrid w:val="0"/>
        <w:spacing w:after="120" w:afterLines="50" w:line="30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本担保义务的条件是：　</w:t>
      </w:r>
    </w:p>
    <w:p>
      <w:pPr>
        <w:widowControl/>
        <w:wordWrap w:val="0"/>
        <w:snapToGrid w:val="0"/>
        <w:spacing w:after="120" w:afterLines="50" w:line="300" w:lineRule="exact"/>
        <w:ind w:firstLine="420" w:firstLineChars="200"/>
        <w:jc w:val="left"/>
        <w:rPr>
          <w:rFonts w:hint="eastAsia" w:ascii="宋体" w:hAnsi="宋体" w:eastAsia="宋体" w:cs="宋体"/>
          <w:highlight w:val="none"/>
        </w:rPr>
      </w:pPr>
    </w:p>
    <w:p>
      <w:pPr>
        <w:widowControl/>
        <w:wordWrap w:val="0"/>
        <w:snapToGrid w:val="0"/>
        <w:spacing w:after="120" w:afterLines="50" w:line="30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1.如果提交投标书后投标人须知前附表中规定的投标有效期或延长的投标有效期内撤回其投标书；</w:t>
      </w:r>
    </w:p>
    <w:p>
      <w:pPr>
        <w:widowControl/>
        <w:wordWrap w:val="0"/>
        <w:snapToGrid w:val="0"/>
        <w:spacing w:after="120" w:afterLines="50" w:line="30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2.中标人在规定期限内未能</w:t>
      </w:r>
    </w:p>
    <w:p>
      <w:pPr>
        <w:widowControl/>
        <w:wordWrap w:val="0"/>
        <w:snapToGrid w:val="0"/>
        <w:spacing w:after="120" w:afterLines="50" w:line="30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（a）根据本招标文件规定与招标人签订合同；或</w:t>
      </w:r>
    </w:p>
    <w:p>
      <w:pPr>
        <w:widowControl/>
        <w:wordWrap w:val="0"/>
        <w:snapToGrid w:val="0"/>
        <w:spacing w:after="120" w:afterLines="50" w:line="30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（b）提交履约保证金（若有）；或</w:t>
      </w:r>
    </w:p>
    <w:p>
      <w:pPr>
        <w:widowControl/>
        <w:wordWrap w:val="0"/>
        <w:snapToGrid w:val="0"/>
        <w:spacing w:after="120" w:afterLines="50" w:line="30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（c）</w:t>
      </w:r>
      <w:r>
        <w:rPr>
          <w:rFonts w:hint="eastAsia" w:ascii="宋体" w:hAnsi="宋体" w:eastAsia="宋体" w:cs="宋体"/>
          <w:b/>
          <w:highlight w:val="none"/>
          <w:u w:val="single"/>
        </w:rPr>
        <w:t>未在中标公告发布后30天内或领取中标通知书时</w:t>
      </w:r>
      <w:r>
        <w:rPr>
          <w:rFonts w:hint="eastAsia" w:ascii="宋体" w:hAnsi="宋体" w:eastAsia="宋体" w:cs="宋体"/>
          <w:highlight w:val="none"/>
        </w:rPr>
        <w:t>向招标代理支付中标服务费。</w:t>
      </w:r>
    </w:p>
    <w:p>
      <w:pPr>
        <w:widowControl/>
        <w:wordWrap w:val="0"/>
        <w:snapToGrid w:val="0"/>
        <w:spacing w:after="120" w:afterLines="50" w:line="30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如果招标代理在书面要求中指明由于发生了上述条件内的任一情况而应该支付给招标代理的数额，则本行接到招标代理的第一次书面要求就支付上述数额之内的任何金额，并不需要招标代理证实他的要求。</w:t>
      </w:r>
    </w:p>
    <w:p>
      <w:pPr>
        <w:widowControl/>
        <w:wordWrap w:val="0"/>
        <w:snapToGrid w:val="0"/>
        <w:spacing w:after="120" w:afterLines="50" w:line="300" w:lineRule="exact"/>
        <w:ind w:firstLine="420" w:firstLineChars="200"/>
        <w:jc w:val="left"/>
        <w:rPr>
          <w:rFonts w:hint="eastAsia" w:ascii="宋体" w:hAnsi="宋体" w:eastAsia="宋体" w:cs="宋体"/>
          <w:highlight w:val="none"/>
        </w:rPr>
      </w:pPr>
      <w:r>
        <w:rPr>
          <w:rFonts w:hint="eastAsia" w:ascii="宋体" w:hAnsi="宋体" w:eastAsia="宋体" w:cs="宋体"/>
          <w:highlight w:val="none"/>
        </w:rPr>
        <w:t>本保函在与投标人须知中规定的投标有效期内保持有效，本行不要求得到延长有效期的通知，但任何索款要求应在上述期限内送到本行。</w:t>
      </w:r>
    </w:p>
    <w:p>
      <w:pPr>
        <w:widowControl/>
        <w:wordWrap w:val="0"/>
        <w:snapToGrid w:val="0"/>
        <w:spacing w:after="120" w:afterLines="50" w:line="300" w:lineRule="exact"/>
        <w:ind w:firstLine="500" w:firstLineChars="200"/>
        <w:jc w:val="left"/>
        <w:rPr>
          <w:rFonts w:hint="eastAsia" w:ascii="宋体" w:hAnsi="宋体" w:eastAsia="宋体" w:cs="宋体"/>
          <w:spacing w:val="20"/>
          <w:highlight w:val="none"/>
        </w:rPr>
      </w:pPr>
      <w:r>
        <w:rPr>
          <w:rFonts w:hint="eastAsia" w:ascii="宋体" w:hAnsi="宋体" w:eastAsia="宋体" w:cs="宋体"/>
          <w:spacing w:val="20"/>
          <w:highlight w:val="none"/>
        </w:rPr>
        <w:t> </w:t>
      </w:r>
    </w:p>
    <w:p>
      <w:pPr>
        <w:widowControl/>
        <w:wordWrap w:val="0"/>
        <w:snapToGrid w:val="0"/>
        <w:spacing w:after="120" w:afterLines="50" w:line="300" w:lineRule="exact"/>
        <w:ind w:left="3150" w:leftChars="1500" w:firstLine="500" w:firstLineChars="200"/>
        <w:jc w:val="left"/>
        <w:rPr>
          <w:rFonts w:hint="eastAsia" w:ascii="宋体" w:hAnsi="宋体" w:eastAsia="宋体" w:cs="宋体"/>
          <w:spacing w:val="20"/>
          <w:highlight w:val="none"/>
        </w:rPr>
      </w:pPr>
      <w:r>
        <w:rPr>
          <w:rFonts w:hint="eastAsia" w:ascii="宋体" w:hAnsi="宋体" w:eastAsia="宋体" w:cs="宋体"/>
          <w:spacing w:val="20"/>
          <w:highlight w:val="none"/>
        </w:rPr>
        <w:t>银行授权代表：(签字并盖章)</w:t>
      </w:r>
    </w:p>
    <w:p>
      <w:pPr>
        <w:widowControl/>
        <w:wordWrap w:val="0"/>
        <w:snapToGrid w:val="0"/>
        <w:spacing w:after="120" w:afterLines="50" w:line="300" w:lineRule="exact"/>
        <w:ind w:left="3150" w:leftChars="1500" w:firstLine="500" w:firstLineChars="200"/>
        <w:jc w:val="left"/>
        <w:rPr>
          <w:rFonts w:hint="eastAsia" w:ascii="宋体" w:hAnsi="宋体" w:eastAsia="宋体" w:cs="宋体"/>
          <w:spacing w:val="20"/>
          <w:highlight w:val="none"/>
        </w:rPr>
      </w:pPr>
      <w:r>
        <w:rPr>
          <w:rFonts w:hint="eastAsia" w:ascii="宋体" w:hAnsi="宋体" w:eastAsia="宋体" w:cs="宋体"/>
          <w:spacing w:val="20"/>
          <w:highlight w:val="none"/>
        </w:rPr>
        <w:t>日期：_____年___月__日</w:t>
      </w:r>
    </w:p>
    <w:p>
      <w:pPr>
        <w:widowControl/>
        <w:wordWrap w:val="0"/>
        <w:snapToGrid w:val="0"/>
        <w:spacing w:after="120" w:afterLines="50" w:line="300" w:lineRule="exact"/>
        <w:ind w:left="3150" w:leftChars="1500" w:firstLine="500" w:firstLineChars="200"/>
        <w:jc w:val="left"/>
        <w:rPr>
          <w:rFonts w:hint="eastAsia" w:ascii="宋体" w:hAnsi="宋体" w:eastAsia="宋体" w:cs="宋体"/>
          <w:spacing w:val="20"/>
          <w:highlight w:val="none"/>
        </w:rPr>
      </w:pPr>
      <w:r>
        <w:rPr>
          <w:rFonts w:hint="eastAsia" w:ascii="宋体" w:hAnsi="宋体" w:eastAsia="宋体" w:cs="宋体"/>
          <w:spacing w:val="20"/>
          <w:highlight w:val="none"/>
        </w:rPr>
        <w:t>保证人：(加盖公章)</w:t>
      </w:r>
    </w:p>
    <w:p>
      <w:pPr>
        <w:widowControl/>
        <w:wordWrap w:val="0"/>
        <w:snapToGrid w:val="0"/>
        <w:spacing w:after="120" w:afterLines="50" w:line="300" w:lineRule="exact"/>
        <w:ind w:left="3150" w:leftChars="1500" w:firstLine="500" w:firstLineChars="200"/>
        <w:jc w:val="left"/>
        <w:rPr>
          <w:rFonts w:hint="eastAsia" w:ascii="宋体" w:hAnsi="宋体" w:eastAsia="宋体" w:cs="宋体"/>
          <w:spacing w:val="20"/>
          <w:highlight w:val="none"/>
        </w:rPr>
      </w:pPr>
      <w:r>
        <w:rPr>
          <w:rFonts w:hint="eastAsia" w:ascii="宋体" w:hAnsi="宋体" w:eastAsia="宋体" w:cs="宋体"/>
          <w:spacing w:val="20"/>
          <w:highlight w:val="none"/>
        </w:rPr>
        <w:t>地址：____________________</w:t>
      </w:r>
    </w:p>
    <w:p>
      <w:pPr>
        <w:rPr>
          <w:rFonts w:hint="eastAsia" w:ascii="宋体" w:hAnsi="宋体" w:eastAsia="宋体" w:cs="宋体"/>
          <w:highlight w:val="none"/>
        </w:rPr>
      </w:pPr>
    </w:p>
    <w:p>
      <w:pPr>
        <w:rPr>
          <w:rFonts w:hint="eastAsia" w:ascii="宋体" w:hAnsi="宋体" w:eastAsia="宋体" w:cs="宋体"/>
          <w:highlight w:val="none"/>
        </w:rPr>
      </w:pPr>
    </w:p>
    <w:p>
      <w:pPr>
        <w:rPr>
          <w:rFonts w:hint="eastAsia" w:ascii="宋体" w:hAnsi="宋体" w:eastAsia="宋体" w:cs="宋体"/>
          <w:highlight w:val="none"/>
        </w:rPr>
      </w:pPr>
    </w:p>
    <w:p>
      <w:pPr>
        <w:pStyle w:val="201"/>
        <w:rPr>
          <w:rFonts w:hint="eastAsia" w:ascii="宋体" w:hAnsi="宋体" w:eastAsia="宋体" w:cs="宋体"/>
          <w:szCs w:val="21"/>
          <w:highlight w:val="none"/>
        </w:rPr>
      </w:pPr>
    </w:p>
    <w:sectPr>
      <w:footerReference r:id="rId11" w:type="first"/>
      <w:headerReference r:id="rId8" w:type="default"/>
      <w:footerReference r:id="rId9" w:type="default"/>
      <w:footerReference r:id="rId10" w:type="even"/>
      <w:pgSz w:w="11906" w:h="16838"/>
      <w:pgMar w:top="1134" w:right="1418" w:bottom="1418" w:left="1418" w:header="851" w:footer="851" w:gutter="0"/>
      <w:pgNumType w:fmt="decimal"/>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Calibri Light">
    <w:panose1 w:val="020F03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微软雅黑">
    <w:panose1 w:val="020B0503020204020204"/>
    <w:charset w:val="86"/>
    <w:family w:val="swiss"/>
    <w:pitch w:val="default"/>
    <w:sig w:usb0="80000287" w:usb1="2ACF3C50" w:usb2="00000016" w:usb3="00000000" w:csb0="0004001F" w:csb1="00000000"/>
  </w:font>
  <w:font w:name="Book Antiqua">
    <w:panose1 w:val="02040602050305030304"/>
    <w:charset w:val="00"/>
    <w:family w:val="roman"/>
    <w:pitch w:val="default"/>
    <w:sig w:usb0="00000287" w:usb1="00000000" w:usb2="00000000" w:usb3="00000000" w:csb0="2000009F" w:csb1="DFD7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Trebuchet MS">
    <w:panose1 w:val="020B0603020202020204"/>
    <w:charset w:val="00"/>
    <w:family w:val="swiss"/>
    <w:pitch w:val="default"/>
    <w:sig w:usb0="00000687" w:usb1="00000000" w:usb2="00000000" w:usb3="00000000" w:csb0="2000009F" w:csb1="00000000"/>
  </w:font>
  <w:font w:name="华文新魏">
    <w:panose1 w:val="02010800040101010101"/>
    <w:charset w:val="86"/>
    <w:family w:val="auto"/>
    <w:pitch w:val="default"/>
    <w:sig w:usb0="00000001" w:usb1="080F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framePr w:wrap="around" w:vAnchor="text" w:hAnchor="margin" w:xAlign="center" w:y="1"/>
      <w:rPr>
        <w:rStyle w:val="58"/>
      </w:rPr>
    </w:pPr>
    <w:r>
      <w:fldChar w:fldCharType="begin"/>
    </w:r>
    <w:r>
      <w:rPr>
        <w:rStyle w:val="58"/>
      </w:rPr>
      <w:instrText xml:space="preserve">PAGE  </w:instrText>
    </w:r>
    <w:r>
      <w:fldChar w:fldCharType="separate"/>
    </w:r>
    <w:r>
      <w:rPr>
        <w:rStyle w:val="58"/>
      </w:rPr>
      <w:t>0</w:t>
    </w:r>
    <w:r>
      <w:fldChar w:fldCharType="end"/>
    </w:r>
  </w:p>
  <w:p>
    <w:pPr>
      <w:pStyle w:val="3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rPr>
        <w:rFonts w:ascii="宋体" w:hAns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5"/>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35"/>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5"/>
                          </w:pPr>
                          <w:r>
                            <w:fldChar w:fldCharType="begin"/>
                          </w:r>
                          <w:r>
                            <w:instrText xml:space="preserve"> PAGE  \* MERGEFORMAT </w:instrText>
                          </w:r>
                          <w:r>
                            <w:fldChar w:fldCharType="separate"/>
                          </w:r>
                          <w:r>
                            <w:t>61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35"/>
                    </w:pPr>
                    <w:r>
                      <w:fldChar w:fldCharType="begin"/>
                    </w:r>
                    <w:r>
                      <w:instrText xml:space="preserve"> PAGE  \* MERGEFORMAT </w:instrText>
                    </w:r>
                    <w:r>
                      <w:fldChar w:fldCharType="separate"/>
                    </w:r>
                    <w:r>
                      <w:t>61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framePr w:wrap="around" w:vAnchor="text" w:hAnchor="margin" w:xAlign="center" w:y="1"/>
      <w:rPr>
        <w:rStyle w:val="58"/>
      </w:rPr>
    </w:pPr>
    <w:r>
      <w:fldChar w:fldCharType="begin"/>
    </w:r>
    <w:r>
      <w:rPr>
        <w:rStyle w:val="58"/>
      </w:rPr>
      <w:instrText xml:space="preserve">PAGE  </w:instrText>
    </w:r>
    <w:r>
      <w:fldChar w:fldCharType="separate"/>
    </w:r>
    <w:r>
      <w:rPr>
        <w:rStyle w:val="58"/>
      </w:rPr>
      <w:t>0</w:t>
    </w:r>
    <w:r>
      <w:fldChar w:fldCharType="end"/>
    </w:r>
  </w:p>
  <w:p>
    <w:pPr>
      <w:pStyle w:val="3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41"/>
        <w:rPr>
          <w:rFonts w:ascii="仿宋" w:hAnsi="仿宋" w:eastAsia="仿宋"/>
        </w:rPr>
      </w:pPr>
      <w:r>
        <w:rPr>
          <w:rStyle w:val="63"/>
          <w:rFonts w:ascii="仿宋" w:hAnsi="仿宋" w:eastAsia="仿宋"/>
        </w:rPr>
        <w:footnoteRef/>
      </w:r>
      <w:r>
        <w:rPr>
          <w:rFonts w:ascii="仿宋" w:hAnsi="仿宋" w:eastAsia="仿宋"/>
        </w:rPr>
        <w:t xml:space="preserve"> </w:t>
      </w:r>
      <w:r>
        <w:rPr>
          <w:rFonts w:hint="eastAsia" w:ascii="仿宋" w:hAnsi="仿宋" w:eastAsia="仿宋"/>
        </w:rPr>
        <w:t>从业人员、营业收入、资产总额填报上一年度数据，无上一年度数据的新成立企业可不填报</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pBdr>
        <w:bottom w:val="none" w:color="auto" w:sz="0" w:space="0"/>
      </w:pBdr>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114C13"/>
    <w:multiLevelType w:val="singleLevel"/>
    <w:tmpl w:val="B1114C13"/>
    <w:lvl w:ilvl="0" w:tentative="0">
      <w:start w:val="2"/>
      <w:numFmt w:val="decimal"/>
      <w:suff w:val="nothing"/>
      <w:lvlText w:val="（%1）"/>
      <w:lvlJc w:val="left"/>
    </w:lvl>
  </w:abstractNum>
  <w:abstractNum w:abstractNumId="1">
    <w:nsid w:val="00000001"/>
    <w:multiLevelType w:val="singleLevel"/>
    <w:tmpl w:val="00000001"/>
    <w:lvl w:ilvl="0" w:tentative="0">
      <w:start w:val="1"/>
      <w:numFmt w:val="decimal"/>
      <w:suff w:val="nothing"/>
      <w:lvlText w:val="%1、"/>
      <w:lvlJc w:val="left"/>
    </w:lvl>
  </w:abstractNum>
  <w:abstractNum w:abstractNumId="2">
    <w:nsid w:val="00000004"/>
    <w:multiLevelType w:val="singleLevel"/>
    <w:tmpl w:val="00000004"/>
    <w:lvl w:ilvl="0" w:tentative="0">
      <w:start w:val="1"/>
      <w:numFmt w:val="decimal"/>
      <w:suff w:val="nothing"/>
      <w:lvlText w:val="%1、"/>
      <w:lvlJc w:val="left"/>
    </w:lvl>
  </w:abstractNum>
  <w:abstractNum w:abstractNumId="3">
    <w:nsid w:val="2AE43733"/>
    <w:multiLevelType w:val="multilevel"/>
    <w:tmpl w:val="2AE43733"/>
    <w:lvl w:ilvl="0" w:tentative="0">
      <w:start w:val="1"/>
      <w:numFmt w:val="decimal"/>
      <w:lvlText w:val="%1."/>
      <w:lvlJc w:val="left"/>
      <w:pPr>
        <w:tabs>
          <w:tab w:val="left" w:pos="1134"/>
        </w:tabs>
        <w:ind w:left="1134" w:hanging="1134"/>
      </w:pPr>
      <w:rPr>
        <w:rFonts w:hint="eastAsia" w:ascii="宋体" w:eastAsia="宋体" w:cs="Times New Roman"/>
        <w:b/>
        <w:i w:val="0"/>
        <w:sz w:val="21"/>
      </w:rPr>
    </w:lvl>
    <w:lvl w:ilvl="1" w:tentative="0">
      <w:start w:val="1"/>
      <w:numFmt w:val="decimal"/>
      <w:pStyle w:val="195"/>
      <w:lvlText w:val="%1.%2"/>
      <w:lvlJc w:val="left"/>
      <w:pPr>
        <w:tabs>
          <w:tab w:val="left" w:pos="1134"/>
        </w:tabs>
        <w:ind w:left="1134" w:hanging="1134"/>
      </w:pPr>
      <w:rPr>
        <w:rFonts w:hint="eastAsia" w:ascii="宋体" w:eastAsia="宋体" w:cs="Times New Roman"/>
        <w:b w:val="0"/>
        <w:i w:val="0"/>
        <w:sz w:val="21"/>
      </w:rPr>
    </w:lvl>
    <w:lvl w:ilvl="2" w:tentative="0">
      <w:start w:val="1"/>
      <w:numFmt w:val="decimal"/>
      <w:pStyle w:val="196"/>
      <w:lvlText w:val="%1.%2.%3"/>
      <w:lvlJc w:val="left"/>
      <w:pPr>
        <w:tabs>
          <w:tab w:val="left" w:pos="1134"/>
        </w:tabs>
        <w:ind w:left="1134" w:hanging="1134"/>
      </w:pPr>
      <w:rPr>
        <w:rFonts w:hint="eastAsia" w:ascii="宋体" w:eastAsia="宋体" w:cs="Times New Roman"/>
        <w:sz w:val="21"/>
      </w:rPr>
    </w:lvl>
    <w:lvl w:ilvl="3" w:tentative="0">
      <w:start w:val="1"/>
      <w:numFmt w:val="decimal"/>
      <w:lvlText w:val="%1.%2.%3.%4"/>
      <w:lvlJc w:val="left"/>
      <w:pPr>
        <w:tabs>
          <w:tab w:val="left" w:pos="1080"/>
        </w:tabs>
        <w:ind w:left="660" w:hanging="660"/>
      </w:pPr>
      <w:rPr>
        <w:rFonts w:hint="eastAsia" w:cs="Times New Roman"/>
      </w:rPr>
    </w:lvl>
    <w:lvl w:ilvl="4" w:tentative="0">
      <w:start w:val="1"/>
      <w:numFmt w:val="decimal"/>
      <w:lvlText w:val="%1.%2.%3.%4.%5"/>
      <w:lvlJc w:val="left"/>
      <w:pPr>
        <w:tabs>
          <w:tab w:val="left" w:pos="660"/>
        </w:tabs>
        <w:ind w:left="660" w:hanging="660"/>
      </w:pPr>
      <w:rPr>
        <w:rFonts w:hint="eastAsia" w:cs="Times New Roman"/>
      </w:rPr>
    </w:lvl>
    <w:lvl w:ilvl="5" w:tentative="0">
      <w:start w:val="1"/>
      <w:numFmt w:val="decimal"/>
      <w:lvlText w:val="%1.%2.%3.%4.%5.%6"/>
      <w:lvlJc w:val="left"/>
      <w:pPr>
        <w:tabs>
          <w:tab w:val="left" w:pos="1440"/>
        </w:tabs>
        <w:ind w:left="660" w:hanging="660"/>
      </w:pPr>
      <w:rPr>
        <w:rFonts w:hint="eastAsia" w:cs="Times New Roman"/>
      </w:rPr>
    </w:lvl>
    <w:lvl w:ilvl="6" w:tentative="0">
      <w:start w:val="1"/>
      <w:numFmt w:val="decimal"/>
      <w:lvlText w:val="%1.%2.%3.%4.%5.%6.%7"/>
      <w:lvlJc w:val="left"/>
      <w:pPr>
        <w:tabs>
          <w:tab w:val="left" w:pos="660"/>
        </w:tabs>
        <w:ind w:left="660" w:hanging="660"/>
      </w:pPr>
      <w:rPr>
        <w:rFonts w:hint="eastAsia" w:cs="Times New Roman"/>
      </w:rPr>
    </w:lvl>
    <w:lvl w:ilvl="7" w:tentative="0">
      <w:start w:val="1"/>
      <w:numFmt w:val="decimal"/>
      <w:lvlText w:val="%1.%2.%3.%4.%5.%6.%7.%8"/>
      <w:lvlJc w:val="left"/>
      <w:pPr>
        <w:tabs>
          <w:tab w:val="left" w:pos="660"/>
        </w:tabs>
        <w:ind w:left="660" w:hanging="660"/>
      </w:pPr>
      <w:rPr>
        <w:rFonts w:hint="eastAsia" w:cs="Times New Roman"/>
      </w:rPr>
    </w:lvl>
    <w:lvl w:ilvl="8" w:tentative="0">
      <w:start w:val="1"/>
      <w:numFmt w:val="decimal"/>
      <w:lvlText w:val="%1.%2.%3.%4.%5.%6.%7.%8.%9"/>
      <w:lvlJc w:val="left"/>
      <w:pPr>
        <w:tabs>
          <w:tab w:val="left" w:pos="660"/>
        </w:tabs>
        <w:ind w:left="660" w:hanging="660"/>
      </w:pPr>
      <w:rPr>
        <w:rFonts w:hint="eastAsia" w:cs="Times New Roman"/>
      </w:rPr>
    </w:lvl>
  </w:abstractNum>
  <w:abstractNum w:abstractNumId="4">
    <w:nsid w:val="57B92457"/>
    <w:multiLevelType w:val="multilevel"/>
    <w:tmpl w:val="57B92457"/>
    <w:lvl w:ilvl="0" w:tentative="0">
      <w:start w:val="1"/>
      <w:numFmt w:val="bullet"/>
      <w:lvlText w:val=""/>
      <w:lvlJc w:val="left"/>
      <w:pPr>
        <w:ind w:left="902" w:hanging="420"/>
      </w:pPr>
      <w:rPr>
        <w:rFonts w:hint="default" w:ascii="Wingdings" w:hAnsi="Wingdings"/>
      </w:rPr>
    </w:lvl>
    <w:lvl w:ilvl="1" w:tentative="0">
      <w:start w:val="1"/>
      <w:numFmt w:val="bullet"/>
      <w:lvlText w:val=""/>
      <w:lvlJc w:val="left"/>
      <w:pPr>
        <w:ind w:left="1322" w:hanging="420"/>
      </w:pPr>
      <w:rPr>
        <w:rFonts w:hint="default" w:ascii="Wingdings" w:hAnsi="Wingdings"/>
      </w:rPr>
    </w:lvl>
    <w:lvl w:ilvl="2" w:tentative="0">
      <w:start w:val="1"/>
      <w:numFmt w:val="bullet"/>
      <w:lvlText w:val=""/>
      <w:lvlJc w:val="left"/>
      <w:pPr>
        <w:ind w:left="1742" w:hanging="420"/>
      </w:pPr>
      <w:rPr>
        <w:rFonts w:hint="default" w:ascii="Wingdings" w:hAnsi="Wingdings"/>
      </w:rPr>
    </w:lvl>
    <w:lvl w:ilvl="3" w:tentative="0">
      <w:start w:val="1"/>
      <w:numFmt w:val="bullet"/>
      <w:lvlText w:val=""/>
      <w:lvlJc w:val="left"/>
      <w:pPr>
        <w:ind w:left="2162" w:hanging="420"/>
      </w:pPr>
      <w:rPr>
        <w:rFonts w:hint="default" w:ascii="Wingdings" w:hAnsi="Wingdings"/>
      </w:rPr>
    </w:lvl>
    <w:lvl w:ilvl="4" w:tentative="0">
      <w:start w:val="1"/>
      <w:numFmt w:val="bullet"/>
      <w:lvlText w:val=""/>
      <w:lvlJc w:val="left"/>
      <w:pPr>
        <w:ind w:left="2582" w:hanging="420"/>
      </w:pPr>
      <w:rPr>
        <w:rFonts w:hint="default" w:ascii="Wingdings" w:hAnsi="Wingdings"/>
      </w:rPr>
    </w:lvl>
    <w:lvl w:ilvl="5" w:tentative="0">
      <w:start w:val="1"/>
      <w:numFmt w:val="bullet"/>
      <w:lvlText w:val=""/>
      <w:lvlJc w:val="left"/>
      <w:pPr>
        <w:ind w:left="3002" w:hanging="420"/>
      </w:pPr>
      <w:rPr>
        <w:rFonts w:hint="default" w:ascii="Wingdings" w:hAnsi="Wingdings"/>
      </w:rPr>
    </w:lvl>
    <w:lvl w:ilvl="6" w:tentative="0">
      <w:start w:val="1"/>
      <w:numFmt w:val="bullet"/>
      <w:lvlText w:val=""/>
      <w:lvlJc w:val="left"/>
      <w:pPr>
        <w:ind w:left="3422" w:hanging="420"/>
      </w:pPr>
      <w:rPr>
        <w:rFonts w:hint="default" w:ascii="Wingdings" w:hAnsi="Wingdings"/>
      </w:rPr>
    </w:lvl>
    <w:lvl w:ilvl="7" w:tentative="0">
      <w:start w:val="1"/>
      <w:numFmt w:val="bullet"/>
      <w:lvlText w:val=""/>
      <w:lvlJc w:val="left"/>
      <w:pPr>
        <w:ind w:left="3842" w:hanging="420"/>
      </w:pPr>
      <w:rPr>
        <w:rFonts w:hint="default" w:ascii="Wingdings" w:hAnsi="Wingdings"/>
      </w:rPr>
    </w:lvl>
    <w:lvl w:ilvl="8" w:tentative="0">
      <w:start w:val="1"/>
      <w:numFmt w:val="bullet"/>
      <w:lvlText w:val=""/>
      <w:lvlJc w:val="left"/>
      <w:pPr>
        <w:ind w:left="4262" w:hanging="420"/>
      </w:pPr>
      <w:rPr>
        <w:rFonts w:hint="default" w:ascii="Wingdings" w:hAnsi="Wingdings"/>
      </w:rPr>
    </w:lvl>
  </w:abstractNum>
  <w:abstractNum w:abstractNumId="5">
    <w:nsid w:val="632352B1"/>
    <w:multiLevelType w:val="singleLevel"/>
    <w:tmpl w:val="632352B1"/>
    <w:lvl w:ilvl="0" w:tentative="0">
      <w:start w:val="23"/>
      <w:numFmt w:val="decimal"/>
      <w:suff w:val="space"/>
      <w:lvlText w:val="%1."/>
      <w:lvlJc w:val="left"/>
    </w:lvl>
  </w:abstractNum>
  <w:abstractNum w:abstractNumId="6">
    <w:nsid w:val="6E230785"/>
    <w:multiLevelType w:val="multilevel"/>
    <w:tmpl w:val="6E230785"/>
    <w:lvl w:ilvl="0" w:tentative="0">
      <w:start w:val="1"/>
      <w:numFmt w:val="bullet"/>
      <w:pStyle w:val="270"/>
      <w:lvlText w:val=""/>
      <w:lvlJc w:val="left"/>
      <w:pPr>
        <w:tabs>
          <w:tab w:val="left" w:pos="170"/>
        </w:tabs>
        <w:ind w:left="170" w:hanging="170"/>
      </w:pPr>
      <w:rPr>
        <w:rFonts w:hint="default" w:ascii="Wingdings" w:hAnsi="Wingdings" w:eastAsia="宋体"/>
        <w:b w:val="0"/>
        <w:i w:val="0"/>
        <w:color w:val="auto"/>
        <w:position w:val="3"/>
        <w:sz w:val="13"/>
        <w:szCs w:val="13"/>
      </w:rPr>
    </w:lvl>
    <w:lvl w:ilvl="1" w:tentative="0">
      <w:start w:val="1"/>
      <w:numFmt w:val="lowerLetter"/>
      <w:pStyle w:val="272"/>
      <w:lvlText w:val="%2."/>
      <w:lvlJc w:val="left"/>
      <w:pPr>
        <w:tabs>
          <w:tab w:val="left" w:pos="284"/>
        </w:tabs>
        <w:ind w:left="568" w:hanging="284"/>
      </w:pPr>
      <w:rPr>
        <w:rFonts w:hint="default" w:ascii="Times New Roman" w:hAnsi="Times New Roman" w:cs="Book Antiqua"/>
        <w:b w:val="0"/>
        <w:bCs/>
        <w:i w:val="0"/>
        <w:iCs w:val="0"/>
        <w:strike w:val="0"/>
        <w:dstrike w:val="0"/>
        <w:sz w:val="21"/>
        <w:szCs w:val="21"/>
        <w:u w:val="none"/>
      </w:rPr>
    </w:lvl>
    <w:lvl w:ilvl="2" w:tentative="0">
      <w:start w:val="1"/>
      <w:numFmt w:val="bullet"/>
      <w:pStyle w:val="271"/>
      <w:lvlText w:val="−"/>
      <w:lvlJc w:val="left"/>
      <w:pPr>
        <w:tabs>
          <w:tab w:val="left" w:pos="568"/>
        </w:tabs>
        <w:ind w:left="568" w:hanging="284"/>
      </w:pPr>
      <w:rPr>
        <w:rFonts w:hint="default" w:ascii="Times New Roman" w:hAnsi="Times New Roman" w:cs="Times New Roman"/>
        <w:sz w:val="16"/>
        <w:szCs w:val="16"/>
      </w:rPr>
    </w:lvl>
    <w:lvl w:ilvl="3" w:tentative="0">
      <w:start w:val="1"/>
      <w:numFmt w:val="decimal"/>
      <w:pStyle w:val="273"/>
      <w:lvlText w:val="%4."/>
      <w:lvlJc w:val="left"/>
      <w:pPr>
        <w:tabs>
          <w:tab w:val="left" w:pos="284"/>
        </w:tabs>
        <w:ind w:left="568" w:hanging="284"/>
      </w:pPr>
      <w:rPr>
        <w:rFonts w:hint="default" w:ascii="Times New Roman" w:hAnsi="Times New Roman" w:cs="Book Antiqua"/>
        <w:b w:val="0"/>
        <w:bCs/>
        <w:i w:val="0"/>
        <w:iCs w:val="0"/>
        <w:strike w:val="0"/>
        <w:dstrike w:val="0"/>
        <w:sz w:val="21"/>
        <w:szCs w:val="21"/>
        <w:u w:val="none"/>
      </w:rPr>
    </w:lvl>
    <w:lvl w:ilvl="4" w:tentative="0">
      <w:start w:val="1"/>
      <w:numFmt w:val="bullet"/>
      <w:pStyle w:val="274"/>
      <w:lvlText w:val=""/>
      <w:lvlJc w:val="left"/>
      <w:pPr>
        <w:tabs>
          <w:tab w:val="left" w:pos="568"/>
        </w:tabs>
        <w:ind w:left="568" w:hanging="284"/>
      </w:pPr>
      <w:rPr>
        <w:rFonts w:hint="default" w:ascii="Wingdings" w:hAnsi="Wingdings" w:eastAsia="宋体"/>
        <w:b w:val="0"/>
        <w:i w:val="0"/>
        <w:color w:val="auto"/>
        <w:position w:val="3"/>
        <w:sz w:val="13"/>
        <w:szCs w:val="13"/>
      </w:rPr>
    </w:lvl>
    <w:lvl w:ilvl="5" w:tentative="0">
      <w:start w:val="1"/>
      <w:numFmt w:val="decimal"/>
      <w:pStyle w:val="275"/>
      <w:lvlText w:val="%6."/>
      <w:lvlJc w:val="left"/>
      <w:pPr>
        <w:tabs>
          <w:tab w:val="left" w:pos="1985"/>
        </w:tabs>
        <w:ind w:left="1985" w:hanging="284"/>
      </w:pPr>
      <w:rPr>
        <w:rFonts w:hint="default" w:ascii="Times New Roman" w:hAnsi="Times New Roman" w:cs="Book Antiqua"/>
        <w:color w:val="auto"/>
        <w:spacing w:val="0"/>
        <w:w w:val="100"/>
        <w:position w:val="1"/>
        <w:sz w:val="21"/>
        <w:szCs w:val="21"/>
      </w:rPr>
    </w:lvl>
    <w:lvl w:ilvl="6" w:tentative="0">
      <w:start w:val="1"/>
      <w:numFmt w:val="decimal"/>
      <w:pStyle w:val="277"/>
      <w:lvlText w:val="%7."/>
      <w:lvlJc w:val="left"/>
      <w:pPr>
        <w:tabs>
          <w:tab w:val="left" w:pos="2359"/>
        </w:tabs>
        <w:ind w:left="2359" w:hanging="284"/>
      </w:pPr>
      <w:rPr>
        <w:rFonts w:hint="default" w:ascii="Times New Roman" w:hAnsi="Times New Roman" w:cs="Book Antiqua"/>
        <w:color w:val="auto"/>
        <w:spacing w:val="0"/>
        <w:w w:val="100"/>
        <w:position w:val="1"/>
        <w:sz w:val="18"/>
        <w:szCs w:val="18"/>
      </w:rPr>
    </w:lvl>
    <w:lvl w:ilvl="7" w:tentative="0">
      <w:start w:val="1"/>
      <w:numFmt w:val="decimal"/>
      <w:pStyle w:val="276"/>
      <w:lvlText w:val="%8."/>
      <w:lvlJc w:val="left"/>
      <w:pPr>
        <w:tabs>
          <w:tab w:val="left" w:pos="454"/>
        </w:tabs>
        <w:ind w:left="454" w:hanging="284"/>
      </w:pPr>
      <w:rPr>
        <w:rFonts w:hint="default" w:ascii="Times New Roman" w:hAnsi="Times New Roman" w:cs="Book Antiqua"/>
        <w:color w:val="auto"/>
        <w:spacing w:val="0"/>
        <w:w w:val="100"/>
        <w:position w:val="1"/>
        <w:sz w:val="18"/>
        <w:szCs w:val="18"/>
      </w:rPr>
    </w:lvl>
    <w:lvl w:ilvl="8" w:tentative="0">
      <w:start w:val="1"/>
      <w:numFmt w:val="bullet"/>
      <w:lvlText w:val=""/>
      <w:lvlJc w:val="left"/>
      <w:pPr>
        <w:tabs>
          <w:tab w:val="left" w:pos="3780"/>
        </w:tabs>
        <w:ind w:left="3780" w:hanging="420"/>
      </w:pPr>
      <w:rPr>
        <w:rFonts w:hint="default" w:ascii="Wingdings" w:hAnsi="Wingdings"/>
      </w:rPr>
    </w:lvl>
  </w:abstractNum>
  <w:abstractNum w:abstractNumId="7">
    <w:nsid w:val="70C507AE"/>
    <w:multiLevelType w:val="multilevel"/>
    <w:tmpl w:val="70C507AE"/>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pStyle w:val="9"/>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7"/>
  </w:num>
  <w:num w:numId="2">
    <w:abstractNumId w:val="3"/>
  </w:num>
  <w:num w:numId="3">
    <w:abstractNumId w:val="6"/>
    <w:lvlOverride w:ilvl="1">
      <w:startOverride w:val="1"/>
    </w:lvlOverride>
  </w:num>
  <w:num w:numId="4">
    <w:abstractNumId w:val="2"/>
  </w:num>
  <w:num w:numId="5">
    <w:abstractNumId w:val="1"/>
  </w:num>
  <w:num w:numId="6">
    <w:abstractNumId w:val="0"/>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footnotePr>
    <w:footnote w:id="2"/>
    <w:footnote w:id="3"/>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694E"/>
    <w:rsid w:val="00014D54"/>
    <w:rsid w:val="000151B0"/>
    <w:rsid w:val="00017389"/>
    <w:rsid w:val="00035AB9"/>
    <w:rsid w:val="000407DB"/>
    <w:rsid w:val="0004159D"/>
    <w:rsid w:val="0004224B"/>
    <w:rsid w:val="00042C52"/>
    <w:rsid w:val="00045B8A"/>
    <w:rsid w:val="0004723E"/>
    <w:rsid w:val="00055E5E"/>
    <w:rsid w:val="00062C85"/>
    <w:rsid w:val="000776E3"/>
    <w:rsid w:val="00082D18"/>
    <w:rsid w:val="000845E0"/>
    <w:rsid w:val="000848A9"/>
    <w:rsid w:val="00086222"/>
    <w:rsid w:val="00086237"/>
    <w:rsid w:val="00091B6E"/>
    <w:rsid w:val="00094EED"/>
    <w:rsid w:val="000A31A7"/>
    <w:rsid w:val="000A603C"/>
    <w:rsid w:val="000B11BE"/>
    <w:rsid w:val="000B4121"/>
    <w:rsid w:val="000B579C"/>
    <w:rsid w:val="000B5F04"/>
    <w:rsid w:val="000B7D19"/>
    <w:rsid w:val="000C0B25"/>
    <w:rsid w:val="000D122B"/>
    <w:rsid w:val="000D1446"/>
    <w:rsid w:val="000E2B98"/>
    <w:rsid w:val="000E758D"/>
    <w:rsid w:val="000E7953"/>
    <w:rsid w:val="000F0C2C"/>
    <w:rsid w:val="00100EA8"/>
    <w:rsid w:val="0010198F"/>
    <w:rsid w:val="001046AC"/>
    <w:rsid w:val="00106284"/>
    <w:rsid w:val="0011281D"/>
    <w:rsid w:val="00113F7A"/>
    <w:rsid w:val="00120B5D"/>
    <w:rsid w:val="00121C61"/>
    <w:rsid w:val="0012483C"/>
    <w:rsid w:val="00126BF3"/>
    <w:rsid w:val="001413CE"/>
    <w:rsid w:val="00144E46"/>
    <w:rsid w:val="00147480"/>
    <w:rsid w:val="00153137"/>
    <w:rsid w:val="001553D2"/>
    <w:rsid w:val="00170018"/>
    <w:rsid w:val="00172A27"/>
    <w:rsid w:val="00183944"/>
    <w:rsid w:val="00186FB4"/>
    <w:rsid w:val="00187F97"/>
    <w:rsid w:val="00196E31"/>
    <w:rsid w:val="001A4453"/>
    <w:rsid w:val="001A513B"/>
    <w:rsid w:val="001B23A1"/>
    <w:rsid w:val="001B3B63"/>
    <w:rsid w:val="001B403F"/>
    <w:rsid w:val="001B5AFA"/>
    <w:rsid w:val="001C0662"/>
    <w:rsid w:val="001D157E"/>
    <w:rsid w:val="001E23D0"/>
    <w:rsid w:val="001F1D36"/>
    <w:rsid w:val="001F2EA1"/>
    <w:rsid w:val="001F4B4A"/>
    <w:rsid w:val="001F72E7"/>
    <w:rsid w:val="0020773B"/>
    <w:rsid w:val="00210C73"/>
    <w:rsid w:val="00211682"/>
    <w:rsid w:val="00211D14"/>
    <w:rsid w:val="0022180F"/>
    <w:rsid w:val="00223860"/>
    <w:rsid w:val="00223D67"/>
    <w:rsid w:val="00223EAB"/>
    <w:rsid w:val="002256CF"/>
    <w:rsid w:val="0023549D"/>
    <w:rsid w:val="002358A3"/>
    <w:rsid w:val="0023678C"/>
    <w:rsid w:val="00243148"/>
    <w:rsid w:val="00243449"/>
    <w:rsid w:val="00243537"/>
    <w:rsid w:val="00251AD5"/>
    <w:rsid w:val="002528E4"/>
    <w:rsid w:val="00254E7F"/>
    <w:rsid w:val="0025788C"/>
    <w:rsid w:val="00260952"/>
    <w:rsid w:val="00261E3A"/>
    <w:rsid w:val="002732CD"/>
    <w:rsid w:val="00276617"/>
    <w:rsid w:val="00290AE3"/>
    <w:rsid w:val="00291BE6"/>
    <w:rsid w:val="00293EBA"/>
    <w:rsid w:val="002959C9"/>
    <w:rsid w:val="002962F2"/>
    <w:rsid w:val="002A136C"/>
    <w:rsid w:val="002A1AA6"/>
    <w:rsid w:val="002A7F34"/>
    <w:rsid w:val="002B54B0"/>
    <w:rsid w:val="002B7D95"/>
    <w:rsid w:val="002E0668"/>
    <w:rsid w:val="002E395E"/>
    <w:rsid w:val="002F2039"/>
    <w:rsid w:val="002F4A55"/>
    <w:rsid w:val="00302209"/>
    <w:rsid w:val="00307E8F"/>
    <w:rsid w:val="00311479"/>
    <w:rsid w:val="00316650"/>
    <w:rsid w:val="003201ED"/>
    <w:rsid w:val="0032103A"/>
    <w:rsid w:val="00323FAE"/>
    <w:rsid w:val="00324502"/>
    <w:rsid w:val="003268AC"/>
    <w:rsid w:val="003357B1"/>
    <w:rsid w:val="00336E02"/>
    <w:rsid w:val="00340003"/>
    <w:rsid w:val="003519BD"/>
    <w:rsid w:val="00354EEE"/>
    <w:rsid w:val="00355BC4"/>
    <w:rsid w:val="0035619B"/>
    <w:rsid w:val="0036610E"/>
    <w:rsid w:val="00366B88"/>
    <w:rsid w:val="00372741"/>
    <w:rsid w:val="00373B99"/>
    <w:rsid w:val="00380910"/>
    <w:rsid w:val="00381F8D"/>
    <w:rsid w:val="00386090"/>
    <w:rsid w:val="0039353B"/>
    <w:rsid w:val="003A1DC7"/>
    <w:rsid w:val="003A5B92"/>
    <w:rsid w:val="003A6887"/>
    <w:rsid w:val="003B4348"/>
    <w:rsid w:val="003B5AB9"/>
    <w:rsid w:val="003C0006"/>
    <w:rsid w:val="003C0099"/>
    <w:rsid w:val="003C07FF"/>
    <w:rsid w:val="003C2ADF"/>
    <w:rsid w:val="003C470C"/>
    <w:rsid w:val="003C5A47"/>
    <w:rsid w:val="003C690A"/>
    <w:rsid w:val="003D29EF"/>
    <w:rsid w:val="003E095C"/>
    <w:rsid w:val="003E0E8A"/>
    <w:rsid w:val="003F1493"/>
    <w:rsid w:val="003F3EC8"/>
    <w:rsid w:val="003F7B46"/>
    <w:rsid w:val="004006E5"/>
    <w:rsid w:val="0040696E"/>
    <w:rsid w:val="004127B4"/>
    <w:rsid w:val="00413323"/>
    <w:rsid w:val="00422743"/>
    <w:rsid w:val="00425B8E"/>
    <w:rsid w:val="00433D93"/>
    <w:rsid w:val="00433FB3"/>
    <w:rsid w:val="00436533"/>
    <w:rsid w:val="004372E0"/>
    <w:rsid w:val="00471E89"/>
    <w:rsid w:val="004732F3"/>
    <w:rsid w:val="00477ACD"/>
    <w:rsid w:val="00495411"/>
    <w:rsid w:val="004B2220"/>
    <w:rsid w:val="004B58C5"/>
    <w:rsid w:val="004B7E86"/>
    <w:rsid w:val="004C069C"/>
    <w:rsid w:val="004C766A"/>
    <w:rsid w:val="004D5A54"/>
    <w:rsid w:val="004D7169"/>
    <w:rsid w:val="004D7B15"/>
    <w:rsid w:val="004E4452"/>
    <w:rsid w:val="004E6C26"/>
    <w:rsid w:val="004E6D8B"/>
    <w:rsid w:val="004F403E"/>
    <w:rsid w:val="004F660E"/>
    <w:rsid w:val="005043D1"/>
    <w:rsid w:val="00510B56"/>
    <w:rsid w:val="005113B1"/>
    <w:rsid w:val="00512B56"/>
    <w:rsid w:val="00514974"/>
    <w:rsid w:val="00530F1B"/>
    <w:rsid w:val="00532292"/>
    <w:rsid w:val="00532D68"/>
    <w:rsid w:val="0054088F"/>
    <w:rsid w:val="00553FBA"/>
    <w:rsid w:val="00554A21"/>
    <w:rsid w:val="0056351F"/>
    <w:rsid w:val="005677FC"/>
    <w:rsid w:val="00573EDE"/>
    <w:rsid w:val="00575C8E"/>
    <w:rsid w:val="00576CC1"/>
    <w:rsid w:val="00592995"/>
    <w:rsid w:val="005957A6"/>
    <w:rsid w:val="005A1414"/>
    <w:rsid w:val="005A2E52"/>
    <w:rsid w:val="005B292B"/>
    <w:rsid w:val="005B2EFA"/>
    <w:rsid w:val="005C0CDE"/>
    <w:rsid w:val="005C6FFE"/>
    <w:rsid w:val="005C7F27"/>
    <w:rsid w:val="005E1427"/>
    <w:rsid w:val="005E273B"/>
    <w:rsid w:val="005F19CA"/>
    <w:rsid w:val="005F5907"/>
    <w:rsid w:val="006000B8"/>
    <w:rsid w:val="00604544"/>
    <w:rsid w:val="0060456B"/>
    <w:rsid w:val="00611142"/>
    <w:rsid w:val="00612DE9"/>
    <w:rsid w:val="0061698F"/>
    <w:rsid w:val="0062081F"/>
    <w:rsid w:val="00623DC5"/>
    <w:rsid w:val="0062490E"/>
    <w:rsid w:val="00624BB9"/>
    <w:rsid w:val="00624D78"/>
    <w:rsid w:val="00625C6A"/>
    <w:rsid w:val="00626E21"/>
    <w:rsid w:val="00645C1D"/>
    <w:rsid w:val="0064648C"/>
    <w:rsid w:val="00650E51"/>
    <w:rsid w:val="00664336"/>
    <w:rsid w:val="0066774C"/>
    <w:rsid w:val="00670772"/>
    <w:rsid w:val="00675992"/>
    <w:rsid w:val="00683D2F"/>
    <w:rsid w:val="00683EF8"/>
    <w:rsid w:val="006913E6"/>
    <w:rsid w:val="00692544"/>
    <w:rsid w:val="00693A90"/>
    <w:rsid w:val="0069577B"/>
    <w:rsid w:val="00697372"/>
    <w:rsid w:val="006A53C9"/>
    <w:rsid w:val="006C3DAD"/>
    <w:rsid w:val="006C59E1"/>
    <w:rsid w:val="006C70E7"/>
    <w:rsid w:val="006D01C7"/>
    <w:rsid w:val="006D1CF0"/>
    <w:rsid w:val="006D3DA2"/>
    <w:rsid w:val="006D4584"/>
    <w:rsid w:val="006D4915"/>
    <w:rsid w:val="006D61B5"/>
    <w:rsid w:val="006D7E2A"/>
    <w:rsid w:val="006E5912"/>
    <w:rsid w:val="006E7EDB"/>
    <w:rsid w:val="006F0108"/>
    <w:rsid w:val="006F06AF"/>
    <w:rsid w:val="006F14E7"/>
    <w:rsid w:val="006F3C3E"/>
    <w:rsid w:val="006F4A5A"/>
    <w:rsid w:val="00702237"/>
    <w:rsid w:val="007025B4"/>
    <w:rsid w:val="0071535C"/>
    <w:rsid w:val="007158E2"/>
    <w:rsid w:val="0071682A"/>
    <w:rsid w:val="00721DD5"/>
    <w:rsid w:val="007225EE"/>
    <w:rsid w:val="0072294B"/>
    <w:rsid w:val="0072582B"/>
    <w:rsid w:val="00731B0F"/>
    <w:rsid w:val="00734CF8"/>
    <w:rsid w:val="007364EF"/>
    <w:rsid w:val="00744682"/>
    <w:rsid w:val="00746490"/>
    <w:rsid w:val="00746526"/>
    <w:rsid w:val="0075284C"/>
    <w:rsid w:val="0075526B"/>
    <w:rsid w:val="00755577"/>
    <w:rsid w:val="007646EC"/>
    <w:rsid w:val="00773BF6"/>
    <w:rsid w:val="00775F33"/>
    <w:rsid w:val="00776DF5"/>
    <w:rsid w:val="00777D09"/>
    <w:rsid w:val="00786F1D"/>
    <w:rsid w:val="00791FF4"/>
    <w:rsid w:val="00792B28"/>
    <w:rsid w:val="007A5CB0"/>
    <w:rsid w:val="007A740B"/>
    <w:rsid w:val="007B0E11"/>
    <w:rsid w:val="007B29A6"/>
    <w:rsid w:val="007C0895"/>
    <w:rsid w:val="007C3D2B"/>
    <w:rsid w:val="007C4A7E"/>
    <w:rsid w:val="007D102B"/>
    <w:rsid w:val="007D408B"/>
    <w:rsid w:val="007E1A83"/>
    <w:rsid w:val="007E1B74"/>
    <w:rsid w:val="007E619C"/>
    <w:rsid w:val="007F6661"/>
    <w:rsid w:val="007F782D"/>
    <w:rsid w:val="00802194"/>
    <w:rsid w:val="00807A74"/>
    <w:rsid w:val="0081011B"/>
    <w:rsid w:val="00812E46"/>
    <w:rsid w:val="008135F9"/>
    <w:rsid w:val="008139E2"/>
    <w:rsid w:val="0081553C"/>
    <w:rsid w:val="008156F1"/>
    <w:rsid w:val="00822E8B"/>
    <w:rsid w:val="008243F0"/>
    <w:rsid w:val="00831817"/>
    <w:rsid w:val="008401C1"/>
    <w:rsid w:val="00843C43"/>
    <w:rsid w:val="00843F2E"/>
    <w:rsid w:val="00844E65"/>
    <w:rsid w:val="008476CF"/>
    <w:rsid w:val="008500F3"/>
    <w:rsid w:val="008563C0"/>
    <w:rsid w:val="00856BFF"/>
    <w:rsid w:val="00856EEB"/>
    <w:rsid w:val="0085785A"/>
    <w:rsid w:val="008603EF"/>
    <w:rsid w:val="00863A60"/>
    <w:rsid w:val="0086545C"/>
    <w:rsid w:val="008660F0"/>
    <w:rsid w:val="008675C1"/>
    <w:rsid w:val="00870609"/>
    <w:rsid w:val="0087236E"/>
    <w:rsid w:val="00872853"/>
    <w:rsid w:val="00877CEB"/>
    <w:rsid w:val="00884800"/>
    <w:rsid w:val="008910B5"/>
    <w:rsid w:val="00891448"/>
    <w:rsid w:val="00892FA3"/>
    <w:rsid w:val="00895227"/>
    <w:rsid w:val="008952FF"/>
    <w:rsid w:val="008A2DEC"/>
    <w:rsid w:val="008B0BBA"/>
    <w:rsid w:val="008B0FB3"/>
    <w:rsid w:val="008B77CE"/>
    <w:rsid w:val="008D74F1"/>
    <w:rsid w:val="008E018E"/>
    <w:rsid w:val="008E04DB"/>
    <w:rsid w:val="008E05A1"/>
    <w:rsid w:val="008E20B4"/>
    <w:rsid w:val="008E280E"/>
    <w:rsid w:val="008E3089"/>
    <w:rsid w:val="008F11CF"/>
    <w:rsid w:val="00913FE7"/>
    <w:rsid w:val="00930941"/>
    <w:rsid w:val="00934790"/>
    <w:rsid w:val="00936378"/>
    <w:rsid w:val="00944AF5"/>
    <w:rsid w:val="00950D1B"/>
    <w:rsid w:val="00965F23"/>
    <w:rsid w:val="00971D4D"/>
    <w:rsid w:val="00980C39"/>
    <w:rsid w:val="0098164D"/>
    <w:rsid w:val="0098265E"/>
    <w:rsid w:val="00984F1C"/>
    <w:rsid w:val="00991588"/>
    <w:rsid w:val="0099667B"/>
    <w:rsid w:val="00997BAE"/>
    <w:rsid w:val="00997FA1"/>
    <w:rsid w:val="009A0A2E"/>
    <w:rsid w:val="009A2635"/>
    <w:rsid w:val="009A4A8E"/>
    <w:rsid w:val="009B0C34"/>
    <w:rsid w:val="009B3E00"/>
    <w:rsid w:val="009B7D86"/>
    <w:rsid w:val="009C43D4"/>
    <w:rsid w:val="009C7339"/>
    <w:rsid w:val="009D0A49"/>
    <w:rsid w:val="009D7B47"/>
    <w:rsid w:val="009E0D9E"/>
    <w:rsid w:val="009F4D82"/>
    <w:rsid w:val="009F5B52"/>
    <w:rsid w:val="009F722D"/>
    <w:rsid w:val="00A04571"/>
    <w:rsid w:val="00A140F9"/>
    <w:rsid w:val="00A174B7"/>
    <w:rsid w:val="00A362DD"/>
    <w:rsid w:val="00A36367"/>
    <w:rsid w:val="00A365A2"/>
    <w:rsid w:val="00A37853"/>
    <w:rsid w:val="00A405F6"/>
    <w:rsid w:val="00A428DF"/>
    <w:rsid w:val="00A46B09"/>
    <w:rsid w:val="00A53ADA"/>
    <w:rsid w:val="00A54636"/>
    <w:rsid w:val="00A5775C"/>
    <w:rsid w:val="00A6356E"/>
    <w:rsid w:val="00A65578"/>
    <w:rsid w:val="00A70BF1"/>
    <w:rsid w:val="00A71A79"/>
    <w:rsid w:val="00A74BCC"/>
    <w:rsid w:val="00A81B12"/>
    <w:rsid w:val="00A86376"/>
    <w:rsid w:val="00A86C52"/>
    <w:rsid w:val="00A87824"/>
    <w:rsid w:val="00A91857"/>
    <w:rsid w:val="00A92905"/>
    <w:rsid w:val="00AA1642"/>
    <w:rsid w:val="00AA58D0"/>
    <w:rsid w:val="00AB390D"/>
    <w:rsid w:val="00AB71B8"/>
    <w:rsid w:val="00AC10FA"/>
    <w:rsid w:val="00AC5E81"/>
    <w:rsid w:val="00AC5F56"/>
    <w:rsid w:val="00AC6675"/>
    <w:rsid w:val="00AE506E"/>
    <w:rsid w:val="00AE57F5"/>
    <w:rsid w:val="00AE7D3E"/>
    <w:rsid w:val="00AF0540"/>
    <w:rsid w:val="00AF2315"/>
    <w:rsid w:val="00AF2773"/>
    <w:rsid w:val="00AF5CC0"/>
    <w:rsid w:val="00B04F98"/>
    <w:rsid w:val="00B15A16"/>
    <w:rsid w:val="00B15C08"/>
    <w:rsid w:val="00B16872"/>
    <w:rsid w:val="00B17DEF"/>
    <w:rsid w:val="00B24D27"/>
    <w:rsid w:val="00B24F5E"/>
    <w:rsid w:val="00B262F7"/>
    <w:rsid w:val="00B26F5D"/>
    <w:rsid w:val="00B3591F"/>
    <w:rsid w:val="00B41BE9"/>
    <w:rsid w:val="00B41FA6"/>
    <w:rsid w:val="00B420EE"/>
    <w:rsid w:val="00B448F9"/>
    <w:rsid w:val="00B4668F"/>
    <w:rsid w:val="00B4683A"/>
    <w:rsid w:val="00B50882"/>
    <w:rsid w:val="00B51D10"/>
    <w:rsid w:val="00B60BD0"/>
    <w:rsid w:val="00B66437"/>
    <w:rsid w:val="00B70D83"/>
    <w:rsid w:val="00B801CE"/>
    <w:rsid w:val="00B81CEC"/>
    <w:rsid w:val="00B82437"/>
    <w:rsid w:val="00B857CF"/>
    <w:rsid w:val="00B8773D"/>
    <w:rsid w:val="00BA2928"/>
    <w:rsid w:val="00BB372C"/>
    <w:rsid w:val="00BB7EA5"/>
    <w:rsid w:val="00BC2950"/>
    <w:rsid w:val="00BD4248"/>
    <w:rsid w:val="00BD56B5"/>
    <w:rsid w:val="00BD722B"/>
    <w:rsid w:val="00BE0958"/>
    <w:rsid w:val="00BF099B"/>
    <w:rsid w:val="00BF7A35"/>
    <w:rsid w:val="00C07002"/>
    <w:rsid w:val="00C07F75"/>
    <w:rsid w:val="00C11887"/>
    <w:rsid w:val="00C26C27"/>
    <w:rsid w:val="00C31317"/>
    <w:rsid w:val="00C3375B"/>
    <w:rsid w:val="00C36F23"/>
    <w:rsid w:val="00C377A7"/>
    <w:rsid w:val="00C466C6"/>
    <w:rsid w:val="00C63D08"/>
    <w:rsid w:val="00C653F5"/>
    <w:rsid w:val="00C66F28"/>
    <w:rsid w:val="00C71A11"/>
    <w:rsid w:val="00C7425D"/>
    <w:rsid w:val="00C97082"/>
    <w:rsid w:val="00C97AA9"/>
    <w:rsid w:val="00CA2C45"/>
    <w:rsid w:val="00CA35F1"/>
    <w:rsid w:val="00CA5902"/>
    <w:rsid w:val="00CA61AE"/>
    <w:rsid w:val="00CA74CE"/>
    <w:rsid w:val="00CB0FB5"/>
    <w:rsid w:val="00CB1ACE"/>
    <w:rsid w:val="00CB2E49"/>
    <w:rsid w:val="00CB40EC"/>
    <w:rsid w:val="00CC1A93"/>
    <w:rsid w:val="00CC470F"/>
    <w:rsid w:val="00CC5754"/>
    <w:rsid w:val="00CC64F0"/>
    <w:rsid w:val="00CC666E"/>
    <w:rsid w:val="00CD06CB"/>
    <w:rsid w:val="00CD64EF"/>
    <w:rsid w:val="00CF218C"/>
    <w:rsid w:val="00D01832"/>
    <w:rsid w:val="00D06160"/>
    <w:rsid w:val="00D06491"/>
    <w:rsid w:val="00D10450"/>
    <w:rsid w:val="00D1143D"/>
    <w:rsid w:val="00D141B0"/>
    <w:rsid w:val="00D15012"/>
    <w:rsid w:val="00D2618A"/>
    <w:rsid w:val="00D34FBD"/>
    <w:rsid w:val="00D35DAF"/>
    <w:rsid w:val="00D36E30"/>
    <w:rsid w:val="00D40843"/>
    <w:rsid w:val="00D42446"/>
    <w:rsid w:val="00D50990"/>
    <w:rsid w:val="00D539F6"/>
    <w:rsid w:val="00D732C1"/>
    <w:rsid w:val="00D76ACE"/>
    <w:rsid w:val="00D81A7E"/>
    <w:rsid w:val="00D81D42"/>
    <w:rsid w:val="00D92F67"/>
    <w:rsid w:val="00D95FDC"/>
    <w:rsid w:val="00DB5BB6"/>
    <w:rsid w:val="00DC3836"/>
    <w:rsid w:val="00DC465B"/>
    <w:rsid w:val="00DD1282"/>
    <w:rsid w:val="00DD495C"/>
    <w:rsid w:val="00DE1BD5"/>
    <w:rsid w:val="00DE2C84"/>
    <w:rsid w:val="00DE486F"/>
    <w:rsid w:val="00DE7510"/>
    <w:rsid w:val="00DF3F68"/>
    <w:rsid w:val="00E0070D"/>
    <w:rsid w:val="00E022A6"/>
    <w:rsid w:val="00E044C5"/>
    <w:rsid w:val="00E04CE6"/>
    <w:rsid w:val="00E15B6D"/>
    <w:rsid w:val="00E20277"/>
    <w:rsid w:val="00E2130D"/>
    <w:rsid w:val="00E27A4B"/>
    <w:rsid w:val="00E352B8"/>
    <w:rsid w:val="00E409F0"/>
    <w:rsid w:val="00E42EE6"/>
    <w:rsid w:val="00E4355E"/>
    <w:rsid w:val="00E43F11"/>
    <w:rsid w:val="00E46979"/>
    <w:rsid w:val="00E5001F"/>
    <w:rsid w:val="00E52D1F"/>
    <w:rsid w:val="00E55364"/>
    <w:rsid w:val="00E55ADF"/>
    <w:rsid w:val="00E575B5"/>
    <w:rsid w:val="00E57A1A"/>
    <w:rsid w:val="00E70505"/>
    <w:rsid w:val="00E801B8"/>
    <w:rsid w:val="00E84BC1"/>
    <w:rsid w:val="00E8668E"/>
    <w:rsid w:val="00E90E6A"/>
    <w:rsid w:val="00E93AD0"/>
    <w:rsid w:val="00E97A21"/>
    <w:rsid w:val="00EA6447"/>
    <w:rsid w:val="00EA768A"/>
    <w:rsid w:val="00EB4D1B"/>
    <w:rsid w:val="00EC258E"/>
    <w:rsid w:val="00EC4774"/>
    <w:rsid w:val="00ED18B5"/>
    <w:rsid w:val="00ED236C"/>
    <w:rsid w:val="00ED2D90"/>
    <w:rsid w:val="00ED3D49"/>
    <w:rsid w:val="00EE50BB"/>
    <w:rsid w:val="00EE7D2C"/>
    <w:rsid w:val="00EF3701"/>
    <w:rsid w:val="00F01E5A"/>
    <w:rsid w:val="00F02B5F"/>
    <w:rsid w:val="00F033EE"/>
    <w:rsid w:val="00F04608"/>
    <w:rsid w:val="00F059FD"/>
    <w:rsid w:val="00F16797"/>
    <w:rsid w:val="00F20CE4"/>
    <w:rsid w:val="00F21E58"/>
    <w:rsid w:val="00F23DB4"/>
    <w:rsid w:val="00F242C2"/>
    <w:rsid w:val="00F301B3"/>
    <w:rsid w:val="00F31956"/>
    <w:rsid w:val="00F3571B"/>
    <w:rsid w:val="00F4049E"/>
    <w:rsid w:val="00F41E78"/>
    <w:rsid w:val="00F43CAC"/>
    <w:rsid w:val="00F451E9"/>
    <w:rsid w:val="00F50143"/>
    <w:rsid w:val="00F50C93"/>
    <w:rsid w:val="00F50D16"/>
    <w:rsid w:val="00F50E51"/>
    <w:rsid w:val="00F51C6C"/>
    <w:rsid w:val="00F55584"/>
    <w:rsid w:val="00F651A2"/>
    <w:rsid w:val="00F65226"/>
    <w:rsid w:val="00F72D21"/>
    <w:rsid w:val="00F74094"/>
    <w:rsid w:val="00F80A22"/>
    <w:rsid w:val="00F81395"/>
    <w:rsid w:val="00F87329"/>
    <w:rsid w:val="00F93187"/>
    <w:rsid w:val="00F942DD"/>
    <w:rsid w:val="00FA0284"/>
    <w:rsid w:val="00FA1400"/>
    <w:rsid w:val="00FB2178"/>
    <w:rsid w:val="00FB38C5"/>
    <w:rsid w:val="00FB4463"/>
    <w:rsid w:val="00FB5A35"/>
    <w:rsid w:val="00FB6397"/>
    <w:rsid w:val="00FB7E0A"/>
    <w:rsid w:val="00FC2573"/>
    <w:rsid w:val="00FC2F68"/>
    <w:rsid w:val="00FD407F"/>
    <w:rsid w:val="00FD5013"/>
    <w:rsid w:val="00FD5AA1"/>
    <w:rsid w:val="00FD6F50"/>
    <w:rsid w:val="00FD782F"/>
    <w:rsid w:val="00FE1C1B"/>
    <w:rsid w:val="00FE2B43"/>
    <w:rsid w:val="00FE3F71"/>
    <w:rsid w:val="00FE4A75"/>
    <w:rsid w:val="00FF0406"/>
    <w:rsid w:val="00FF21C8"/>
    <w:rsid w:val="00FF5E23"/>
    <w:rsid w:val="018E0B43"/>
    <w:rsid w:val="02677D58"/>
    <w:rsid w:val="04700B97"/>
    <w:rsid w:val="05C56655"/>
    <w:rsid w:val="07B01FB9"/>
    <w:rsid w:val="08F844A4"/>
    <w:rsid w:val="09340C36"/>
    <w:rsid w:val="0C155AF0"/>
    <w:rsid w:val="0CD4055F"/>
    <w:rsid w:val="0D9B66C8"/>
    <w:rsid w:val="0DBD7BA7"/>
    <w:rsid w:val="0E164F70"/>
    <w:rsid w:val="137D46AD"/>
    <w:rsid w:val="139B47B9"/>
    <w:rsid w:val="14D44B9C"/>
    <w:rsid w:val="158D3782"/>
    <w:rsid w:val="181E7B19"/>
    <w:rsid w:val="192D2D83"/>
    <w:rsid w:val="19354FB1"/>
    <w:rsid w:val="1AA576BA"/>
    <w:rsid w:val="1B6A0507"/>
    <w:rsid w:val="1C1A70E6"/>
    <w:rsid w:val="1C356B3A"/>
    <w:rsid w:val="1CD80626"/>
    <w:rsid w:val="1FF1166E"/>
    <w:rsid w:val="21123155"/>
    <w:rsid w:val="212C499F"/>
    <w:rsid w:val="221D6989"/>
    <w:rsid w:val="256C139C"/>
    <w:rsid w:val="25F97767"/>
    <w:rsid w:val="263C5ADB"/>
    <w:rsid w:val="2CBF0E61"/>
    <w:rsid w:val="2CC303CC"/>
    <w:rsid w:val="2D6153A6"/>
    <w:rsid w:val="2DA62AB8"/>
    <w:rsid w:val="2ECA1A36"/>
    <w:rsid w:val="2F5448DF"/>
    <w:rsid w:val="300C39BF"/>
    <w:rsid w:val="31146EE7"/>
    <w:rsid w:val="31755ED4"/>
    <w:rsid w:val="31807EEB"/>
    <w:rsid w:val="31BE0CC2"/>
    <w:rsid w:val="320D7BAA"/>
    <w:rsid w:val="329D12BA"/>
    <w:rsid w:val="33190B58"/>
    <w:rsid w:val="348E5CAD"/>
    <w:rsid w:val="35B93A13"/>
    <w:rsid w:val="37F06B6E"/>
    <w:rsid w:val="3B3D2575"/>
    <w:rsid w:val="3B7B49EB"/>
    <w:rsid w:val="3CE80BB8"/>
    <w:rsid w:val="3E520D05"/>
    <w:rsid w:val="3EA33918"/>
    <w:rsid w:val="3F1830D8"/>
    <w:rsid w:val="407C6433"/>
    <w:rsid w:val="40D0332B"/>
    <w:rsid w:val="436E1818"/>
    <w:rsid w:val="4A353B9E"/>
    <w:rsid w:val="4C5558EC"/>
    <w:rsid w:val="4F392688"/>
    <w:rsid w:val="4FAD718C"/>
    <w:rsid w:val="50C63AB4"/>
    <w:rsid w:val="51107E19"/>
    <w:rsid w:val="5376352F"/>
    <w:rsid w:val="537B14E7"/>
    <w:rsid w:val="554D5C65"/>
    <w:rsid w:val="55762B08"/>
    <w:rsid w:val="57277059"/>
    <w:rsid w:val="575F037F"/>
    <w:rsid w:val="58432A49"/>
    <w:rsid w:val="58550729"/>
    <w:rsid w:val="5B496664"/>
    <w:rsid w:val="5BA818F2"/>
    <w:rsid w:val="5CC536D5"/>
    <w:rsid w:val="613C7D04"/>
    <w:rsid w:val="61830830"/>
    <w:rsid w:val="622E4BB1"/>
    <w:rsid w:val="63C1414C"/>
    <w:rsid w:val="649829FB"/>
    <w:rsid w:val="66156D99"/>
    <w:rsid w:val="66D628D0"/>
    <w:rsid w:val="67BB67BA"/>
    <w:rsid w:val="6935608F"/>
    <w:rsid w:val="6B9C724D"/>
    <w:rsid w:val="6BD16FC7"/>
    <w:rsid w:val="6BF34348"/>
    <w:rsid w:val="6D0504EF"/>
    <w:rsid w:val="6D6F2C6C"/>
    <w:rsid w:val="70B035F8"/>
    <w:rsid w:val="71E022E6"/>
    <w:rsid w:val="7262361E"/>
    <w:rsid w:val="776A3EE6"/>
    <w:rsid w:val="78045F5F"/>
    <w:rsid w:val="780D053B"/>
    <w:rsid w:val="79732869"/>
    <w:rsid w:val="7A834ABD"/>
    <w:rsid w:val="7AD83E65"/>
    <w:rsid w:val="7C06657B"/>
    <w:rsid w:val="7D5C5F83"/>
    <w:rsid w:val="7E612BED"/>
    <w:rsid w:val="7F465B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qFormat="1" w:unhideWhenUsed="0" w:uiPriority="0" w:semiHidden="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iPriority="99" w:semiHidden="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99" w:semiHidden="0"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qFormat="1" w:uiPriority="0" w:name="endnote text"/>
    <w:lsdException w:uiPriority="0" w:name="table of authorities"/>
    <w:lsdException w:qFormat="1"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qFormat="1" w:uiPriority="0" w:name="Closing"/>
    <w:lsdException w:qFormat="1"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qFormat="1" w:uiPriority="0" w:name="Message Header"/>
    <w:lsdException w:qFormat="1" w:unhideWhenUsed="0" w:uiPriority="0" w:semiHidden="0" w:name="Subtitle"/>
    <w:lsdException w:qFormat="1" w:uiPriority="0" w:name="Salutation"/>
    <w:lsdException w:qFormat="1" w:unhideWhenUsed="0" w:uiPriority="0" w:semiHidden="0" w:name="Date"/>
    <w:lsdException w:qFormat="1" w:uiPriority="0" w:name="Body Text First Indent"/>
    <w:lsdException w:qFormat="1" w:uiPriority="0" w:name="Body Text First Indent 2"/>
    <w:lsdException w:qFormat="1" w:uiPriority="0" w:name="Note Heading"/>
    <w:lsdException w:qFormat="1" w:unhideWhenUsed="0" w:uiPriority="0" w:semiHidden="0" w:name="Body Text 2"/>
    <w:lsdException w:qFormat="1" w:uiPriority="0" w:semiHidden="0" w:name="Body Text 3"/>
    <w:lsdException w:qFormat="1"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iPriority="0" w:name="E-mail Signature"/>
    <w:lsdException w:qFormat="1" w:unhideWhenUsed="0" w:uiPriority="0" w:semiHidden="0" w:name="Normal (Web)"/>
    <w:lsdException w:uiPriority="99" w:name="HTML Acronym"/>
    <w:lsdException w:qFormat="1" w:uiPriority="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67"/>
    <w:qFormat/>
    <w:uiPriority w:val="0"/>
    <w:pPr>
      <w:keepNext/>
      <w:keepLines/>
      <w:spacing w:before="340" w:after="330" w:line="578" w:lineRule="auto"/>
      <w:outlineLvl w:val="0"/>
    </w:pPr>
    <w:rPr>
      <w:rFonts w:ascii="Times New Roman" w:hAnsi="Times New Roman"/>
      <w:b/>
      <w:kern w:val="44"/>
      <w:sz w:val="44"/>
      <w:szCs w:val="20"/>
      <w:lang w:val="zh-CN"/>
    </w:rPr>
  </w:style>
  <w:style w:type="paragraph" w:styleId="4">
    <w:name w:val="heading 2"/>
    <w:basedOn w:val="1"/>
    <w:next w:val="1"/>
    <w:link w:val="68"/>
    <w:qFormat/>
    <w:uiPriority w:val="0"/>
    <w:pPr>
      <w:keepNext/>
      <w:keepLines/>
      <w:spacing w:before="260" w:after="260" w:line="416" w:lineRule="auto"/>
      <w:outlineLvl w:val="1"/>
    </w:pPr>
    <w:rPr>
      <w:rFonts w:ascii="Arial" w:hAnsi="Arial" w:eastAsia="黑体"/>
      <w:b/>
      <w:bCs/>
      <w:sz w:val="32"/>
      <w:szCs w:val="32"/>
      <w:lang w:val="zh-CN"/>
    </w:rPr>
  </w:style>
  <w:style w:type="paragraph" w:styleId="5">
    <w:name w:val="heading 3"/>
    <w:basedOn w:val="1"/>
    <w:next w:val="1"/>
    <w:link w:val="69"/>
    <w:qFormat/>
    <w:uiPriority w:val="0"/>
    <w:pPr>
      <w:keepNext/>
      <w:keepLines/>
      <w:spacing w:before="260" w:after="260" w:line="416" w:lineRule="auto"/>
      <w:outlineLvl w:val="2"/>
    </w:pPr>
    <w:rPr>
      <w:rFonts w:ascii="Times New Roman" w:hAnsi="Times New Roman"/>
      <w:b/>
      <w:bCs/>
      <w:sz w:val="32"/>
      <w:szCs w:val="32"/>
      <w:lang w:val="zh-CN"/>
    </w:rPr>
  </w:style>
  <w:style w:type="paragraph" w:styleId="6">
    <w:name w:val="heading 4"/>
    <w:basedOn w:val="1"/>
    <w:next w:val="1"/>
    <w:link w:val="70"/>
    <w:qFormat/>
    <w:uiPriority w:val="0"/>
    <w:pPr>
      <w:keepNext/>
      <w:keepLines/>
      <w:spacing w:before="280" w:after="290" w:line="376" w:lineRule="auto"/>
      <w:outlineLvl w:val="3"/>
    </w:pPr>
    <w:rPr>
      <w:rFonts w:ascii="Arial" w:hAnsi="Arial" w:eastAsia="黑体"/>
      <w:b/>
      <w:bCs/>
      <w:sz w:val="28"/>
      <w:szCs w:val="28"/>
      <w:lang w:val="zh-CN"/>
    </w:rPr>
  </w:style>
  <w:style w:type="paragraph" w:styleId="7">
    <w:name w:val="heading 5"/>
    <w:basedOn w:val="1"/>
    <w:next w:val="1"/>
    <w:link w:val="71"/>
    <w:qFormat/>
    <w:uiPriority w:val="0"/>
    <w:pPr>
      <w:keepNext/>
      <w:keepLines/>
      <w:spacing w:before="280" w:after="290" w:line="376" w:lineRule="auto"/>
      <w:outlineLvl w:val="4"/>
    </w:pPr>
    <w:rPr>
      <w:rFonts w:ascii="Times New Roman" w:hAnsi="Times New Roman"/>
      <w:b/>
      <w:bCs/>
      <w:sz w:val="28"/>
      <w:szCs w:val="28"/>
      <w:lang w:val="zh-CN"/>
    </w:rPr>
  </w:style>
  <w:style w:type="paragraph" w:styleId="8">
    <w:name w:val="heading 6"/>
    <w:basedOn w:val="1"/>
    <w:next w:val="1"/>
    <w:link w:val="72"/>
    <w:qFormat/>
    <w:uiPriority w:val="0"/>
    <w:pPr>
      <w:keepNext/>
      <w:tabs>
        <w:tab w:val="left" w:pos="1260"/>
      </w:tabs>
      <w:autoSpaceDE w:val="0"/>
      <w:autoSpaceDN w:val="0"/>
      <w:adjustRightInd w:val="0"/>
      <w:snapToGrid w:val="0"/>
      <w:jc w:val="center"/>
      <w:outlineLvl w:val="5"/>
    </w:pPr>
    <w:rPr>
      <w:rFonts w:ascii="仿宋_GB2312" w:hAnsi="宋体" w:eastAsia="仿宋_GB2312"/>
      <w:b/>
      <w:bCs/>
      <w:color w:val="FF0000"/>
      <w:kern w:val="0"/>
      <w:sz w:val="36"/>
      <w:szCs w:val="30"/>
      <w:u w:val="single"/>
      <w:lang w:val="zh-CN"/>
    </w:rPr>
  </w:style>
  <w:style w:type="paragraph" w:styleId="9">
    <w:name w:val="heading 7"/>
    <w:basedOn w:val="1"/>
    <w:next w:val="1"/>
    <w:link w:val="73"/>
    <w:qFormat/>
    <w:uiPriority w:val="0"/>
    <w:pPr>
      <w:keepNext/>
      <w:keepLines/>
      <w:numPr>
        <w:ilvl w:val="6"/>
        <w:numId w:val="1"/>
      </w:numPr>
      <w:outlineLvl w:val="6"/>
    </w:pPr>
  </w:style>
  <w:style w:type="paragraph" w:styleId="10">
    <w:name w:val="heading 8"/>
    <w:basedOn w:val="1"/>
    <w:next w:val="1"/>
    <w:link w:val="74"/>
    <w:qFormat/>
    <w:uiPriority w:val="0"/>
    <w:pPr>
      <w:keepNext/>
      <w:keepLines/>
      <w:adjustRightInd w:val="0"/>
      <w:spacing w:before="240" w:after="64" w:line="320" w:lineRule="atLeast"/>
      <w:textAlignment w:val="baseline"/>
      <w:outlineLvl w:val="7"/>
    </w:pPr>
    <w:rPr>
      <w:rFonts w:ascii="Arial" w:hAnsi="Arial" w:eastAsia="黑体"/>
      <w:kern w:val="0"/>
      <w:sz w:val="24"/>
      <w:szCs w:val="20"/>
      <w:lang w:val="zh-CN"/>
    </w:rPr>
  </w:style>
  <w:style w:type="paragraph" w:styleId="11">
    <w:name w:val="heading 9"/>
    <w:basedOn w:val="1"/>
    <w:next w:val="1"/>
    <w:link w:val="75"/>
    <w:qFormat/>
    <w:uiPriority w:val="0"/>
    <w:pPr>
      <w:keepNext/>
      <w:keepLines/>
      <w:adjustRightInd w:val="0"/>
      <w:spacing w:before="240" w:after="64" w:line="320" w:lineRule="atLeast"/>
      <w:textAlignment w:val="baseline"/>
      <w:outlineLvl w:val="8"/>
    </w:pPr>
    <w:rPr>
      <w:rFonts w:ascii="Arial" w:hAnsi="Arial" w:eastAsia="黑体"/>
      <w:kern w:val="0"/>
      <w:szCs w:val="20"/>
      <w:lang w:val="zh-CN"/>
    </w:rPr>
  </w:style>
  <w:style w:type="character" w:default="1" w:styleId="56">
    <w:name w:val="Default Paragraph Font"/>
    <w:semiHidden/>
    <w:unhideWhenUsed/>
    <w:qFormat/>
    <w:uiPriority w:val="1"/>
  </w:style>
  <w:style w:type="table" w:default="1" w:styleId="54">
    <w:name w:val="Normal Table"/>
    <w:semiHidden/>
    <w:unhideWhenUsed/>
    <w:qFormat/>
    <w:uiPriority w:val="99"/>
    <w:tblPr>
      <w:tblCellMar>
        <w:top w:w="0" w:type="dxa"/>
        <w:left w:w="108" w:type="dxa"/>
        <w:bottom w:w="0" w:type="dxa"/>
        <w:right w:w="108" w:type="dxa"/>
      </w:tblCellMar>
    </w:tblPr>
  </w:style>
  <w:style w:type="paragraph" w:styleId="2">
    <w:name w:val="macro"/>
    <w:link w:val="210"/>
    <w:semiHidden/>
    <w:unhideWhenUsed/>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after="100" w:afterAutospacing="1"/>
    </w:pPr>
    <w:rPr>
      <w:rFonts w:ascii="Courier New" w:hAnsi="Courier New" w:eastAsia="宋体" w:cs="Courier New"/>
      <w:kern w:val="2"/>
      <w:sz w:val="24"/>
      <w:szCs w:val="24"/>
      <w:lang w:val="en-US" w:eastAsia="zh-CN" w:bidi="ar-SA"/>
    </w:rPr>
  </w:style>
  <w:style w:type="paragraph" w:styleId="12">
    <w:name w:val="toc 7"/>
    <w:basedOn w:val="1"/>
    <w:next w:val="1"/>
    <w:qFormat/>
    <w:uiPriority w:val="39"/>
    <w:pPr>
      <w:ind w:left="1260"/>
      <w:jc w:val="left"/>
    </w:pPr>
    <w:rPr>
      <w:rFonts w:ascii="Times New Roman" w:hAnsi="Times New Roman"/>
      <w:sz w:val="18"/>
      <w:szCs w:val="18"/>
    </w:rPr>
  </w:style>
  <w:style w:type="paragraph" w:styleId="13">
    <w:name w:val="Note Heading"/>
    <w:basedOn w:val="1"/>
    <w:next w:val="1"/>
    <w:link w:val="221"/>
    <w:semiHidden/>
    <w:unhideWhenUsed/>
    <w:qFormat/>
    <w:uiPriority w:val="0"/>
    <w:pPr>
      <w:spacing w:after="100" w:afterAutospacing="1"/>
      <w:jc w:val="center"/>
    </w:pPr>
    <w:rPr>
      <w:rFonts w:cs="黑体"/>
      <w:szCs w:val="24"/>
    </w:rPr>
  </w:style>
  <w:style w:type="paragraph" w:styleId="14">
    <w:name w:val="E-mail Signature"/>
    <w:basedOn w:val="1"/>
    <w:link w:val="223"/>
    <w:semiHidden/>
    <w:unhideWhenUsed/>
    <w:qFormat/>
    <w:uiPriority w:val="0"/>
    <w:pPr>
      <w:spacing w:after="100" w:afterAutospacing="1"/>
    </w:pPr>
    <w:rPr>
      <w:rFonts w:cs="黑体"/>
      <w:szCs w:val="24"/>
    </w:rPr>
  </w:style>
  <w:style w:type="paragraph" w:styleId="15">
    <w:name w:val="Normal Indent"/>
    <w:basedOn w:val="1"/>
    <w:link w:val="115"/>
    <w:qFormat/>
    <w:uiPriority w:val="0"/>
    <w:pPr>
      <w:ind w:firstLine="420"/>
    </w:pPr>
    <w:rPr>
      <w:kern w:val="0"/>
      <w:sz w:val="20"/>
      <w:szCs w:val="20"/>
    </w:rPr>
  </w:style>
  <w:style w:type="paragraph" w:styleId="16">
    <w:name w:val="caption"/>
    <w:basedOn w:val="1"/>
    <w:next w:val="1"/>
    <w:qFormat/>
    <w:uiPriority w:val="0"/>
    <w:pPr>
      <w:adjustRightInd w:val="0"/>
      <w:spacing w:before="152" w:after="160" w:line="360" w:lineRule="atLeast"/>
      <w:jc w:val="left"/>
      <w:textAlignment w:val="baseline"/>
    </w:pPr>
    <w:rPr>
      <w:rFonts w:ascii="Arial" w:hAnsi="Arial" w:eastAsia="黑体"/>
      <w:spacing w:val="20"/>
      <w:kern w:val="21"/>
      <w:sz w:val="24"/>
      <w:szCs w:val="20"/>
    </w:rPr>
  </w:style>
  <w:style w:type="paragraph" w:styleId="17">
    <w:name w:val="Document Map"/>
    <w:basedOn w:val="1"/>
    <w:link w:val="145"/>
    <w:qFormat/>
    <w:uiPriority w:val="0"/>
    <w:pPr>
      <w:shd w:val="clear" w:color="auto" w:fill="000080"/>
    </w:pPr>
    <w:rPr>
      <w:kern w:val="0"/>
      <w:sz w:val="16"/>
      <w:szCs w:val="16"/>
    </w:rPr>
  </w:style>
  <w:style w:type="paragraph" w:styleId="18">
    <w:name w:val="annotation text"/>
    <w:basedOn w:val="1"/>
    <w:link w:val="97"/>
    <w:unhideWhenUsed/>
    <w:qFormat/>
    <w:uiPriority w:val="0"/>
    <w:pPr>
      <w:jc w:val="left"/>
    </w:pPr>
  </w:style>
  <w:style w:type="paragraph" w:styleId="19">
    <w:name w:val="Salutation"/>
    <w:basedOn w:val="1"/>
    <w:next w:val="1"/>
    <w:link w:val="218"/>
    <w:semiHidden/>
    <w:unhideWhenUsed/>
    <w:qFormat/>
    <w:uiPriority w:val="0"/>
    <w:pPr>
      <w:spacing w:after="100" w:afterAutospacing="1"/>
    </w:pPr>
    <w:rPr>
      <w:rFonts w:cs="黑体"/>
      <w:szCs w:val="24"/>
    </w:rPr>
  </w:style>
  <w:style w:type="paragraph" w:styleId="20">
    <w:name w:val="Body Text 3"/>
    <w:basedOn w:val="1"/>
    <w:link w:val="90"/>
    <w:unhideWhenUsed/>
    <w:qFormat/>
    <w:uiPriority w:val="0"/>
    <w:pPr>
      <w:spacing w:after="120"/>
    </w:pPr>
    <w:rPr>
      <w:rFonts w:eastAsia="仿宋_GB2312"/>
      <w:sz w:val="16"/>
      <w:szCs w:val="16"/>
      <w:lang w:val="zh-CN"/>
    </w:rPr>
  </w:style>
  <w:style w:type="paragraph" w:styleId="21">
    <w:name w:val="Closing"/>
    <w:basedOn w:val="1"/>
    <w:link w:val="212"/>
    <w:semiHidden/>
    <w:unhideWhenUsed/>
    <w:qFormat/>
    <w:uiPriority w:val="0"/>
    <w:pPr>
      <w:spacing w:after="100" w:afterAutospacing="1"/>
      <w:ind w:left="100" w:leftChars="2100"/>
    </w:pPr>
    <w:rPr>
      <w:rFonts w:cs="黑体"/>
      <w:szCs w:val="24"/>
    </w:rPr>
  </w:style>
  <w:style w:type="paragraph" w:styleId="22">
    <w:name w:val="Body Text"/>
    <w:basedOn w:val="1"/>
    <w:link w:val="85"/>
    <w:qFormat/>
    <w:uiPriority w:val="0"/>
    <w:pPr>
      <w:spacing w:line="300" w:lineRule="auto"/>
    </w:pPr>
    <w:rPr>
      <w:rFonts w:ascii="宋体" w:hAnsi="Arial"/>
      <w:color w:val="000000"/>
      <w:sz w:val="24"/>
      <w:szCs w:val="20"/>
      <w:lang w:val="zh-CN"/>
    </w:rPr>
  </w:style>
  <w:style w:type="paragraph" w:styleId="23">
    <w:name w:val="Body Text Indent"/>
    <w:basedOn w:val="1"/>
    <w:link w:val="77"/>
    <w:qFormat/>
    <w:uiPriority w:val="0"/>
    <w:pPr>
      <w:ind w:left="251" w:firstLine="502"/>
    </w:pPr>
    <w:rPr>
      <w:rFonts w:ascii="Times New Roman" w:hAnsi="Times New Roman"/>
      <w:sz w:val="28"/>
      <w:szCs w:val="20"/>
      <w:lang w:val="zh-CN"/>
    </w:rPr>
  </w:style>
  <w:style w:type="paragraph" w:styleId="24">
    <w:name w:val="Block Text"/>
    <w:basedOn w:val="1"/>
    <w:qFormat/>
    <w:uiPriority w:val="0"/>
    <w:pPr>
      <w:tabs>
        <w:tab w:val="left" w:pos="-540"/>
      </w:tabs>
      <w:spacing w:line="420" w:lineRule="exact"/>
      <w:ind w:left="-359" w:leftChars="-171" w:right="-617" w:rightChars="-294" w:firstLine="538" w:firstLineChars="224"/>
    </w:pPr>
    <w:rPr>
      <w:rFonts w:ascii="Times New Roman" w:hAnsi="Times New Roman"/>
      <w:sz w:val="24"/>
      <w:szCs w:val="24"/>
    </w:rPr>
  </w:style>
  <w:style w:type="paragraph" w:styleId="25">
    <w:name w:val="HTML Address"/>
    <w:basedOn w:val="1"/>
    <w:link w:val="203"/>
    <w:semiHidden/>
    <w:unhideWhenUsed/>
    <w:qFormat/>
    <w:uiPriority w:val="0"/>
    <w:pPr>
      <w:spacing w:after="100" w:afterAutospacing="1"/>
    </w:pPr>
    <w:rPr>
      <w:rFonts w:cs="黑体"/>
      <w:i/>
      <w:iCs/>
      <w:szCs w:val="24"/>
    </w:rPr>
  </w:style>
  <w:style w:type="paragraph" w:styleId="26">
    <w:name w:val="index 4"/>
    <w:basedOn w:val="1"/>
    <w:next w:val="1"/>
    <w:qFormat/>
    <w:uiPriority w:val="0"/>
    <w:pPr>
      <w:ind w:left="600" w:leftChars="600"/>
    </w:pPr>
    <w:rPr>
      <w:rFonts w:ascii="Times New Roman" w:hAnsi="Times New Roman"/>
      <w:szCs w:val="24"/>
    </w:rPr>
  </w:style>
  <w:style w:type="paragraph" w:styleId="27">
    <w:name w:val="toc 5"/>
    <w:basedOn w:val="1"/>
    <w:next w:val="1"/>
    <w:qFormat/>
    <w:uiPriority w:val="39"/>
    <w:pPr>
      <w:ind w:left="840"/>
      <w:jc w:val="left"/>
    </w:pPr>
    <w:rPr>
      <w:rFonts w:ascii="Times New Roman" w:hAnsi="Times New Roman"/>
      <w:sz w:val="18"/>
      <w:szCs w:val="18"/>
    </w:rPr>
  </w:style>
  <w:style w:type="paragraph" w:styleId="28">
    <w:name w:val="toc 3"/>
    <w:basedOn w:val="1"/>
    <w:next w:val="1"/>
    <w:qFormat/>
    <w:uiPriority w:val="39"/>
    <w:pPr>
      <w:tabs>
        <w:tab w:val="right" w:leader="dot" w:pos="8494"/>
      </w:tabs>
      <w:spacing w:line="360" w:lineRule="auto"/>
      <w:ind w:left="540"/>
      <w:jc w:val="left"/>
    </w:pPr>
    <w:rPr>
      <w:rFonts w:ascii="宋体" w:hAnsi="宋体"/>
      <w:iCs/>
      <w:sz w:val="24"/>
      <w:szCs w:val="24"/>
    </w:rPr>
  </w:style>
  <w:style w:type="paragraph" w:styleId="29">
    <w:name w:val="Plain Text"/>
    <w:basedOn w:val="1"/>
    <w:link w:val="84"/>
    <w:qFormat/>
    <w:uiPriority w:val="0"/>
    <w:rPr>
      <w:rFonts w:ascii="宋体" w:hAnsi="Courier New"/>
      <w:szCs w:val="20"/>
      <w:lang w:val="zh-CN"/>
    </w:rPr>
  </w:style>
  <w:style w:type="paragraph" w:styleId="30">
    <w:name w:val="toc 8"/>
    <w:basedOn w:val="1"/>
    <w:next w:val="1"/>
    <w:qFormat/>
    <w:uiPriority w:val="39"/>
    <w:pPr>
      <w:ind w:left="1470"/>
      <w:jc w:val="left"/>
    </w:pPr>
    <w:rPr>
      <w:rFonts w:ascii="Times New Roman" w:hAnsi="Times New Roman"/>
      <w:sz w:val="18"/>
      <w:szCs w:val="18"/>
    </w:rPr>
  </w:style>
  <w:style w:type="paragraph" w:styleId="31">
    <w:name w:val="Date"/>
    <w:basedOn w:val="1"/>
    <w:next w:val="1"/>
    <w:link w:val="79"/>
    <w:qFormat/>
    <w:uiPriority w:val="0"/>
    <w:pPr>
      <w:widowControl/>
    </w:pPr>
    <w:rPr>
      <w:rFonts w:ascii="宋体" w:hAnsi="Times New Roman"/>
      <w:kern w:val="0"/>
      <w:sz w:val="28"/>
      <w:szCs w:val="20"/>
    </w:rPr>
  </w:style>
  <w:style w:type="paragraph" w:styleId="32">
    <w:name w:val="Body Text Indent 2"/>
    <w:basedOn w:val="1"/>
    <w:link w:val="80"/>
    <w:unhideWhenUsed/>
    <w:qFormat/>
    <w:uiPriority w:val="0"/>
    <w:pPr>
      <w:spacing w:after="120" w:line="480" w:lineRule="auto"/>
      <w:ind w:left="420" w:leftChars="200"/>
    </w:pPr>
    <w:rPr>
      <w:lang w:val="zh-CN"/>
    </w:rPr>
  </w:style>
  <w:style w:type="paragraph" w:styleId="33">
    <w:name w:val="endnote text"/>
    <w:basedOn w:val="1"/>
    <w:link w:val="208"/>
    <w:semiHidden/>
    <w:unhideWhenUsed/>
    <w:qFormat/>
    <w:uiPriority w:val="0"/>
    <w:pPr>
      <w:snapToGrid w:val="0"/>
      <w:spacing w:after="100" w:afterAutospacing="1"/>
      <w:jc w:val="left"/>
    </w:pPr>
    <w:rPr>
      <w:rFonts w:cs="黑体"/>
      <w:szCs w:val="24"/>
    </w:rPr>
  </w:style>
  <w:style w:type="paragraph" w:styleId="34">
    <w:name w:val="Balloon Text"/>
    <w:basedOn w:val="1"/>
    <w:link w:val="76"/>
    <w:qFormat/>
    <w:uiPriority w:val="0"/>
    <w:rPr>
      <w:rFonts w:ascii="Times New Roman" w:hAnsi="Times New Roman"/>
      <w:sz w:val="18"/>
      <w:szCs w:val="18"/>
      <w:lang w:val="zh-CN"/>
    </w:rPr>
  </w:style>
  <w:style w:type="paragraph" w:styleId="35">
    <w:name w:val="footer"/>
    <w:basedOn w:val="1"/>
    <w:link w:val="82"/>
    <w:qFormat/>
    <w:uiPriority w:val="0"/>
    <w:pPr>
      <w:widowControl/>
      <w:tabs>
        <w:tab w:val="center" w:pos="4153"/>
        <w:tab w:val="right" w:pos="8306"/>
      </w:tabs>
      <w:snapToGrid w:val="0"/>
      <w:jc w:val="left"/>
    </w:pPr>
    <w:rPr>
      <w:rFonts w:ascii="Times New Roman" w:hAnsi="Times New Roman"/>
      <w:kern w:val="0"/>
      <w:sz w:val="18"/>
      <w:szCs w:val="20"/>
    </w:rPr>
  </w:style>
  <w:style w:type="paragraph" w:styleId="36">
    <w:name w:val="header"/>
    <w:basedOn w:val="1"/>
    <w:link w:val="78"/>
    <w:qFormat/>
    <w:uiPriority w:val="0"/>
    <w:pPr>
      <w:widowControl/>
      <w:pBdr>
        <w:bottom w:val="single" w:color="auto" w:sz="6" w:space="1"/>
      </w:pBdr>
      <w:tabs>
        <w:tab w:val="center" w:pos="4153"/>
        <w:tab w:val="right" w:pos="8306"/>
      </w:tabs>
      <w:snapToGrid w:val="0"/>
      <w:jc w:val="center"/>
    </w:pPr>
    <w:rPr>
      <w:rFonts w:ascii="Times New Roman" w:hAnsi="Times New Roman"/>
      <w:kern w:val="0"/>
      <w:sz w:val="18"/>
      <w:szCs w:val="20"/>
    </w:rPr>
  </w:style>
  <w:style w:type="paragraph" w:styleId="37">
    <w:name w:val="Signature"/>
    <w:basedOn w:val="1"/>
    <w:link w:val="214"/>
    <w:semiHidden/>
    <w:unhideWhenUsed/>
    <w:qFormat/>
    <w:uiPriority w:val="0"/>
    <w:pPr>
      <w:spacing w:after="100" w:afterAutospacing="1"/>
      <w:ind w:left="100" w:leftChars="2100"/>
    </w:pPr>
    <w:rPr>
      <w:rFonts w:cs="黑体"/>
      <w:szCs w:val="24"/>
    </w:rPr>
  </w:style>
  <w:style w:type="paragraph" w:styleId="38">
    <w:name w:val="toc 1"/>
    <w:basedOn w:val="1"/>
    <w:next w:val="1"/>
    <w:qFormat/>
    <w:uiPriority w:val="39"/>
    <w:pPr>
      <w:tabs>
        <w:tab w:val="left" w:pos="840"/>
        <w:tab w:val="right" w:leader="dot" w:pos="8494"/>
      </w:tabs>
      <w:spacing w:line="420" w:lineRule="exact"/>
      <w:jc w:val="center"/>
    </w:pPr>
    <w:rPr>
      <w:rFonts w:ascii="黑体" w:hAnsi="宋体" w:eastAsia="黑体"/>
      <w:bCs/>
      <w:caps/>
      <w:sz w:val="24"/>
      <w:szCs w:val="24"/>
    </w:rPr>
  </w:style>
  <w:style w:type="paragraph" w:styleId="39">
    <w:name w:val="toc 4"/>
    <w:basedOn w:val="1"/>
    <w:next w:val="1"/>
    <w:qFormat/>
    <w:uiPriority w:val="39"/>
    <w:pPr>
      <w:ind w:left="630"/>
      <w:jc w:val="left"/>
    </w:pPr>
    <w:rPr>
      <w:rFonts w:ascii="Times New Roman" w:hAnsi="Times New Roman"/>
      <w:sz w:val="18"/>
      <w:szCs w:val="18"/>
    </w:rPr>
  </w:style>
  <w:style w:type="paragraph" w:styleId="40">
    <w:name w:val="Subtitle"/>
    <w:basedOn w:val="1"/>
    <w:next w:val="1"/>
    <w:link w:val="112"/>
    <w:qFormat/>
    <w:uiPriority w:val="0"/>
    <w:pPr>
      <w:spacing w:before="240" w:after="60" w:line="312" w:lineRule="auto"/>
      <w:jc w:val="center"/>
      <w:outlineLvl w:val="1"/>
    </w:pPr>
    <w:rPr>
      <w:rFonts w:ascii="Cambria" w:hAnsi="Cambria"/>
      <w:b/>
      <w:bCs/>
      <w:kern w:val="28"/>
      <w:sz w:val="32"/>
      <w:szCs w:val="32"/>
    </w:rPr>
  </w:style>
  <w:style w:type="paragraph" w:styleId="41">
    <w:name w:val="footnote text"/>
    <w:basedOn w:val="1"/>
    <w:link w:val="206"/>
    <w:unhideWhenUsed/>
    <w:qFormat/>
    <w:uiPriority w:val="99"/>
    <w:pPr>
      <w:snapToGrid w:val="0"/>
      <w:spacing w:after="100" w:afterAutospacing="1"/>
      <w:jc w:val="left"/>
    </w:pPr>
    <w:rPr>
      <w:rFonts w:cs="黑体"/>
      <w:sz w:val="18"/>
      <w:szCs w:val="18"/>
    </w:rPr>
  </w:style>
  <w:style w:type="paragraph" w:styleId="42">
    <w:name w:val="toc 6"/>
    <w:basedOn w:val="1"/>
    <w:next w:val="1"/>
    <w:qFormat/>
    <w:uiPriority w:val="39"/>
    <w:pPr>
      <w:ind w:left="1050"/>
      <w:jc w:val="left"/>
    </w:pPr>
    <w:rPr>
      <w:rFonts w:ascii="Times New Roman" w:hAnsi="Times New Roman"/>
      <w:sz w:val="18"/>
      <w:szCs w:val="18"/>
    </w:rPr>
  </w:style>
  <w:style w:type="paragraph" w:styleId="43">
    <w:name w:val="Body Text Indent 3"/>
    <w:basedOn w:val="1"/>
    <w:link w:val="83"/>
    <w:qFormat/>
    <w:uiPriority w:val="0"/>
    <w:pPr>
      <w:spacing w:after="120"/>
      <w:ind w:left="420" w:leftChars="200"/>
    </w:pPr>
    <w:rPr>
      <w:rFonts w:ascii="Times New Roman" w:hAnsi="Times New Roman"/>
      <w:sz w:val="16"/>
      <w:szCs w:val="16"/>
      <w:lang w:val="zh-CN"/>
    </w:rPr>
  </w:style>
  <w:style w:type="paragraph" w:styleId="44">
    <w:name w:val="toc 2"/>
    <w:basedOn w:val="1"/>
    <w:next w:val="1"/>
    <w:qFormat/>
    <w:uiPriority w:val="39"/>
    <w:pPr>
      <w:tabs>
        <w:tab w:val="right" w:leader="dot" w:pos="8494"/>
      </w:tabs>
      <w:spacing w:line="440" w:lineRule="exact"/>
      <w:ind w:left="539"/>
      <w:jc w:val="left"/>
    </w:pPr>
    <w:rPr>
      <w:rFonts w:ascii="宋体" w:hAnsi="宋体"/>
      <w:smallCaps/>
      <w:sz w:val="24"/>
      <w:szCs w:val="24"/>
    </w:rPr>
  </w:style>
  <w:style w:type="paragraph" w:styleId="45">
    <w:name w:val="toc 9"/>
    <w:basedOn w:val="1"/>
    <w:next w:val="1"/>
    <w:qFormat/>
    <w:uiPriority w:val="39"/>
    <w:pPr>
      <w:ind w:left="1680"/>
      <w:jc w:val="left"/>
    </w:pPr>
    <w:rPr>
      <w:rFonts w:ascii="Times New Roman" w:hAnsi="Times New Roman"/>
      <w:sz w:val="18"/>
      <w:szCs w:val="18"/>
    </w:rPr>
  </w:style>
  <w:style w:type="paragraph" w:styleId="46">
    <w:name w:val="Body Text 2"/>
    <w:basedOn w:val="1"/>
    <w:link w:val="81"/>
    <w:qFormat/>
    <w:uiPriority w:val="0"/>
    <w:pPr>
      <w:snapToGrid w:val="0"/>
      <w:spacing w:before="120" w:after="120" w:line="400" w:lineRule="exact"/>
    </w:pPr>
    <w:rPr>
      <w:rFonts w:ascii="Times New Roman" w:hAnsi="Times New Roman"/>
      <w:sz w:val="24"/>
      <w:szCs w:val="20"/>
      <w:lang w:val="zh-CN"/>
    </w:rPr>
  </w:style>
  <w:style w:type="paragraph" w:styleId="47">
    <w:name w:val="Message Header"/>
    <w:basedOn w:val="1"/>
    <w:link w:val="216"/>
    <w:semiHidden/>
    <w:unhideWhenUsed/>
    <w:qFormat/>
    <w:uiPriority w:val="0"/>
    <w:pPr>
      <w:pBdr>
        <w:top w:val="single" w:color="auto" w:sz="6" w:space="1"/>
        <w:left w:val="single" w:color="auto" w:sz="6" w:space="1"/>
        <w:bottom w:val="single" w:color="auto" w:sz="6" w:space="1"/>
        <w:right w:val="single" w:color="auto" w:sz="6" w:space="1"/>
      </w:pBdr>
      <w:shd w:val="pct20" w:color="auto" w:fill="auto"/>
      <w:spacing w:after="100" w:afterAutospacing="1"/>
      <w:ind w:left="1080" w:leftChars="500" w:hanging="1080" w:hangingChars="500"/>
    </w:pPr>
    <w:rPr>
      <w:rFonts w:ascii="Cambria" w:hAnsi="Cambria"/>
      <w:sz w:val="24"/>
      <w:szCs w:val="24"/>
    </w:rPr>
  </w:style>
  <w:style w:type="paragraph" w:styleId="48">
    <w:name w:val="HTML Preformatted"/>
    <w:basedOn w:val="1"/>
    <w:link w:val="169"/>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49">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50">
    <w:name w:val="Title"/>
    <w:basedOn w:val="1"/>
    <w:next w:val="1"/>
    <w:link w:val="104"/>
    <w:qFormat/>
    <w:uiPriority w:val="0"/>
    <w:pPr>
      <w:spacing w:before="240" w:after="60"/>
      <w:jc w:val="center"/>
      <w:outlineLvl w:val="0"/>
    </w:pPr>
    <w:rPr>
      <w:rFonts w:ascii="Cambria" w:hAnsi="Cambria"/>
      <w:b/>
      <w:bCs/>
      <w:sz w:val="32"/>
      <w:szCs w:val="32"/>
    </w:rPr>
  </w:style>
  <w:style w:type="paragraph" w:styleId="51">
    <w:name w:val="annotation subject"/>
    <w:basedOn w:val="18"/>
    <w:next w:val="18"/>
    <w:link w:val="99"/>
    <w:unhideWhenUsed/>
    <w:qFormat/>
    <w:uiPriority w:val="0"/>
    <w:rPr>
      <w:b/>
      <w:bCs/>
    </w:rPr>
  </w:style>
  <w:style w:type="paragraph" w:styleId="52">
    <w:name w:val="Body Text First Indent"/>
    <w:basedOn w:val="22"/>
    <w:link w:val="220"/>
    <w:semiHidden/>
    <w:unhideWhenUsed/>
    <w:qFormat/>
    <w:uiPriority w:val="0"/>
    <w:pPr>
      <w:snapToGrid w:val="0"/>
      <w:spacing w:after="120" w:line="360" w:lineRule="auto"/>
      <w:ind w:firstLine="420" w:firstLineChars="100"/>
    </w:pPr>
    <w:rPr>
      <w:rFonts w:hAnsiTheme="minorHAnsi" w:eastAsiaTheme="minorEastAsia" w:cstheme="minorBidi"/>
      <w:color w:val="auto"/>
      <w:sz w:val="21"/>
      <w:szCs w:val="24"/>
      <w:lang w:val="en-US"/>
    </w:rPr>
  </w:style>
  <w:style w:type="paragraph" w:styleId="53">
    <w:name w:val="Body Text First Indent 2"/>
    <w:basedOn w:val="23"/>
    <w:link w:val="202"/>
    <w:semiHidden/>
    <w:unhideWhenUsed/>
    <w:qFormat/>
    <w:uiPriority w:val="0"/>
    <w:pPr>
      <w:spacing w:after="120"/>
      <w:ind w:left="420" w:leftChars="200" w:firstLine="420" w:firstLineChars="200"/>
    </w:pPr>
    <w:rPr>
      <w:sz w:val="21"/>
      <w:szCs w:val="24"/>
      <w:lang w:val="en-US"/>
    </w:rPr>
  </w:style>
  <w:style w:type="table" w:styleId="55">
    <w:name w:val="Table Grid"/>
    <w:basedOn w:val="54"/>
    <w:qFormat/>
    <w:uiPriority w:val="59"/>
    <w:rPr>
      <w:rFonts w:ascii="Times New Roman" w:hAnsi="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57">
    <w:name w:val="Strong"/>
    <w:qFormat/>
    <w:uiPriority w:val="22"/>
    <w:rPr>
      <w:b/>
    </w:rPr>
  </w:style>
  <w:style w:type="character" w:styleId="58">
    <w:name w:val="page number"/>
    <w:qFormat/>
    <w:uiPriority w:val="0"/>
  </w:style>
  <w:style w:type="character" w:styleId="59">
    <w:name w:val="FollowedHyperlink"/>
    <w:qFormat/>
    <w:uiPriority w:val="99"/>
    <w:rPr>
      <w:color w:val="800080"/>
      <w:u w:val="single"/>
    </w:rPr>
  </w:style>
  <w:style w:type="character" w:styleId="60">
    <w:name w:val="Emphasis"/>
    <w:qFormat/>
    <w:uiPriority w:val="20"/>
    <w:rPr>
      <w:i/>
    </w:rPr>
  </w:style>
  <w:style w:type="character" w:styleId="61">
    <w:name w:val="Hyperlink"/>
    <w:unhideWhenUsed/>
    <w:qFormat/>
    <w:uiPriority w:val="99"/>
    <w:rPr>
      <w:rFonts w:eastAsia="仿宋_GB2312"/>
      <w:b/>
      <w:color w:val="0563C1"/>
      <w:kern w:val="2"/>
      <w:sz w:val="28"/>
      <w:szCs w:val="32"/>
      <w:u w:val="single"/>
    </w:rPr>
  </w:style>
  <w:style w:type="character" w:styleId="62">
    <w:name w:val="annotation reference"/>
    <w:unhideWhenUsed/>
    <w:qFormat/>
    <w:uiPriority w:val="99"/>
    <w:rPr>
      <w:rFonts w:eastAsia="仿宋_GB2312"/>
      <w:b/>
      <w:kern w:val="2"/>
      <w:sz w:val="21"/>
      <w:szCs w:val="21"/>
    </w:rPr>
  </w:style>
  <w:style w:type="character" w:styleId="63">
    <w:name w:val="footnote reference"/>
    <w:qFormat/>
    <w:uiPriority w:val="99"/>
    <w:rPr>
      <w:vertAlign w:val="superscript"/>
    </w:rPr>
  </w:style>
  <w:style w:type="character" w:customStyle="1" w:styleId="64">
    <w:name w:val="标题 2 字符"/>
    <w:qFormat/>
    <w:uiPriority w:val="0"/>
    <w:rPr>
      <w:rFonts w:ascii="Arial" w:hAnsi="Arial" w:eastAsia="宋体" w:cs="Times New Roman"/>
      <w:kern w:val="2"/>
      <w:sz w:val="32"/>
      <w:szCs w:val="20"/>
      <w:lang w:val="zh-CN" w:eastAsia="zh-CN"/>
    </w:rPr>
  </w:style>
  <w:style w:type="character" w:customStyle="1" w:styleId="65">
    <w:name w:val="标题 1 字符"/>
    <w:qFormat/>
    <w:uiPriority w:val="0"/>
    <w:rPr>
      <w:rFonts w:ascii="Calibri" w:hAnsi="Calibri" w:eastAsia="仿宋" w:cs="Times New Roman"/>
      <w:b/>
      <w:kern w:val="44"/>
      <w:sz w:val="32"/>
      <w:szCs w:val="20"/>
      <w:lang w:val="zh-CN" w:eastAsia="zh-CN"/>
    </w:rPr>
  </w:style>
  <w:style w:type="character" w:customStyle="1" w:styleId="66">
    <w:name w:val="标题 3 字符"/>
    <w:qFormat/>
    <w:uiPriority w:val="0"/>
    <w:rPr>
      <w:rFonts w:ascii="Calibri" w:hAnsi="Calibri" w:eastAsia="仿宋" w:cs="Times New Roman"/>
      <w:b/>
      <w:kern w:val="2"/>
      <w:sz w:val="32"/>
      <w:szCs w:val="20"/>
    </w:rPr>
  </w:style>
  <w:style w:type="character" w:customStyle="1" w:styleId="67">
    <w:name w:val="标题 1 字符1"/>
    <w:link w:val="3"/>
    <w:qFormat/>
    <w:uiPriority w:val="0"/>
    <w:rPr>
      <w:rFonts w:ascii="Times New Roman" w:hAnsi="Times New Roman"/>
      <w:b/>
      <w:kern w:val="44"/>
      <w:sz w:val="44"/>
    </w:rPr>
  </w:style>
  <w:style w:type="character" w:customStyle="1" w:styleId="68">
    <w:name w:val="标题 2 字符1"/>
    <w:link w:val="4"/>
    <w:qFormat/>
    <w:uiPriority w:val="0"/>
    <w:rPr>
      <w:rFonts w:ascii="Arial" w:hAnsi="Arial" w:eastAsia="黑体"/>
      <w:b/>
      <w:bCs/>
      <w:kern w:val="2"/>
      <w:sz w:val="32"/>
      <w:szCs w:val="32"/>
    </w:rPr>
  </w:style>
  <w:style w:type="character" w:customStyle="1" w:styleId="69">
    <w:name w:val="标题 3 字符1"/>
    <w:link w:val="5"/>
    <w:qFormat/>
    <w:uiPriority w:val="0"/>
    <w:rPr>
      <w:rFonts w:ascii="Times New Roman" w:hAnsi="Times New Roman"/>
      <w:b/>
      <w:bCs/>
      <w:kern w:val="2"/>
      <w:sz w:val="32"/>
      <w:szCs w:val="32"/>
    </w:rPr>
  </w:style>
  <w:style w:type="character" w:customStyle="1" w:styleId="70">
    <w:name w:val="标题 4 字符1"/>
    <w:link w:val="6"/>
    <w:qFormat/>
    <w:uiPriority w:val="0"/>
    <w:rPr>
      <w:rFonts w:ascii="Arial" w:hAnsi="Arial" w:eastAsia="黑体"/>
      <w:b/>
      <w:bCs/>
      <w:kern w:val="2"/>
      <w:sz w:val="28"/>
      <w:szCs w:val="28"/>
    </w:rPr>
  </w:style>
  <w:style w:type="character" w:customStyle="1" w:styleId="71">
    <w:name w:val="标题 5 字符1"/>
    <w:link w:val="7"/>
    <w:qFormat/>
    <w:uiPriority w:val="0"/>
    <w:rPr>
      <w:rFonts w:ascii="Times New Roman" w:hAnsi="Times New Roman"/>
      <w:b/>
      <w:bCs/>
      <w:kern w:val="2"/>
      <w:sz w:val="28"/>
      <w:szCs w:val="28"/>
    </w:rPr>
  </w:style>
  <w:style w:type="character" w:customStyle="1" w:styleId="72">
    <w:name w:val="标题 6 字符1"/>
    <w:link w:val="8"/>
    <w:qFormat/>
    <w:uiPriority w:val="0"/>
    <w:rPr>
      <w:rFonts w:ascii="仿宋_GB2312" w:hAnsi="宋体" w:eastAsia="仿宋_GB2312"/>
      <w:b/>
      <w:bCs/>
      <w:color w:val="FF0000"/>
      <w:sz w:val="36"/>
      <w:szCs w:val="30"/>
      <w:u w:val="single"/>
    </w:rPr>
  </w:style>
  <w:style w:type="character" w:customStyle="1" w:styleId="73">
    <w:name w:val="标题 7 字符"/>
    <w:link w:val="9"/>
    <w:qFormat/>
    <w:uiPriority w:val="0"/>
    <w:rPr>
      <w:kern w:val="2"/>
      <w:sz w:val="21"/>
      <w:szCs w:val="22"/>
    </w:rPr>
  </w:style>
  <w:style w:type="character" w:customStyle="1" w:styleId="74">
    <w:name w:val="标题 8 字符"/>
    <w:link w:val="10"/>
    <w:qFormat/>
    <w:uiPriority w:val="0"/>
    <w:rPr>
      <w:rFonts w:ascii="Arial" w:hAnsi="Arial" w:eastAsia="黑体"/>
      <w:kern w:val="2"/>
      <w:sz w:val="24"/>
      <w:szCs w:val="32"/>
      <w:lang w:val="zh-CN" w:eastAsia="zh-CN"/>
    </w:rPr>
  </w:style>
  <w:style w:type="character" w:customStyle="1" w:styleId="75">
    <w:name w:val="标题 9 字符"/>
    <w:link w:val="11"/>
    <w:qFormat/>
    <w:uiPriority w:val="0"/>
    <w:rPr>
      <w:rFonts w:ascii="Arial" w:hAnsi="Arial" w:eastAsia="黑体"/>
      <w:kern w:val="2"/>
      <w:sz w:val="21"/>
      <w:szCs w:val="32"/>
      <w:lang w:val="zh-CN" w:eastAsia="zh-CN"/>
    </w:rPr>
  </w:style>
  <w:style w:type="character" w:customStyle="1" w:styleId="76">
    <w:name w:val="批注框文本 字符1"/>
    <w:link w:val="34"/>
    <w:qFormat/>
    <w:uiPriority w:val="0"/>
    <w:rPr>
      <w:rFonts w:ascii="Times New Roman" w:hAnsi="Times New Roman"/>
      <w:kern w:val="2"/>
      <w:sz w:val="18"/>
      <w:szCs w:val="18"/>
    </w:rPr>
  </w:style>
  <w:style w:type="character" w:customStyle="1" w:styleId="77">
    <w:name w:val="正文文本缩进 字符1"/>
    <w:link w:val="23"/>
    <w:qFormat/>
    <w:uiPriority w:val="0"/>
    <w:rPr>
      <w:rFonts w:ascii="Times New Roman" w:hAnsi="Times New Roman"/>
      <w:kern w:val="2"/>
      <w:sz w:val="28"/>
    </w:rPr>
  </w:style>
  <w:style w:type="character" w:customStyle="1" w:styleId="78">
    <w:name w:val="页眉 字符1"/>
    <w:link w:val="36"/>
    <w:qFormat/>
    <w:uiPriority w:val="0"/>
    <w:rPr>
      <w:rFonts w:ascii="Times New Roman" w:hAnsi="Times New Roman"/>
      <w:sz w:val="18"/>
      <w:lang w:val="en-US" w:eastAsia="zh-CN"/>
    </w:rPr>
  </w:style>
  <w:style w:type="character" w:customStyle="1" w:styleId="79">
    <w:name w:val="日期 字符1"/>
    <w:link w:val="31"/>
    <w:qFormat/>
    <w:uiPriority w:val="0"/>
    <w:rPr>
      <w:rFonts w:ascii="宋体" w:hAnsi="Times New Roman"/>
      <w:sz w:val="28"/>
      <w:lang w:val="en-US" w:eastAsia="zh-CN"/>
    </w:rPr>
  </w:style>
  <w:style w:type="character" w:customStyle="1" w:styleId="80">
    <w:name w:val="正文文本缩进 2 字符1"/>
    <w:link w:val="32"/>
    <w:semiHidden/>
    <w:qFormat/>
    <w:uiPriority w:val="0"/>
    <w:rPr>
      <w:kern w:val="2"/>
      <w:sz w:val="21"/>
      <w:szCs w:val="22"/>
    </w:rPr>
  </w:style>
  <w:style w:type="character" w:customStyle="1" w:styleId="81">
    <w:name w:val="正文文本 2 字符1"/>
    <w:link w:val="46"/>
    <w:qFormat/>
    <w:uiPriority w:val="0"/>
    <w:rPr>
      <w:rFonts w:ascii="Times New Roman" w:hAnsi="Times New Roman"/>
      <w:kern w:val="2"/>
      <w:sz w:val="24"/>
    </w:rPr>
  </w:style>
  <w:style w:type="character" w:customStyle="1" w:styleId="82">
    <w:name w:val="页脚 字符1"/>
    <w:link w:val="35"/>
    <w:qFormat/>
    <w:uiPriority w:val="99"/>
    <w:rPr>
      <w:rFonts w:ascii="Times New Roman" w:hAnsi="Times New Roman"/>
      <w:sz w:val="18"/>
      <w:lang w:val="en-US" w:eastAsia="zh-CN"/>
    </w:rPr>
  </w:style>
  <w:style w:type="character" w:customStyle="1" w:styleId="83">
    <w:name w:val="正文文本缩进 3 字符1"/>
    <w:link w:val="43"/>
    <w:qFormat/>
    <w:uiPriority w:val="0"/>
    <w:rPr>
      <w:rFonts w:ascii="Times New Roman" w:hAnsi="Times New Roman"/>
      <w:kern w:val="2"/>
      <w:sz w:val="16"/>
      <w:szCs w:val="16"/>
    </w:rPr>
  </w:style>
  <w:style w:type="character" w:customStyle="1" w:styleId="84">
    <w:name w:val="纯文本 字符1"/>
    <w:link w:val="29"/>
    <w:qFormat/>
    <w:uiPriority w:val="0"/>
    <w:rPr>
      <w:rFonts w:ascii="宋体" w:hAnsi="Courier New"/>
      <w:kern w:val="2"/>
      <w:sz w:val="21"/>
    </w:rPr>
  </w:style>
  <w:style w:type="character" w:customStyle="1" w:styleId="85">
    <w:name w:val="正文文本 字符1"/>
    <w:link w:val="22"/>
    <w:qFormat/>
    <w:uiPriority w:val="0"/>
    <w:rPr>
      <w:rFonts w:ascii="宋体" w:hAnsi="Arial"/>
      <w:color w:val="000000"/>
      <w:kern w:val="2"/>
      <w:sz w:val="24"/>
    </w:rPr>
  </w:style>
  <w:style w:type="paragraph" w:customStyle="1" w:styleId="86">
    <w:name w:val="Char Char Char Char"/>
    <w:basedOn w:val="1"/>
    <w:qFormat/>
    <w:uiPriority w:val="0"/>
    <w:pPr>
      <w:spacing w:line="360" w:lineRule="auto"/>
      <w:jc w:val="center"/>
    </w:pPr>
    <w:rPr>
      <w:rFonts w:eastAsia="仿宋_GB2312"/>
      <w:b/>
      <w:sz w:val="28"/>
      <w:szCs w:val="32"/>
    </w:rPr>
  </w:style>
  <w:style w:type="paragraph" w:customStyle="1" w:styleId="87">
    <w:name w:val="Char Char Char1 Char Char Char Char Char Char Char"/>
    <w:basedOn w:val="1"/>
    <w:qFormat/>
    <w:uiPriority w:val="0"/>
    <w:pPr>
      <w:spacing w:line="480" w:lineRule="exact"/>
    </w:pPr>
    <w:rPr>
      <w:rFonts w:ascii="Times New Roman" w:hAnsi="Times New Roman"/>
      <w:szCs w:val="24"/>
    </w:rPr>
  </w:style>
  <w:style w:type="paragraph" w:customStyle="1" w:styleId="88">
    <w:name w:val="图"/>
    <w:basedOn w:val="1"/>
    <w:qFormat/>
    <w:uiPriority w:val="0"/>
    <w:pPr>
      <w:keepNext/>
      <w:adjustRightInd w:val="0"/>
      <w:spacing w:before="60" w:after="60" w:line="300" w:lineRule="auto"/>
      <w:jc w:val="center"/>
      <w:textAlignment w:val="center"/>
    </w:pPr>
    <w:rPr>
      <w:rFonts w:ascii="Times New Roman" w:hAnsi="Times New Roman"/>
      <w:snapToGrid w:val="0"/>
      <w:spacing w:val="20"/>
      <w:kern w:val="0"/>
      <w:sz w:val="24"/>
      <w:szCs w:val="20"/>
    </w:rPr>
  </w:style>
  <w:style w:type="paragraph" w:customStyle="1" w:styleId="89">
    <w:name w:val="Char"/>
    <w:basedOn w:val="1"/>
    <w:qFormat/>
    <w:uiPriority w:val="0"/>
    <w:pPr>
      <w:adjustRightInd w:val="0"/>
      <w:spacing w:line="360" w:lineRule="auto"/>
    </w:pPr>
    <w:rPr>
      <w:rFonts w:ascii="Times New Roman" w:hAnsi="Times New Roman"/>
      <w:kern w:val="0"/>
      <w:sz w:val="24"/>
      <w:szCs w:val="20"/>
    </w:rPr>
  </w:style>
  <w:style w:type="character" w:customStyle="1" w:styleId="90">
    <w:name w:val="正文文本 3 字符1"/>
    <w:link w:val="20"/>
    <w:semiHidden/>
    <w:qFormat/>
    <w:uiPriority w:val="0"/>
    <w:rPr>
      <w:rFonts w:eastAsia="仿宋_GB2312"/>
      <w:kern w:val="2"/>
      <w:sz w:val="16"/>
      <w:szCs w:val="16"/>
    </w:rPr>
  </w:style>
  <w:style w:type="character" w:customStyle="1" w:styleId="91">
    <w:name w:val="tpc_content1"/>
    <w:qFormat/>
    <w:uiPriority w:val="0"/>
    <w:rPr>
      <w:sz w:val="26"/>
    </w:rPr>
  </w:style>
  <w:style w:type="paragraph" w:customStyle="1" w:styleId="92">
    <w:name w:val="正文文本缩进 21"/>
    <w:basedOn w:val="1"/>
    <w:qFormat/>
    <w:uiPriority w:val="0"/>
    <w:pPr>
      <w:spacing w:line="360" w:lineRule="auto"/>
      <w:ind w:left="-105" w:leftChars="-50" w:firstLine="420" w:firstLineChars="200"/>
    </w:pPr>
    <w:rPr>
      <w:rFonts w:ascii="宋体" w:hAnsi="宋体"/>
      <w:color w:val="000000"/>
      <w:szCs w:val="20"/>
    </w:rPr>
  </w:style>
  <w:style w:type="paragraph" w:styleId="93">
    <w:name w:val="List Paragraph"/>
    <w:basedOn w:val="1"/>
    <w:link w:val="94"/>
    <w:qFormat/>
    <w:uiPriority w:val="0"/>
    <w:pPr>
      <w:ind w:firstLine="420" w:firstLineChars="200"/>
    </w:pPr>
  </w:style>
  <w:style w:type="character" w:customStyle="1" w:styleId="94">
    <w:name w:val="列表段落 字符"/>
    <w:link w:val="93"/>
    <w:qFormat/>
    <w:locked/>
    <w:uiPriority w:val="0"/>
    <w:rPr>
      <w:kern w:val="2"/>
      <w:sz w:val="21"/>
      <w:szCs w:val="22"/>
    </w:rPr>
  </w:style>
  <w:style w:type="character" w:customStyle="1" w:styleId="95">
    <w:name w:val="纯文本 Char1"/>
    <w:qFormat/>
    <w:locked/>
    <w:uiPriority w:val="99"/>
    <w:rPr>
      <w:rFonts w:ascii="宋体" w:hAnsi="Courier New" w:eastAsia="宋体" w:cs="Times New Roman"/>
      <w:kern w:val="2"/>
      <w:sz w:val="28"/>
      <w:szCs w:val="20"/>
    </w:rPr>
  </w:style>
  <w:style w:type="character" w:customStyle="1" w:styleId="96">
    <w:name w:val="@他1"/>
    <w:semiHidden/>
    <w:unhideWhenUsed/>
    <w:qFormat/>
    <w:uiPriority w:val="99"/>
    <w:rPr>
      <w:rFonts w:eastAsia="仿宋_GB2312"/>
      <w:b/>
      <w:color w:val="2B579A"/>
      <w:kern w:val="2"/>
      <w:sz w:val="28"/>
      <w:szCs w:val="32"/>
      <w:shd w:val="clear" w:color="auto" w:fill="E6E6E6"/>
    </w:rPr>
  </w:style>
  <w:style w:type="character" w:customStyle="1" w:styleId="97">
    <w:name w:val="批注文字 字符1"/>
    <w:link w:val="18"/>
    <w:qFormat/>
    <w:uiPriority w:val="99"/>
    <w:rPr>
      <w:kern w:val="2"/>
      <w:sz w:val="21"/>
      <w:szCs w:val="22"/>
    </w:rPr>
  </w:style>
  <w:style w:type="character" w:customStyle="1" w:styleId="98">
    <w:name w:val="批注文字 字符"/>
    <w:qFormat/>
    <w:uiPriority w:val="0"/>
    <w:rPr>
      <w:rFonts w:eastAsia="仿宋_GB2312"/>
      <w:kern w:val="2"/>
      <w:sz w:val="21"/>
      <w:szCs w:val="22"/>
    </w:rPr>
  </w:style>
  <w:style w:type="character" w:customStyle="1" w:styleId="99">
    <w:name w:val="批注主题 字符1"/>
    <w:link w:val="51"/>
    <w:qFormat/>
    <w:uiPriority w:val="0"/>
    <w:rPr>
      <w:b/>
      <w:bCs/>
      <w:kern w:val="2"/>
      <w:sz w:val="21"/>
      <w:szCs w:val="22"/>
    </w:rPr>
  </w:style>
  <w:style w:type="character" w:customStyle="1" w:styleId="100">
    <w:name w:val="批注主题 字符"/>
    <w:qFormat/>
    <w:uiPriority w:val="99"/>
    <w:rPr>
      <w:rFonts w:eastAsia="仿宋_GB2312"/>
      <w:b/>
      <w:bCs/>
      <w:kern w:val="2"/>
      <w:sz w:val="21"/>
      <w:szCs w:val="22"/>
    </w:rPr>
  </w:style>
  <w:style w:type="character" w:customStyle="1" w:styleId="101">
    <w:name w:val="页眉 字符"/>
    <w:qFormat/>
    <w:uiPriority w:val="0"/>
    <w:rPr>
      <w:rFonts w:eastAsia="仿宋_GB2312"/>
      <w:kern w:val="2"/>
      <w:sz w:val="18"/>
      <w:szCs w:val="18"/>
    </w:rPr>
  </w:style>
  <w:style w:type="character" w:customStyle="1" w:styleId="102">
    <w:name w:val="页脚 字符"/>
    <w:qFormat/>
    <w:uiPriority w:val="0"/>
    <w:rPr>
      <w:rFonts w:eastAsia="仿宋_GB2312"/>
      <w:kern w:val="2"/>
      <w:sz w:val="18"/>
      <w:szCs w:val="18"/>
    </w:rPr>
  </w:style>
  <w:style w:type="character" w:customStyle="1" w:styleId="103">
    <w:name w:val="标题 4 字符"/>
    <w:qFormat/>
    <w:uiPriority w:val="0"/>
    <w:rPr>
      <w:rFonts w:ascii="Cambria" w:hAnsi="Cambria" w:eastAsia="宋体" w:cs="Times New Roman"/>
      <w:kern w:val="2"/>
      <w:sz w:val="28"/>
      <w:szCs w:val="20"/>
      <w:lang w:val="zh-CN" w:eastAsia="zh-CN"/>
    </w:rPr>
  </w:style>
  <w:style w:type="character" w:customStyle="1" w:styleId="104">
    <w:name w:val="标题 字符"/>
    <w:link w:val="50"/>
    <w:qFormat/>
    <w:uiPriority w:val="0"/>
    <w:rPr>
      <w:rFonts w:ascii="Cambria" w:hAnsi="Cambria" w:eastAsia="仿宋_GB2312"/>
      <w:b/>
      <w:bCs/>
      <w:kern w:val="2"/>
      <w:sz w:val="32"/>
      <w:szCs w:val="32"/>
    </w:rPr>
  </w:style>
  <w:style w:type="character" w:customStyle="1" w:styleId="105">
    <w:name w:val="标题 5 字符"/>
    <w:qFormat/>
    <w:uiPriority w:val="0"/>
    <w:rPr>
      <w:rFonts w:ascii="Calibri" w:hAnsi="Calibri" w:eastAsia="宋体" w:cs="Times New Roman"/>
      <w:b/>
      <w:kern w:val="2"/>
      <w:sz w:val="28"/>
      <w:szCs w:val="20"/>
      <w:lang w:val="zh-CN" w:eastAsia="zh-CN"/>
    </w:rPr>
  </w:style>
  <w:style w:type="character" w:customStyle="1" w:styleId="106">
    <w:name w:val="标题 6 字符"/>
    <w:qFormat/>
    <w:uiPriority w:val="0"/>
    <w:rPr>
      <w:rFonts w:ascii="Cambria" w:hAnsi="Cambria" w:eastAsia="宋体" w:cs="Times New Roman"/>
      <w:b/>
      <w:kern w:val="2"/>
      <w:sz w:val="24"/>
      <w:szCs w:val="20"/>
      <w:lang w:val="zh-CN" w:eastAsia="zh-CN"/>
    </w:rPr>
  </w:style>
  <w:style w:type="character" w:customStyle="1" w:styleId="107">
    <w:name w:val="Heading 1 Char"/>
    <w:qFormat/>
    <w:locked/>
    <w:uiPriority w:val="9"/>
    <w:rPr>
      <w:rFonts w:eastAsia="黑体"/>
      <w:b/>
      <w:kern w:val="44"/>
      <w:sz w:val="32"/>
    </w:rPr>
  </w:style>
  <w:style w:type="character" w:customStyle="1" w:styleId="108">
    <w:name w:val="不明显参考1"/>
    <w:qFormat/>
    <w:uiPriority w:val="31"/>
    <w:rPr>
      <w:smallCaps/>
      <w:color w:val="C0504D"/>
      <w:u w:val="single"/>
    </w:rPr>
  </w:style>
  <w:style w:type="character" w:customStyle="1" w:styleId="109">
    <w:name w:val="Header Char"/>
    <w:qFormat/>
    <w:locked/>
    <w:uiPriority w:val="0"/>
    <w:rPr>
      <w:rFonts w:eastAsia="宋体"/>
      <w:kern w:val="2"/>
      <w:sz w:val="18"/>
      <w:lang w:val="en-US" w:eastAsia="zh-CN"/>
    </w:rPr>
  </w:style>
  <w:style w:type="character" w:customStyle="1" w:styleId="110">
    <w:name w:val="批注主题 Char1"/>
    <w:qFormat/>
    <w:uiPriority w:val="0"/>
    <w:rPr>
      <w:b/>
      <w:kern w:val="2"/>
      <w:sz w:val="22"/>
    </w:rPr>
  </w:style>
  <w:style w:type="character" w:customStyle="1" w:styleId="111">
    <w:name w:val="正文文本 字符"/>
    <w:qFormat/>
    <w:uiPriority w:val="0"/>
    <w:rPr>
      <w:szCs w:val="24"/>
    </w:rPr>
  </w:style>
  <w:style w:type="character" w:customStyle="1" w:styleId="112">
    <w:name w:val="副标题 字符"/>
    <w:link w:val="40"/>
    <w:qFormat/>
    <w:uiPriority w:val="11"/>
    <w:rPr>
      <w:rFonts w:ascii="Cambria" w:hAnsi="Cambria"/>
      <w:b/>
      <w:bCs/>
      <w:kern w:val="28"/>
      <w:sz w:val="32"/>
      <w:szCs w:val="32"/>
    </w:rPr>
  </w:style>
  <w:style w:type="character" w:customStyle="1" w:styleId="113">
    <w:name w:val="副标题 字符1"/>
    <w:qFormat/>
    <w:uiPriority w:val="0"/>
    <w:rPr>
      <w:rFonts w:ascii="等线 Light" w:hAnsi="等线 Light" w:eastAsia="仿宋_GB2312" w:cs="Times New Roman"/>
      <w:b/>
      <w:bCs/>
      <w:kern w:val="28"/>
      <w:sz w:val="32"/>
      <w:szCs w:val="32"/>
    </w:rPr>
  </w:style>
  <w:style w:type="character" w:customStyle="1" w:styleId="114">
    <w:name w:val="日期 字符"/>
    <w:qFormat/>
    <w:uiPriority w:val="99"/>
    <w:rPr>
      <w:szCs w:val="24"/>
    </w:rPr>
  </w:style>
  <w:style w:type="character" w:customStyle="1" w:styleId="115">
    <w:name w:val="正文缩进 字符"/>
    <w:link w:val="15"/>
    <w:qFormat/>
    <w:locked/>
    <w:uiPriority w:val="0"/>
  </w:style>
  <w:style w:type="character" w:customStyle="1" w:styleId="116">
    <w:name w:val="文档结构图 Char1"/>
    <w:qFormat/>
    <w:uiPriority w:val="0"/>
    <w:rPr>
      <w:rFonts w:ascii="宋体"/>
      <w:kern w:val="2"/>
      <w:sz w:val="18"/>
    </w:rPr>
  </w:style>
  <w:style w:type="character" w:customStyle="1" w:styleId="117">
    <w:name w:val="Footer Char"/>
    <w:qFormat/>
    <w:locked/>
    <w:uiPriority w:val="99"/>
    <w:rPr>
      <w:kern w:val="2"/>
      <w:sz w:val="18"/>
    </w:rPr>
  </w:style>
  <w:style w:type="character" w:customStyle="1" w:styleId="118">
    <w:name w:val="Comment Text Char1"/>
    <w:qFormat/>
    <w:locked/>
    <w:uiPriority w:val="0"/>
    <w:rPr>
      <w:kern w:val="2"/>
      <w:sz w:val="24"/>
    </w:rPr>
  </w:style>
  <w:style w:type="character" w:customStyle="1" w:styleId="119">
    <w:name w:val="批注文字 Char Char"/>
    <w:qFormat/>
    <w:uiPriority w:val="0"/>
    <w:rPr>
      <w:rFonts w:ascii="宋体" w:hAnsi="Times New Roman" w:eastAsia="宋体"/>
      <w:sz w:val="20"/>
    </w:rPr>
  </w:style>
  <w:style w:type="character" w:customStyle="1" w:styleId="120">
    <w:name w:val="引用 Char1"/>
    <w:qFormat/>
    <w:uiPriority w:val="29"/>
    <w:rPr>
      <w:i/>
      <w:color w:val="000000"/>
      <w:kern w:val="2"/>
      <w:sz w:val="24"/>
    </w:rPr>
  </w:style>
  <w:style w:type="character" w:customStyle="1" w:styleId="121">
    <w:name w:val="正文文本 3 字符"/>
    <w:qFormat/>
    <w:uiPriority w:val="99"/>
    <w:rPr>
      <w:sz w:val="16"/>
      <w:szCs w:val="16"/>
    </w:rPr>
  </w:style>
  <w:style w:type="character" w:customStyle="1" w:styleId="122">
    <w:name w:val="日期 Char1"/>
    <w:qFormat/>
    <w:uiPriority w:val="0"/>
    <w:rPr>
      <w:kern w:val="2"/>
      <w:sz w:val="22"/>
    </w:rPr>
  </w:style>
  <w:style w:type="character" w:customStyle="1" w:styleId="123">
    <w:name w:val="明显强调1"/>
    <w:qFormat/>
    <w:uiPriority w:val="21"/>
    <w:rPr>
      <w:b/>
      <w:i/>
      <w:color w:val="4F81BD"/>
    </w:rPr>
  </w:style>
  <w:style w:type="character" w:customStyle="1" w:styleId="124">
    <w:name w:val="Plain Text Char"/>
    <w:qFormat/>
    <w:locked/>
    <w:uiPriority w:val="0"/>
    <w:rPr>
      <w:rFonts w:ascii="宋体" w:hAnsi="Courier New"/>
      <w:kern w:val="2"/>
      <w:sz w:val="21"/>
    </w:rPr>
  </w:style>
  <w:style w:type="character" w:customStyle="1" w:styleId="125">
    <w:name w:val="textcontents"/>
    <w:qFormat/>
    <w:uiPriority w:val="0"/>
  </w:style>
  <w:style w:type="character" w:customStyle="1" w:styleId="126">
    <w:name w:val="不明显强调1"/>
    <w:qFormat/>
    <w:uiPriority w:val="19"/>
    <w:rPr>
      <w:i/>
      <w:color w:val="808080"/>
    </w:rPr>
  </w:style>
  <w:style w:type="character" w:customStyle="1" w:styleId="127">
    <w:name w:val="Quote Char1"/>
    <w:link w:val="128"/>
    <w:qFormat/>
    <w:uiPriority w:val="29"/>
    <w:rPr>
      <w:i/>
      <w:iCs/>
      <w:color w:val="000000"/>
      <w:szCs w:val="24"/>
    </w:rPr>
  </w:style>
  <w:style w:type="paragraph" w:customStyle="1" w:styleId="128">
    <w:name w:val="引用1"/>
    <w:basedOn w:val="1"/>
    <w:next w:val="1"/>
    <w:link w:val="127"/>
    <w:qFormat/>
    <w:uiPriority w:val="0"/>
    <w:rPr>
      <w:i/>
      <w:iCs/>
      <w:color w:val="000000"/>
      <w:kern w:val="0"/>
      <w:sz w:val="20"/>
      <w:szCs w:val="24"/>
    </w:rPr>
  </w:style>
  <w:style w:type="character" w:customStyle="1" w:styleId="129">
    <w:name w:val="Quote Char"/>
    <w:qFormat/>
    <w:locked/>
    <w:uiPriority w:val="0"/>
    <w:rPr>
      <w:i/>
      <w:color w:val="000000"/>
      <w:kern w:val="2"/>
      <w:sz w:val="22"/>
    </w:rPr>
  </w:style>
  <w:style w:type="character" w:customStyle="1" w:styleId="130">
    <w:name w:val="批注框文本 Char1"/>
    <w:qFormat/>
    <w:uiPriority w:val="0"/>
    <w:rPr>
      <w:kern w:val="2"/>
      <w:sz w:val="18"/>
    </w:rPr>
  </w:style>
  <w:style w:type="character" w:customStyle="1" w:styleId="131">
    <w:name w:val="Body Text 3 Char"/>
    <w:qFormat/>
    <w:locked/>
    <w:uiPriority w:val="0"/>
    <w:rPr>
      <w:rFonts w:ascii="宋体" w:eastAsia="宋体"/>
      <w:sz w:val="24"/>
    </w:rPr>
  </w:style>
  <w:style w:type="character" w:customStyle="1" w:styleId="132">
    <w:name w:val="副标题 Char1"/>
    <w:qFormat/>
    <w:uiPriority w:val="11"/>
    <w:rPr>
      <w:rFonts w:ascii="Cambria" w:hAnsi="Cambria"/>
      <w:b/>
      <w:kern w:val="28"/>
      <w:sz w:val="32"/>
    </w:rPr>
  </w:style>
  <w:style w:type="character" w:customStyle="1" w:styleId="133">
    <w:name w:val="Heading 3 Char"/>
    <w:qFormat/>
    <w:locked/>
    <w:uiPriority w:val="9"/>
    <w:rPr>
      <w:rFonts w:eastAsia="宋体"/>
      <w:b/>
      <w:kern w:val="2"/>
      <w:sz w:val="32"/>
      <w:lang w:val="en-US" w:eastAsia="zh-CN"/>
    </w:rPr>
  </w:style>
  <w:style w:type="character" w:customStyle="1" w:styleId="134">
    <w:name w:val="text1"/>
    <w:qFormat/>
    <w:uiPriority w:val="0"/>
    <w:rPr>
      <w:spacing w:val="8"/>
      <w:sz w:val="21"/>
    </w:rPr>
  </w:style>
  <w:style w:type="character" w:customStyle="1" w:styleId="135">
    <w:name w:val="Document Map Char"/>
    <w:qFormat/>
    <w:locked/>
    <w:uiPriority w:val="0"/>
    <w:rPr>
      <w:kern w:val="2"/>
      <w:sz w:val="24"/>
      <w:shd w:val="clear" w:color="auto" w:fill="000080"/>
    </w:rPr>
  </w:style>
  <w:style w:type="character" w:customStyle="1" w:styleId="136">
    <w:name w:val="Intense Quote Char1"/>
    <w:link w:val="137"/>
    <w:qFormat/>
    <w:uiPriority w:val="30"/>
    <w:rPr>
      <w:b/>
      <w:bCs/>
      <w:i/>
      <w:iCs/>
      <w:color w:val="4F81BD"/>
      <w:szCs w:val="24"/>
    </w:rPr>
  </w:style>
  <w:style w:type="paragraph" w:customStyle="1" w:styleId="137">
    <w:name w:val="明显引用1"/>
    <w:basedOn w:val="1"/>
    <w:next w:val="1"/>
    <w:link w:val="136"/>
    <w:qFormat/>
    <w:uiPriority w:val="0"/>
    <w:pPr>
      <w:pBdr>
        <w:bottom w:val="single" w:color="4F81BD" w:sz="4" w:space="4"/>
      </w:pBdr>
      <w:spacing w:before="200" w:after="280"/>
      <w:ind w:left="936" w:right="936"/>
    </w:pPr>
    <w:rPr>
      <w:b/>
      <w:bCs/>
      <w:i/>
      <w:iCs/>
      <w:color w:val="4F81BD"/>
      <w:kern w:val="0"/>
      <w:sz w:val="20"/>
      <w:szCs w:val="24"/>
    </w:rPr>
  </w:style>
  <w:style w:type="character" w:customStyle="1" w:styleId="138">
    <w:name w:val="书籍标题1"/>
    <w:qFormat/>
    <w:uiPriority w:val="33"/>
    <w:rPr>
      <w:b/>
      <w:smallCaps/>
      <w:spacing w:val="5"/>
    </w:rPr>
  </w:style>
  <w:style w:type="character" w:customStyle="1" w:styleId="139">
    <w:name w:val="Comment Text Char"/>
    <w:qFormat/>
    <w:locked/>
    <w:uiPriority w:val="0"/>
    <w:rPr>
      <w:kern w:val="2"/>
      <w:sz w:val="24"/>
    </w:rPr>
  </w:style>
  <w:style w:type="character" w:customStyle="1" w:styleId="140">
    <w:name w:val="样式1 Char"/>
    <w:link w:val="141"/>
    <w:qFormat/>
    <w:locked/>
    <w:uiPriority w:val="0"/>
    <w:rPr>
      <w:rFonts w:ascii="宋体"/>
    </w:rPr>
  </w:style>
  <w:style w:type="paragraph" w:customStyle="1" w:styleId="141">
    <w:name w:val="样式1"/>
    <w:basedOn w:val="1"/>
    <w:next w:val="6"/>
    <w:link w:val="140"/>
    <w:qFormat/>
    <w:uiPriority w:val="0"/>
    <w:pPr>
      <w:spacing w:line="360" w:lineRule="auto"/>
      <w:ind w:firstLine="420" w:firstLineChars="200"/>
    </w:pPr>
    <w:rPr>
      <w:rFonts w:ascii="宋体"/>
      <w:kern w:val="0"/>
      <w:sz w:val="20"/>
      <w:szCs w:val="20"/>
    </w:rPr>
  </w:style>
  <w:style w:type="character" w:customStyle="1" w:styleId="142">
    <w:name w:val="Body Text Indent 2 Char"/>
    <w:qFormat/>
    <w:locked/>
    <w:uiPriority w:val="0"/>
    <w:rPr>
      <w:rFonts w:ascii="宋体"/>
      <w:kern w:val="2"/>
      <w:sz w:val="30"/>
    </w:rPr>
  </w:style>
  <w:style w:type="character" w:customStyle="1" w:styleId="143">
    <w:name w:val="批注框文本 字符"/>
    <w:qFormat/>
    <w:uiPriority w:val="99"/>
    <w:rPr>
      <w:sz w:val="16"/>
      <w:szCs w:val="16"/>
    </w:rPr>
  </w:style>
  <w:style w:type="character" w:customStyle="1" w:styleId="144">
    <w:name w:val="Body Text Indent Char"/>
    <w:qFormat/>
    <w:locked/>
    <w:uiPriority w:val="0"/>
    <w:rPr>
      <w:kern w:val="2"/>
      <w:sz w:val="24"/>
    </w:rPr>
  </w:style>
  <w:style w:type="character" w:customStyle="1" w:styleId="145">
    <w:name w:val="文档结构图 字符"/>
    <w:link w:val="17"/>
    <w:qFormat/>
    <w:uiPriority w:val="0"/>
    <w:rPr>
      <w:sz w:val="16"/>
      <w:szCs w:val="16"/>
      <w:shd w:val="clear" w:color="auto" w:fill="000080"/>
    </w:rPr>
  </w:style>
  <w:style w:type="character" w:customStyle="1" w:styleId="146">
    <w:name w:val="文档结构图 字符1"/>
    <w:semiHidden/>
    <w:qFormat/>
    <w:uiPriority w:val="99"/>
    <w:rPr>
      <w:rFonts w:ascii="Microsoft YaHei UI" w:eastAsia="Microsoft YaHei UI"/>
      <w:kern w:val="2"/>
      <w:sz w:val="18"/>
      <w:szCs w:val="18"/>
    </w:rPr>
  </w:style>
  <w:style w:type="character" w:customStyle="1" w:styleId="147">
    <w:name w:val="正文文本 2 字符"/>
    <w:qFormat/>
    <w:uiPriority w:val="99"/>
    <w:rPr>
      <w:szCs w:val="24"/>
    </w:rPr>
  </w:style>
  <w:style w:type="character" w:customStyle="1" w:styleId="148">
    <w:name w:val="正文文本缩进 字符"/>
    <w:qFormat/>
    <w:uiPriority w:val="0"/>
    <w:rPr>
      <w:szCs w:val="24"/>
    </w:rPr>
  </w:style>
  <w:style w:type="character" w:customStyle="1" w:styleId="149">
    <w:name w:val="Comment Subject Char"/>
    <w:qFormat/>
    <w:locked/>
    <w:uiPriority w:val="0"/>
    <w:rPr>
      <w:b/>
      <w:kern w:val="2"/>
      <w:sz w:val="24"/>
    </w:rPr>
  </w:style>
  <w:style w:type="character" w:customStyle="1" w:styleId="150">
    <w:name w:val="纯文本 字符"/>
    <w:qFormat/>
    <w:uiPriority w:val="99"/>
    <w:rPr>
      <w:rFonts w:ascii="宋体" w:hAnsi="Courier New" w:cs="Courier New"/>
      <w:szCs w:val="21"/>
    </w:rPr>
  </w:style>
  <w:style w:type="character" w:customStyle="1" w:styleId="151">
    <w:name w:val="Body Text 2 Char"/>
    <w:qFormat/>
    <w:locked/>
    <w:uiPriority w:val="0"/>
    <w:rPr>
      <w:rFonts w:ascii="宋体"/>
      <w:sz w:val="24"/>
    </w:rPr>
  </w:style>
  <w:style w:type="character" w:customStyle="1" w:styleId="152">
    <w:name w:val="Title Char"/>
    <w:qFormat/>
    <w:locked/>
    <w:uiPriority w:val="0"/>
    <w:rPr>
      <w:rFonts w:ascii="Cambria" w:hAnsi="Cambria"/>
      <w:b/>
      <w:kern w:val="2"/>
      <w:sz w:val="32"/>
    </w:rPr>
  </w:style>
  <w:style w:type="character" w:customStyle="1" w:styleId="153">
    <w:name w:val="标题5 Char Char"/>
    <w:link w:val="154"/>
    <w:qFormat/>
    <w:locked/>
    <w:uiPriority w:val="0"/>
    <w:rPr>
      <w:rFonts w:ascii="Arial" w:hAnsi="Arial"/>
      <w:b/>
      <w:sz w:val="32"/>
    </w:rPr>
  </w:style>
  <w:style w:type="paragraph" w:customStyle="1" w:styleId="154">
    <w:name w:val="标题5"/>
    <w:basedOn w:val="5"/>
    <w:link w:val="153"/>
    <w:qFormat/>
    <w:uiPriority w:val="0"/>
    <w:pPr>
      <w:spacing w:line="413" w:lineRule="auto"/>
      <w:jc w:val="center"/>
    </w:pPr>
    <w:rPr>
      <w:rFonts w:ascii="Arial" w:hAnsi="Arial"/>
      <w:bCs w:val="0"/>
      <w:kern w:val="0"/>
      <w:szCs w:val="20"/>
      <w:lang w:val="en-US"/>
    </w:rPr>
  </w:style>
  <w:style w:type="character" w:customStyle="1" w:styleId="155">
    <w:name w:val="明显参考1"/>
    <w:qFormat/>
    <w:uiPriority w:val="32"/>
    <w:rPr>
      <w:b/>
      <w:smallCaps/>
      <w:color w:val="C0504D"/>
      <w:spacing w:val="5"/>
      <w:u w:val="single"/>
    </w:rPr>
  </w:style>
  <w:style w:type="character" w:customStyle="1" w:styleId="156">
    <w:name w:val="Balloon Text Char"/>
    <w:qFormat/>
    <w:locked/>
    <w:uiPriority w:val="0"/>
    <w:rPr>
      <w:rFonts w:eastAsia="宋体"/>
      <w:kern w:val="2"/>
      <w:sz w:val="18"/>
      <w:lang w:val="en-US" w:eastAsia="zh-CN"/>
    </w:rPr>
  </w:style>
  <w:style w:type="character" w:customStyle="1" w:styleId="157">
    <w:name w:val="Body Text Indent 3 Char"/>
    <w:qFormat/>
    <w:locked/>
    <w:uiPriority w:val="0"/>
    <w:rPr>
      <w:kern w:val="2"/>
      <w:sz w:val="16"/>
    </w:rPr>
  </w:style>
  <w:style w:type="character" w:customStyle="1" w:styleId="158">
    <w:name w:val="Date Char"/>
    <w:qFormat/>
    <w:locked/>
    <w:uiPriority w:val="0"/>
    <w:rPr>
      <w:kern w:val="2"/>
      <w:sz w:val="24"/>
    </w:rPr>
  </w:style>
  <w:style w:type="character" w:customStyle="1" w:styleId="159">
    <w:name w:val="标题 Char1"/>
    <w:qFormat/>
    <w:uiPriority w:val="10"/>
    <w:rPr>
      <w:rFonts w:ascii="Cambria" w:hAnsi="Cambria"/>
      <w:b/>
      <w:kern w:val="2"/>
      <w:sz w:val="32"/>
    </w:rPr>
  </w:style>
  <w:style w:type="character" w:customStyle="1" w:styleId="160">
    <w:name w:val="Subtitle Char"/>
    <w:qFormat/>
    <w:locked/>
    <w:uiPriority w:val="0"/>
    <w:rPr>
      <w:rFonts w:ascii="Cambria" w:hAnsi="Cambria"/>
      <w:b/>
      <w:kern w:val="28"/>
      <w:sz w:val="32"/>
    </w:rPr>
  </w:style>
  <w:style w:type="character" w:customStyle="1" w:styleId="161">
    <w:name w:val="aspnetdisabled"/>
    <w:qFormat/>
    <w:uiPriority w:val="0"/>
  </w:style>
  <w:style w:type="character" w:customStyle="1" w:styleId="162">
    <w:name w:val="标题4 Char"/>
    <w:qFormat/>
    <w:uiPriority w:val="0"/>
    <w:rPr>
      <w:rFonts w:ascii="Calibri Light" w:hAnsi="Calibri Light" w:eastAsia="Times New Roman" w:cs="Calibri Light"/>
      <w:b/>
      <w:kern w:val="44"/>
      <w:sz w:val="44"/>
      <w:szCs w:val="44"/>
    </w:rPr>
  </w:style>
  <w:style w:type="character" w:customStyle="1" w:styleId="163">
    <w:name w:val="正文文本 Char1"/>
    <w:qFormat/>
    <w:uiPriority w:val="0"/>
    <w:rPr>
      <w:kern w:val="2"/>
      <w:sz w:val="24"/>
    </w:rPr>
  </w:style>
  <w:style w:type="character" w:customStyle="1" w:styleId="164">
    <w:name w:val="正文文本缩进 2 字符"/>
    <w:qFormat/>
    <w:uiPriority w:val="99"/>
    <w:rPr>
      <w:szCs w:val="24"/>
    </w:rPr>
  </w:style>
  <w:style w:type="character" w:customStyle="1" w:styleId="165">
    <w:name w:val="明显引用 Char1"/>
    <w:qFormat/>
    <w:uiPriority w:val="30"/>
    <w:rPr>
      <w:b/>
      <w:i/>
      <w:color w:val="4F81BD"/>
      <w:kern w:val="2"/>
      <w:sz w:val="24"/>
    </w:rPr>
  </w:style>
  <w:style w:type="character" w:customStyle="1" w:styleId="166">
    <w:name w:val="Body Text Char"/>
    <w:qFormat/>
    <w:locked/>
    <w:uiPriority w:val="0"/>
    <w:rPr>
      <w:kern w:val="2"/>
      <w:sz w:val="24"/>
    </w:rPr>
  </w:style>
  <w:style w:type="character" w:customStyle="1" w:styleId="167">
    <w:name w:val="正文文本缩进 3 字符"/>
    <w:qFormat/>
    <w:uiPriority w:val="99"/>
    <w:rPr>
      <w:sz w:val="16"/>
      <w:szCs w:val="16"/>
    </w:rPr>
  </w:style>
  <w:style w:type="character" w:customStyle="1" w:styleId="168">
    <w:name w:val="Intense Quote Char"/>
    <w:qFormat/>
    <w:locked/>
    <w:uiPriority w:val="0"/>
    <w:rPr>
      <w:b/>
      <w:i/>
      <w:color w:val="4F81BD"/>
      <w:kern w:val="2"/>
      <w:sz w:val="22"/>
    </w:rPr>
  </w:style>
  <w:style w:type="character" w:customStyle="1" w:styleId="169">
    <w:name w:val="HTML 预设格式 字符"/>
    <w:link w:val="48"/>
    <w:qFormat/>
    <w:uiPriority w:val="0"/>
    <w:rPr>
      <w:rFonts w:ascii="宋体" w:hAnsi="宋体" w:eastAsia="仿宋_GB2312"/>
      <w:kern w:val="2"/>
      <w:sz w:val="24"/>
      <w:szCs w:val="24"/>
    </w:rPr>
  </w:style>
  <w:style w:type="character" w:customStyle="1" w:styleId="170">
    <w:name w:val="副标题 Char2"/>
    <w:qFormat/>
    <w:uiPriority w:val="11"/>
    <w:rPr>
      <w:rFonts w:ascii="Cambria" w:hAnsi="Cambria" w:eastAsia="宋体" w:cs="Times New Roman"/>
      <w:b/>
      <w:bCs/>
      <w:kern w:val="28"/>
      <w:sz w:val="32"/>
      <w:szCs w:val="32"/>
    </w:rPr>
  </w:style>
  <w:style w:type="paragraph" w:customStyle="1" w:styleId="171">
    <w:name w:val="aa"/>
    <w:basedOn w:val="1"/>
    <w:qFormat/>
    <w:uiPriority w:val="0"/>
    <w:pPr>
      <w:widowControl/>
      <w:spacing w:before="100" w:beforeAutospacing="1" w:after="100" w:afterAutospacing="1"/>
      <w:jc w:val="left"/>
    </w:pPr>
    <w:rPr>
      <w:rFonts w:ascii="宋体" w:hAnsi="宋体" w:cs="宋体"/>
      <w:kern w:val="0"/>
      <w:sz w:val="15"/>
      <w:szCs w:val="15"/>
    </w:rPr>
  </w:style>
  <w:style w:type="paragraph" w:customStyle="1" w:styleId="172">
    <w:name w:val="1"/>
    <w:basedOn w:val="1"/>
    <w:next w:val="43"/>
    <w:qFormat/>
    <w:uiPriority w:val="0"/>
    <w:pPr>
      <w:spacing w:line="360" w:lineRule="auto"/>
      <w:ind w:firstLine="567"/>
    </w:pPr>
    <w:rPr>
      <w:rFonts w:ascii="Times New Roman" w:hAnsi="Times New Roman"/>
      <w:sz w:val="24"/>
      <w:szCs w:val="24"/>
    </w:rPr>
  </w:style>
  <w:style w:type="paragraph" w:customStyle="1" w:styleId="173">
    <w:name w:val="_Style 26"/>
    <w:basedOn w:val="1"/>
    <w:next w:val="29"/>
    <w:qFormat/>
    <w:uiPriority w:val="0"/>
    <w:rPr>
      <w:rFonts w:ascii="宋体" w:hAnsi="Courier New"/>
      <w:szCs w:val="20"/>
    </w:rPr>
  </w:style>
  <w:style w:type="paragraph" w:customStyle="1" w:styleId="174">
    <w:name w:val="TOC 标题1"/>
    <w:basedOn w:val="3"/>
    <w:next w:val="1"/>
    <w:qFormat/>
    <w:uiPriority w:val="0"/>
    <w:pPr>
      <w:spacing w:line="576" w:lineRule="auto"/>
      <w:outlineLvl w:val="9"/>
    </w:pPr>
    <w:rPr>
      <w:rFonts w:ascii="Calibri" w:hAnsi="Calibri"/>
      <w:bCs/>
      <w:szCs w:val="44"/>
    </w:rPr>
  </w:style>
  <w:style w:type="paragraph" w:customStyle="1" w:styleId="175">
    <w:name w:val="Char Char Char Char Char Char Char"/>
    <w:basedOn w:val="1"/>
    <w:qFormat/>
    <w:uiPriority w:val="0"/>
    <w:rPr>
      <w:rFonts w:ascii="Times New Roman" w:hAnsi="Times New Roman"/>
      <w:kern w:val="0"/>
      <w:szCs w:val="20"/>
    </w:rPr>
  </w:style>
  <w:style w:type="paragraph" w:customStyle="1" w:styleId="176">
    <w:name w:val="p0"/>
    <w:basedOn w:val="1"/>
    <w:qFormat/>
    <w:uiPriority w:val="0"/>
    <w:pPr>
      <w:widowControl/>
    </w:pPr>
    <w:rPr>
      <w:rFonts w:ascii="Times New Roman" w:hAnsi="Times New Roman"/>
      <w:kern w:val="0"/>
      <w:szCs w:val="21"/>
    </w:rPr>
  </w:style>
  <w:style w:type="paragraph" w:customStyle="1" w:styleId="177">
    <w:name w:val="列出段落1"/>
    <w:basedOn w:val="1"/>
    <w:qFormat/>
    <w:uiPriority w:val="34"/>
    <w:pPr>
      <w:ind w:firstLine="420" w:firstLineChars="200"/>
    </w:pPr>
  </w:style>
  <w:style w:type="paragraph" w:customStyle="1" w:styleId="178">
    <w:name w:val="样式 标题 2 + Times New Roman 四号 非加粗 段前: 5 磅 段后: 0 磅 行距: 固定值 20..."/>
    <w:basedOn w:val="4"/>
    <w:qFormat/>
    <w:uiPriority w:val="0"/>
    <w:pPr>
      <w:spacing w:before="100" w:after="0" w:line="400" w:lineRule="exact"/>
      <w:jc w:val="left"/>
    </w:pPr>
    <w:rPr>
      <w:rFonts w:ascii="Times New Roman" w:hAnsi="Times New Roman" w:eastAsia="宋体" w:cs="宋体"/>
      <w:bCs w:val="0"/>
      <w:sz w:val="28"/>
      <w:szCs w:val="20"/>
    </w:rPr>
  </w:style>
  <w:style w:type="paragraph" w:customStyle="1" w:styleId="179">
    <w:name w:val="样式X"/>
    <w:basedOn w:val="1"/>
    <w:qFormat/>
    <w:uiPriority w:val="0"/>
    <w:pPr>
      <w:tabs>
        <w:tab w:val="left" w:pos="1020"/>
      </w:tabs>
      <w:adjustRightInd w:val="0"/>
      <w:spacing w:after="460" w:line="360" w:lineRule="auto"/>
      <w:ind w:left="1020" w:hanging="540"/>
      <w:textAlignment w:val="baseline"/>
    </w:pPr>
    <w:rPr>
      <w:rFonts w:ascii="Times New Roman" w:hAnsi="Times New Roman"/>
      <w:kern w:val="0"/>
      <w:szCs w:val="20"/>
    </w:rPr>
  </w:style>
  <w:style w:type="paragraph" w:customStyle="1" w:styleId="180">
    <w:name w:val="默认段落字体 Para Char Char Char Char"/>
    <w:basedOn w:val="1"/>
    <w:qFormat/>
    <w:uiPriority w:val="0"/>
    <w:rPr>
      <w:rFonts w:ascii="Times New Roman" w:hAnsi="Times New Roman"/>
      <w:sz w:val="28"/>
      <w:szCs w:val="24"/>
    </w:rPr>
  </w:style>
  <w:style w:type="paragraph" w:customStyle="1" w:styleId="181">
    <w:name w:val="样式 标题 4 +"/>
    <w:basedOn w:val="6"/>
    <w:qFormat/>
    <w:uiPriority w:val="0"/>
    <w:pPr>
      <w:keepNext w:val="0"/>
      <w:keepLines w:val="0"/>
      <w:adjustRightInd w:val="0"/>
      <w:spacing w:before="0" w:beforeLines="50" w:after="0" w:afterLines="50" w:line="360" w:lineRule="auto"/>
      <w:ind w:left="1080"/>
      <w:jc w:val="left"/>
      <w:textAlignment w:val="baseline"/>
    </w:pPr>
    <w:rPr>
      <w:rFonts w:ascii="Times New Roman" w:hAnsi="Times New Roman" w:eastAsia="宋体" w:cs="宋体"/>
      <w:bCs w:val="0"/>
      <w:kern w:val="0"/>
      <w:szCs w:val="20"/>
    </w:rPr>
  </w:style>
  <w:style w:type="paragraph" w:customStyle="1" w:styleId="182">
    <w:name w:val="reader-word-layer reader-word-s4-12"/>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83">
    <w:name w:val="修订1"/>
    <w:qFormat/>
    <w:uiPriority w:val="99"/>
    <w:rPr>
      <w:rFonts w:ascii="Times New Roman" w:hAnsi="Times New Roman" w:eastAsia="宋体" w:cs="Times New Roman"/>
      <w:kern w:val="2"/>
      <w:sz w:val="21"/>
      <w:szCs w:val="24"/>
      <w:lang w:val="en-US" w:eastAsia="zh-CN" w:bidi="ar-SA"/>
    </w:rPr>
  </w:style>
  <w:style w:type="paragraph" w:customStyle="1" w:styleId="184">
    <w:name w:val="Char1"/>
    <w:basedOn w:val="1"/>
    <w:qFormat/>
    <w:uiPriority w:val="0"/>
    <w:rPr>
      <w:rFonts w:ascii="仿宋_GB2312" w:hAnsi="Times New Roman" w:eastAsia="仿宋_GB2312"/>
      <w:b/>
      <w:sz w:val="32"/>
      <w:szCs w:val="32"/>
    </w:rPr>
  </w:style>
  <w:style w:type="paragraph" w:customStyle="1" w:styleId="185">
    <w:name w:val="样式Y"/>
    <w:basedOn w:val="179"/>
    <w:next w:val="179"/>
    <w:qFormat/>
    <w:uiPriority w:val="0"/>
    <w:pPr>
      <w:tabs>
        <w:tab w:val="left" w:pos="1134"/>
      </w:tabs>
      <w:ind w:left="1134" w:hanging="1134"/>
    </w:pPr>
    <w:rPr>
      <w:b/>
    </w:rPr>
  </w:style>
  <w:style w:type="paragraph" w:customStyle="1" w:styleId="186">
    <w:name w:val="样式7"/>
    <w:basedOn w:val="1"/>
    <w:qFormat/>
    <w:uiPriority w:val="0"/>
    <w:pPr>
      <w:spacing w:line="500" w:lineRule="exact"/>
      <w:jc w:val="center"/>
    </w:pPr>
    <w:rPr>
      <w:rFonts w:ascii="宋体" w:hAnsi="Times New Roman"/>
      <w:b/>
      <w:sz w:val="32"/>
      <w:szCs w:val="20"/>
    </w:rPr>
  </w:style>
  <w:style w:type="paragraph" w:customStyle="1" w:styleId="187">
    <w:name w:val="无间隔1"/>
    <w:link w:val="188"/>
    <w:qFormat/>
    <w:uiPriority w:val="0"/>
    <w:pPr>
      <w:widowControl w:val="0"/>
      <w:jc w:val="both"/>
    </w:pPr>
    <w:rPr>
      <w:rFonts w:ascii="Calibri" w:hAnsi="Calibri" w:eastAsia="宋体" w:cs="Times New Roman"/>
      <w:kern w:val="2"/>
      <w:sz w:val="21"/>
      <w:szCs w:val="22"/>
      <w:lang w:val="en-US" w:eastAsia="zh-CN" w:bidi="ar-SA"/>
    </w:rPr>
  </w:style>
  <w:style w:type="character" w:customStyle="1" w:styleId="188">
    <w:name w:val="无间隔 Char"/>
    <w:link w:val="187"/>
    <w:qFormat/>
    <w:locked/>
    <w:uiPriority w:val="0"/>
    <w:rPr>
      <w:kern w:val="2"/>
      <w:sz w:val="21"/>
      <w:szCs w:val="22"/>
    </w:rPr>
  </w:style>
  <w:style w:type="paragraph" w:customStyle="1" w:styleId="189">
    <w:name w:val="bb"/>
    <w:basedOn w:val="1"/>
    <w:qFormat/>
    <w:uiPriority w:val="0"/>
    <w:pPr>
      <w:widowControl/>
      <w:spacing w:before="100" w:beforeAutospacing="1" w:after="100" w:afterAutospacing="1"/>
      <w:jc w:val="left"/>
    </w:pPr>
    <w:rPr>
      <w:rFonts w:ascii="宋体" w:hAnsi="宋体" w:cs="宋体"/>
      <w:b/>
      <w:bCs/>
      <w:color w:val="990000"/>
      <w:kern w:val="0"/>
      <w:sz w:val="18"/>
      <w:szCs w:val="18"/>
    </w:rPr>
  </w:style>
  <w:style w:type="paragraph" w:customStyle="1" w:styleId="190">
    <w:name w:val="空半行"/>
    <w:basedOn w:val="1"/>
    <w:qFormat/>
    <w:uiPriority w:val="0"/>
    <w:pPr>
      <w:adjustRightInd w:val="0"/>
      <w:spacing w:line="120" w:lineRule="exact"/>
      <w:textAlignment w:val="baseline"/>
    </w:pPr>
    <w:rPr>
      <w:rFonts w:ascii="Times New Roman" w:hAnsi="Times New Roman" w:eastAsia="仿宋_GB2312"/>
      <w:color w:val="FFFFFF"/>
      <w:kern w:val="0"/>
      <w:sz w:val="30"/>
      <w:szCs w:val="20"/>
    </w:rPr>
  </w:style>
  <w:style w:type="paragraph" w:customStyle="1" w:styleId="191">
    <w:name w:val="样式 标题 3 + (中文) 黑体 小四 非加粗 段前: 7.8 磅 段后: 0 磅 行距: 固定值 20 磅"/>
    <w:basedOn w:val="5"/>
    <w:qFormat/>
    <w:uiPriority w:val="0"/>
    <w:pPr>
      <w:spacing w:before="0" w:after="0" w:line="400" w:lineRule="exact"/>
      <w:jc w:val="center"/>
    </w:pPr>
    <w:rPr>
      <w:rFonts w:ascii="Calibri" w:hAnsi="Calibri" w:eastAsia="黑体" w:cs="宋体"/>
      <w:b w:val="0"/>
      <w:bCs w:val="0"/>
      <w:sz w:val="24"/>
      <w:szCs w:val="20"/>
      <w:lang w:val="en-US"/>
    </w:rPr>
  </w:style>
  <w:style w:type="paragraph" w:customStyle="1" w:styleId="192">
    <w:name w:val="Char Char1 Char Char Char Char Char Char Char Char"/>
    <w:basedOn w:val="1"/>
    <w:qFormat/>
    <w:uiPriority w:val="0"/>
    <w:pPr>
      <w:widowControl/>
      <w:spacing w:after="160" w:line="240" w:lineRule="exact"/>
      <w:jc w:val="left"/>
    </w:pPr>
    <w:rPr>
      <w:rFonts w:ascii="Times New Roman" w:hAnsi="Times New Roman"/>
      <w:szCs w:val="20"/>
    </w:rPr>
  </w:style>
  <w:style w:type="paragraph" w:customStyle="1" w:styleId="193">
    <w:name w:val="Char Char Char Char1"/>
    <w:basedOn w:val="1"/>
    <w:qFormat/>
    <w:uiPriority w:val="0"/>
    <w:pPr>
      <w:spacing w:line="360" w:lineRule="auto"/>
      <w:jc w:val="center"/>
    </w:pPr>
    <w:rPr>
      <w:rFonts w:ascii="Times New Roman" w:hAnsi="Times New Roman" w:eastAsia="仿宋_GB2312"/>
      <w:b/>
      <w:sz w:val="28"/>
      <w:szCs w:val="32"/>
    </w:rPr>
  </w:style>
  <w:style w:type="paragraph" w:customStyle="1" w:styleId="194">
    <w:name w:val="flNote"/>
    <w:basedOn w:val="1"/>
    <w:qFormat/>
    <w:uiPriority w:val="0"/>
    <w:pPr>
      <w:adjustRightInd w:val="0"/>
      <w:spacing w:before="320" w:after="160" w:line="360" w:lineRule="atLeast"/>
      <w:jc w:val="center"/>
      <w:textAlignment w:val="baseline"/>
    </w:pPr>
    <w:rPr>
      <w:rFonts w:ascii="Arial" w:hAnsi="Times New Roman" w:eastAsia="黑体"/>
      <w:kern w:val="0"/>
      <w:sz w:val="30"/>
      <w:szCs w:val="20"/>
    </w:rPr>
  </w:style>
  <w:style w:type="paragraph" w:customStyle="1" w:styleId="195">
    <w:name w:val="Char2"/>
    <w:basedOn w:val="1"/>
    <w:qFormat/>
    <w:uiPriority w:val="0"/>
    <w:pPr>
      <w:numPr>
        <w:ilvl w:val="1"/>
        <w:numId w:val="2"/>
      </w:numPr>
      <w:tabs>
        <w:tab w:val="clear" w:pos="1134"/>
      </w:tabs>
      <w:ind w:left="0" w:firstLine="0"/>
    </w:pPr>
    <w:rPr>
      <w:rFonts w:ascii="Tahoma" w:hAnsi="Tahoma"/>
      <w:sz w:val="24"/>
      <w:szCs w:val="20"/>
    </w:rPr>
  </w:style>
  <w:style w:type="paragraph" w:customStyle="1" w:styleId="196">
    <w:name w:val="Blockquote"/>
    <w:basedOn w:val="1"/>
    <w:qFormat/>
    <w:uiPriority w:val="0"/>
    <w:pPr>
      <w:numPr>
        <w:ilvl w:val="2"/>
        <w:numId w:val="2"/>
      </w:numPr>
      <w:tabs>
        <w:tab w:val="left" w:pos="2160"/>
      </w:tabs>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197">
    <w:name w:val="目录"/>
    <w:basedOn w:val="1"/>
    <w:qFormat/>
    <w:uiPriority w:val="0"/>
    <w:pPr>
      <w:widowControl/>
      <w:jc w:val="center"/>
    </w:pPr>
    <w:rPr>
      <w:rFonts w:ascii="宋体" w:hAnsi="Times New Roman"/>
      <w:b/>
      <w:kern w:val="0"/>
      <w:sz w:val="36"/>
      <w:szCs w:val="20"/>
    </w:rPr>
  </w:style>
  <w:style w:type="paragraph" w:customStyle="1" w:styleId="198">
    <w:name w:val="目录文字"/>
    <w:basedOn w:val="1"/>
    <w:qFormat/>
    <w:uiPriority w:val="0"/>
    <w:pPr>
      <w:widowControl/>
      <w:spacing w:line="480" w:lineRule="auto"/>
      <w:jc w:val="left"/>
    </w:pPr>
    <w:rPr>
      <w:rFonts w:ascii="宋体" w:hAnsi="宋体"/>
      <w:kern w:val="0"/>
      <w:sz w:val="24"/>
      <w:szCs w:val="20"/>
    </w:rPr>
  </w:style>
  <w:style w:type="paragraph" w:customStyle="1" w:styleId="199">
    <w:name w:val="xl52"/>
    <w:basedOn w:val="1"/>
    <w:qFormat/>
    <w:uiPriority w:val="0"/>
    <w:pPr>
      <w:widowControl/>
      <w:spacing w:before="100" w:beforeAutospacing="1" w:after="100" w:afterAutospacing="1"/>
      <w:jc w:val="center"/>
      <w:textAlignment w:val="center"/>
    </w:pPr>
    <w:rPr>
      <w:rFonts w:ascii="Arial Unicode MS" w:hAnsi="Arial Unicode MS" w:eastAsia="Arial Unicode MS" w:cs="Arial Unicode MS"/>
      <w:b/>
      <w:bCs/>
      <w:kern w:val="0"/>
      <w:sz w:val="32"/>
      <w:szCs w:val="32"/>
    </w:rPr>
  </w:style>
  <w:style w:type="paragraph" w:customStyle="1" w:styleId="200">
    <w:name w:val="2"/>
    <w:qFormat/>
    <w:uiPriority w:val="0"/>
    <w:rPr>
      <w:rFonts w:ascii="Calibri" w:hAnsi="Calibri" w:eastAsia="宋体" w:cs="Times New Roman"/>
      <w:lang w:val="en-US" w:eastAsia="zh-CN" w:bidi="ar-SA"/>
    </w:rPr>
  </w:style>
  <w:style w:type="paragraph" w:customStyle="1" w:styleId="201">
    <w:name w:val="flName"/>
    <w:basedOn w:val="194"/>
    <w:qFormat/>
    <w:uiPriority w:val="0"/>
    <w:rPr>
      <w:sz w:val="32"/>
    </w:rPr>
  </w:style>
  <w:style w:type="character" w:customStyle="1" w:styleId="202">
    <w:name w:val="正文文本首行缩进 2 字符"/>
    <w:basedOn w:val="77"/>
    <w:link w:val="53"/>
    <w:semiHidden/>
    <w:qFormat/>
    <w:uiPriority w:val="0"/>
    <w:rPr>
      <w:rFonts w:ascii="Times New Roman" w:hAnsi="Times New Roman"/>
      <w:kern w:val="2"/>
      <w:sz w:val="21"/>
      <w:szCs w:val="24"/>
    </w:rPr>
  </w:style>
  <w:style w:type="character" w:customStyle="1" w:styleId="203">
    <w:name w:val="HTML 地址 字符1"/>
    <w:link w:val="25"/>
    <w:semiHidden/>
    <w:qFormat/>
    <w:locked/>
    <w:uiPriority w:val="0"/>
    <w:rPr>
      <w:rFonts w:cs="黑体"/>
      <w:i/>
      <w:iCs/>
      <w:kern w:val="2"/>
      <w:sz w:val="21"/>
      <w:szCs w:val="24"/>
    </w:rPr>
  </w:style>
  <w:style w:type="character" w:customStyle="1" w:styleId="204">
    <w:name w:val="HTML 地址 字符"/>
    <w:basedOn w:val="56"/>
    <w:semiHidden/>
    <w:qFormat/>
    <w:uiPriority w:val="99"/>
    <w:rPr>
      <w:i/>
      <w:iCs/>
      <w:kern w:val="2"/>
      <w:sz w:val="21"/>
      <w:szCs w:val="22"/>
    </w:rPr>
  </w:style>
  <w:style w:type="paragraph" w:customStyle="1" w:styleId="205">
    <w:name w:val="msonormal"/>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206">
    <w:name w:val="脚注文本 字符1"/>
    <w:link w:val="41"/>
    <w:semiHidden/>
    <w:qFormat/>
    <w:locked/>
    <w:uiPriority w:val="0"/>
    <w:rPr>
      <w:rFonts w:cs="黑体"/>
      <w:kern w:val="2"/>
      <w:sz w:val="18"/>
      <w:szCs w:val="18"/>
    </w:rPr>
  </w:style>
  <w:style w:type="character" w:customStyle="1" w:styleId="207">
    <w:name w:val="脚注文本 字符"/>
    <w:basedOn w:val="56"/>
    <w:semiHidden/>
    <w:qFormat/>
    <w:uiPriority w:val="99"/>
    <w:rPr>
      <w:kern w:val="2"/>
      <w:sz w:val="18"/>
      <w:szCs w:val="18"/>
    </w:rPr>
  </w:style>
  <w:style w:type="character" w:customStyle="1" w:styleId="208">
    <w:name w:val="尾注文本 字符1"/>
    <w:link w:val="33"/>
    <w:semiHidden/>
    <w:qFormat/>
    <w:locked/>
    <w:uiPriority w:val="0"/>
    <w:rPr>
      <w:rFonts w:cs="黑体"/>
      <w:kern w:val="2"/>
      <w:sz w:val="21"/>
      <w:szCs w:val="24"/>
    </w:rPr>
  </w:style>
  <w:style w:type="character" w:customStyle="1" w:styleId="209">
    <w:name w:val="尾注文本 字符"/>
    <w:basedOn w:val="56"/>
    <w:semiHidden/>
    <w:qFormat/>
    <w:uiPriority w:val="99"/>
    <w:rPr>
      <w:kern w:val="2"/>
      <w:sz w:val="21"/>
      <w:szCs w:val="22"/>
    </w:rPr>
  </w:style>
  <w:style w:type="character" w:customStyle="1" w:styleId="210">
    <w:name w:val="宏文本 字符1"/>
    <w:link w:val="2"/>
    <w:semiHidden/>
    <w:qFormat/>
    <w:locked/>
    <w:uiPriority w:val="0"/>
    <w:rPr>
      <w:rFonts w:ascii="Courier New" w:hAnsi="Courier New" w:cs="Courier New"/>
      <w:kern w:val="2"/>
      <w:sz w:val="24"/>
      <w:szCs w:val="24"/>
    </w:rPr>
  </w:style>
  <w:style w:type="character" w:customStyle="1" w:styleId="211">
    <w:name w:val="宏文本 字符"/>
    <w:basedOn w:val="56"/>
    <w:semiHidden/>
    <w:qFormat/>
    <w:uiPriority w:val="99"/>
    <w:rPr>
      <w:rFonts w:ascii="Courier New" w:hAnsi="Courier New" w:cs="Courier New"/>
      <w:kern w:val="2"/>
      <w:sz w:val="24"/>
      <w:szCs w:val="24"/>
    </w:rPr>
  </w:style>
  <w:style w:type="character" w:customStyle="1" w:styleId="212">
    <w:name w:val="结束语 字符1"/>
    <w:link w:val="21"/>
    <w:semiHidden/>
    <w:qFormat/>
    <w:locked/>
    <w:uiPriority w:val="0"/>
    <w:rPr>
      <w:rFonts w:cs="黑体"/>
      <w:kern w:val="2"/>
      <w:sz w:val="21"/>
      <w:szCs w:val="24"/>
    </w:rPr>
  </w:style>
  <w:style w:type="character" w:customStyle="1" w:styleId="213">
    <w:name w:val="结束语 字符"/>
    <w:basedOn w:val="56"/>
    <w:semiHidden/>
    <w:qFormat/>
    <w:uiPriority w:val="99"/>
    <w:rPr>
      <w:kern w:val="2"/>
      <w:sz w:val="21"/>
      <w:szCs w:val="22"/>
    </w:rPr>
  </w:style>
  <w:style w:type="character" w:customStyle="1" w:styleId="214">
    <w:name w:val="签名 字符1"/>
    <w:link w:val="37"/>
    <w:semiHidden/>
    <w:qFormat/>
    <w:locked/>
    <w:uiPriority w:val="0"/>
    <w:rPr>
      <w:rFonts w:cs="黑体"/>
      <w:kern w:val="2"/>
      <w:sz w:val="21"/>
      <w:szCs w:val="24"/>
    </w:rPr>
  </w:style>
  <w:style w:type="character" w:customStyle="1" w:styleId="215">
    <w:name w:val="签名 字符"/>
    <w:basedOn w:val="56"/>
    <w:semiHidden/>
    <w:qFormat/>
    <w:uiPriority w:val="99"/>
    <w:rPr>
      <w:kern w:val="2"/>
      <w:sz w:val="21"/>
      <w:szCs w:val="22"/>
    </w:rPr>
  </w:style>
  <w:style w:type="character" w:customStyle="1" w:styleId="216">
    <w:name w:val="信息标题 字符1"/>
    <w:link w:val="47"/>
    <w:semiHidden/>
    <w:qFormat/>
    <w:locked/>
    <w:uiPriority w:val="0"/>
    <w:rPr>
      <w:rFonts w:ascii="Cambria" w:hAnsi="Cambria"/>
      <w:kern w:val="2"/>
      <w:sz w:val="24"/>
      <w:szCs w:val="24"/>
      <w:shd w:val="pct20" w:color="auto" w:fill="auto"/>
    </w:rPr>
  </w:style>
  <w:style w:type="character" w:customStyle="1" w:styleId="217">
    <w:name w:val="信息标题 字符"/>
    <w:basedOn w:val="56"/>
    <w:semiHidden/>
    <w:qFormat/>
    <w:uiPriority w:val="99"/>
    <w:rPr>
      <w:rFonts w:asciiTheme="majorHAnsi" w:hAnsiTheme="majorHAnsi" w:eastAsiaTheme="majorEastAsia" w:cstheme="majorBidi"/>
      <w:kern w:val="2"/>
      <w:sz w:val="24"/>
      <w:szCs w:val="24"/>
      <w:shd w:val="pct20" w:color="auto" w:fill="auto"/>
    </w:rPr>
  </w:style>
  <w:style w:type="character" w:customStyle="1" w:styleId="218">
    <w:name w:val="称呼 字符1"/>
    <w:link w:val="19"/>
    <w:semiHidden/>
    <w:qFormat/>
    <w:locked/>
    <w:uiPriority w:val="0"/>
    <w:rPr>
      <w:rFonts w:cs="黑体"/>
      <w:kern w:val="2"/>
      <w:sz w:val="21"/>
      <w:szCs w:val="24"/>
    </w:rPr>
  </w:style>
  <w:style w:type="character" w:customStyle="1" w:styleId="219">
    <w:name w:val="称呼 字符"/>
    <w:basedOn w:val="56"/>
    <w:semiHidden/>
    <w:qFormat/>
    <w:uiPriority w:val="99"/>
    <w:rPr>
      <w:kern w:val="2"/>
      <w:sz w:val="21"/>
      <w:szCs w:val="22"/>
    </w:rPr>
  </w:style>
  <w:style w:type="character" w:customStyle="1" w:styleId="220">
    <w:name w:val="正文文本首行缩进 字符"/>
    <w:basedOn w:val="85"/>
    <w:link w:val="52"/>
    <w:semiHidden/>
    <w:qFormat/>
    <w:uiPriority w:val="0"/>
    <w:rPr>
      <w:rFonts w:ascii="宋体" w:hAnsiTheme="minorHAnsi" w:eastAsiaTheme="minorEastAsia" w:cstheme="minorBidi"/>
      <w:color w:val="000000"/>
      <w:kern w:val="2"/>
      <w:sz w:val="21"/>
      <w:szCs w:val="24"/>
    </w:rPr>
  </w:style>
  <w:style w:type="character" w:customStyle="1" w:styleId="221">
    <w:name w:val="注释标题 字符1"/>
    <w:link w:val="13"/>
    <w:semiHidden/>
    <w:qFormat/>
    <w:locked/>
    <w:uiPriority w:val="0"/>
    <w:rPr>
      <w:rFonts w:cs="黑体"/>
      <w:kern w:val="2"/>
      <w:sz w:val="21"/>
      <w:szCs w:val="24"/>
    </w:rPr>
  </w:style>
  <w:style w:type="character" w:customStyle="1" w:styleId="222">
    <w:name w:val="注释标题 字符"/>
    <w:basedOn w:val="56"/>
    <w:semiHidden/>
    <w:qFormat/>
    <w:uiPriority w:val="99"/>
    <w:rPr>
      <w:kern w:val="2"/>
      <w:sz w:val="21"/>
      <w:szCs w:val="22"/>
    </w:rPr>
  </w:style>
  <w:style w:type="character" w:customStyle="1" w:styleId="223">
    <w:name w:val="电子邮件签名 字符1"/>
    <w:link w:val="14"/>
    <w:semiHidden/>
    <w:qFormat/>
    <w:locked/>
    <w:uiPriority w:val="0"/>
    <w:rPr>
      <w:rFonts w:cs="黑体"/>
      <w:kern w:val="2"/>
      <w:sz w:val="21"/>
      <w:szCs w:val="24"/>
    </w:rPr>
  </w:style>
  <w:style w:type="character" w:customStyle="1" w:styleId="224">
    <w:name w:val="电子邮件签名 字符"/>
    <w:basedOn w:val="56"/>
    <w:semiHidden/>
    <w:qFormat/>
    <w:uiPriority w:val="99"/>
    <w:rPr>
      <w:kern w:val="2"/>
      <w:sz w:val="21"/>
      <w:szCs w:val="22"/>
    </w:rPr>
  </w:style>
  <w:style w:type="paragraph" w:customStyle="1" w:styleId="225">
    <w:name w:val="段"/>
    <w:basedOn w:val="1"/>
    <w:qFormat/>
    <w:uiPriority w:val="0"/>
    <w:pPr>
      <w:spacing w:line="360" w:lineRule="auto"/>
      <w:ind w:firstLine="200" w:firstLineChars="200"/>
    </w:pPr>
    <w:rPr>
      <w:sz w:val="24"/>
    </w:rPr>
  </w:style>
  <w:style w:type="character" w:customStyle="1" w:styleId="226">
    <w:name w:val="标准文本 Char"/>
    <w:basedOn w:val="56"/>
    <w:link w:val="227"/>
    <w:qFormat/>
    <w:locked/>
    <w:uiPriority w:val="0"/>
    <w:rPr>
      <w:rFonts w:ascii="微软雅黑" w:hAnsi="微软雅黑" w:eastAsia="微软雅黑" w:cs="宋体"/>
      <w:color w:val="000000"/>
      <w:sz w:val="24"/>
    </w:rPr>
  </w:style>
  <w:style w:type="paragraph" w:customStyle="1" w:styleId="227">
    <w:name w:val="标准文本"/>
    <w:basedOn w:val="1"/>
    <w:link w:val="226"/>
    <w:qFormat/>
    <w:uiPriority w:val="0"/>
    <w:pPr>
      <w:widowControl/>
      <w:spacing w:line="360" w:lineRule="auto"/>
      <w:ind w:firstLine="480" w:firstLineChars="200"/>
      <w:jc w:val="left"/>
    </w:pPr>
    <w:rPr>
      <w:rFonts w:ascii="微软雅黑" w:hAnsi="微软雅黑" w:eastAsia="微软雅黑" w:cs="宋体"/>
      <w:color w:val="000000"/>
      <w:kern w:val="0"/>
      <w:sz w:val="24"/>
      <w:szCs w:val="20"/>
    </w:rPr>
  </w:style>
  <w:style w:type="character" w:customStyle="1" w:styleId="228">
    <w:name w:val="MM Notes Char"/>
    <w:link w:val="229"/>
    <w:qFormat/>
    <w:locked/>
    <w:uiPriority w:val="0"/>
    <w:rPr>
      <w:kern w:val="2"/>
      <w:sz w:val="24"/>
      <w:szCs w:val="22"/>
    </w:rPr>
  </w:style>
  <w:style w:type="paragraph" w:customStyle="1" w:styleId="229">
    <w:name w:val="MM Notes"/>
    <w:basedOn w:val="1"/>
    <w:link w:val="228"/>
    <w:qFormat/>
    <w:uiPriority w:val="0"/>
    <w:pPr>
      <w:spacing w:line="360" w:lineRule="auto"/>
      <w:ind w:firstLine="420"/>
    </w:pPr>
    <w:rPr>
      <w:sz w:val="24"/>
    </w:rPr>
  </w:style>
  <w:style w:type="character" w:customStyle="1" w:styleId="230">
    <w:name w:val="自定义正文 Char"/>
    <w:link w:val="231"/>
    <w:qFormat/>
    <w:locked/>
    <w:uiPriority w:val="0"/>
    <w:rPr>
      <w:rFonts w:ascii="仿宋_GB2312" w:hAnsi="Times New Roman" w:eastAsia="仿宋_GB2312"/>
      <w:kern w:val="2"/>
      <w:sz w:val="24"/>
      <w:szCs w:val="24"/>
    </w:rPr>
  </w:style>
  <w:style w:type="paragraph" w:customStyle="1" w:styleId="231">
    <w:name w:val="自定义正文"/>
    <w:basedOn w:val="1"/>
    <w:link w:val="230"/>
    <w:qFormat/>
    <w:uiPriority w:val="0"/>
    <w:pPr>
      <w:spacing w:before="120" w:after="60" w:line="400" w:lineRule="exact"/>
      <w:ind w:firstLine="200" w:firstLineChars="200"/>
      <w:jc w:val="left"/>
    </w:pPr>
    <w:rPr>
      <w:rFonts w:ascii="仿宋_GB2312" w:hAnsi="Times New Roman" w:eastAsia="仿宋_GB2312"/>
      <w:sz w:val="24"/>
      <w:szCs w:val="24"/>
    </w:rPr>
  </w:style>
  <w:style w:type="character" w:customStyle="1" w:styleId="232">
    <w:name w:val="正文：首行缩进2字符-指导 Char"/>
    <w:link w:val="233"/>
    <w:qFormat/>
    <w:locked/>
    <w:uiPriority w:val="0"/>
    <w:rPr>
      <w:rFonts w:ascii="Arial" w:hAnsi="Arial" w:cs="Arial"/>
      <w:color w:val="0000FF"/>
    </w:rPr>
  </w:style>
  <w:style w:type="paragraph" w:customStyle="1" w:styleId="233">
    <w:name w:val="正文：首行缩进2字符-指导"/>
    <w:basedOn w:val="1"/>
    <w:link w:val="232"/>
    <w:qFormat/>
    <w:uiPriority w:val="0"/>
    <w:pPr>
      <w:spacing w:line="360" w:lineRule="atLeast"/>
      <w:ind w:firstLine="420" w:firstLineChars="200"/>
    </w:pPr>
    <w:rPr>
      <w:rFonts w:ascii="Arial" w:hAnsi="Arial" w:cs="Arial"/>
      <w:color w:val="0000FF"/>
      <w:kern w:val="0"/>
      <w:sz w:val="20"/>
      <w:szCs w:val="20"/>
    </w:rPr>
  </w:style>
  <w:style w:type="paragraph" w:customStyle="1" w:styleId="234">
    <w:name w:val="列表数字1"/>
    <w:next w:val="1"/>
    <w:qFormat/>
    <w:uiPriority w:val="0"/>
    <w:pPr>
      <w:tabs>
        <w:tab w:val="left" w:pos="900"/>
        <w:tab w:val="left" w:pos="1145"/>
      </w:tabs>
      <w:spacing w:before="120" w:line="360" w:lineRule="auto"/>
      <w:ind w:left="902" w:hanging="477"/>
    </w:pPr>
    <w:rPr>
      <w:rFonts w:ascii="Times New Roman" w:hAnsi="Times New Roman" w:eastAsia="宋体" w:cs="Times New Roman"/>
      <w:sz w:val="24"/>
      <w:lang w:val="en-US" w:eastAsia="zh-CN" w:bidi="ar-SA"/>
    </w:rPr>
  </w:style>
  <w:style w:type="character" w:customStyle="1" w:styleId="235">
    <w:name w:val="Table Text Char1"/>
    <w:link w:val="236"/>
    <w:qFormat/>
    <w:locked/>
    <w:uiPriority w:val="0"/>
    <w:rPr>
      <w:rFonts w:ascii="Book Antiqua" w:hAnsi="Book Antiqua" w:eastAsia="PMingLiU"/>
      <w:sz w:val="16"/>
      <w:lang w:val="en-GB" w:eastAsia="en-US"/>
    </w:rPr>
  </w:style>
  <w:style w:type="paragraph" w:customStyle="1" w:styleId="236">
    <w:name w:val="Table Text"/>
    <w:basedOn w:val="1"/>
    <w:link w:val="235"/>
    <w:qFormat/>
    <w:uiPriority w:val="0"/>
    <w:pPr>
      <w:keepLines/>
      <w:widowControl/>
      <w:spacing w:line="360" w:lineRule="auto"/>
      <w:jc w:val="left"/>
    </w:pPr>
    <w:rPr>
      <w:rFonts w:ascii="Book Antiqua" w:hAnsi="Book Antiqua" w:eastAsia="PMingLiU"/>
      <w:kern w:val="0"/>
      <w:sz w:val="16"/>
      <w:szCs w:val="20"/>
      <w:lang w:val="en-GB" w:eastAsia="en-US"/>
    </w:rPr>
  </w:style>
  <w:style w:type="paragraph" w:customStyle="1" w:styleId="237">
    <w:name w:val="Route Title"/>
    <w:basedOn w:val="1"/>
    <w:qFormat/>
    <w:uiPriority w:val="0"/>
    <w:pPr>
      <w:keepLines/>
      <w:widowControl/>
      <w:spacing w:after="120" w:line="360" w:lineRule="auto"/>
      <w:ind w:left="2520" w:right="720"/>
      <w:jc w:val="left"/>
    </w:pPr>
    <w:rPr>
      <w:rFonts w:ascii="Book Antiqua" w:hAnsi="Book Antiqua" w:eastAsia="PMingLiU"/>
      <w:kern w:val="0"/>
      <w:sz w:val="36"/>
      <w:szCs w:val="20"/>
      <w:lang w:val="en-GB" w:eastAsia="en-US"/>
    </w:rPr>
  </w:style>
  <w:style w:type="paragraph" w:customStyle="1" w:styleId="238">
    <w:name w:val="列表数字1）"/>
    <w:next w:val="52"/>
    <w:qFormat/>
    <w:uiPriority w:val="0"/>
    <w:pPr>
      <w:tabs>
        <w:tab w:val="left" w:pos="720"/>
        <w:tab w:val="left" w:pos="900"/>
      </w:tabs>
      <w:spacing w:line="360" w:lineRule="auto"/>
      <w:ind w:left="331" w:firstLine="29"/>
    </w:pPr>
    <w:rPr>
      <w:rFonts w:ascii="Times New Roman" w:hAnsi="Times New Roman" w:eastAsia="宋体" w:cs="Times New Roman"/>
      <w:sz w:val="24"/>
      <w:lang w:val="en-US" w:eastAsia="zh-CN" w:bidi="ar-SA"/>
    </w:rPr>
  </w:style>
  <w:style w:type="paragraph" w:customStyle="1" w:styleId="239">
    <w:name w:val="Title Bar"/>
    <w:basedOn w:val="1"/>
    <w:qFormat/>
    <w:uiPriority w:val="0"/>
    <w:pPr>
      <w:keepNext/>
      <w:pageBreakBefore/>
      <w:widowControl/>
      <w:shd w:val="solid" w:color="auto" w:fill="auto"/>
      <w:spacing w:before="1680" w:line="360" w:lineRule="auto"/>
      <w:ind w:left="2520" w:right="720"/>
      <w:jc w:val="left"/>
    </w:pPr>
    <w:rPr>
      <w:rFonts w:ascii="Book Antiqua" w:hAnsi="Book Antiqua" w:eastAsia="PMingLiU"/>
      <w:kern w:val="0"/>
      <w:sz w:val="36"/>
      <w:szCs w:val="20"/>
      <w:lang w:val="en-GB" w:eastAsia="en-US"/>
    </w:rPr>
  </w:style>
  <w:style w:type="paragraph" w:customStyle="1" w:styleId="240">
    <w:name w:val="tty80"/>
    <w:basedOn w:val="1"/>
    <w:qFormat/>
    <w:uiPriority w:val="0"/>
    <w:pPr>
      <w:widowControl/>
      <w:spacing w:line="360" w:lineRule="auto"/>
      <w:jc w:val="left"/>
    </w:pPr>
    <w:rPr>
      <w:rFonts w:ascii="Courier New" w:hAnsi="Courier New" w:eastAsia="PMingLiU"/>
      <w:kern w:val="0"/>
      <w:sz w:val="20"/>
      <w:szCs w:val="20"/>
      <w:lang w:val="en-GB" w:eastAsia="en-US"/>
    </w:rPr>
  </w:style>
  <w:style w:type="paragraph" w:customStyle="1" w:styleId="241">
    <w:name w:val="表格内"/>
    <w:basedOn w:val="1"/>
    <w:qFormat/>
    <w:uiPriority w:val="0"/>
    <w:rPr>
      <w:rFonts w:ascii="Arial" w:hAnsi="Arial"/>
      <w:i/>
      <w:sz w:val="18"/>
      <w:szCs w:val="20"/>
    </w:rPr>
  </w:style>
  <w:style w:type="paragraph" w:customStyle="1" w:styleId="242">
    <w:name w:val="Tabletext"/>
    <w:basedOn w:val="1"/>
    <w:qFormat/>
    <w:uiPriority w:val="0"/>
    <w:pPr>
      <w:keepLines/>
      <w:snapToGrid w:val="0"/>
      <w:spacing w:after="120" w:line="240" w:lineRule="atLeast"/>
      <w:jc w:val="left"/>
    </w:pPr>
    <w:rPr>
      <w:rFonts w:ascii="宋体" w:hAnsi="Trebuchet MS"/>
      <w:kern w:val="0"/>
      <w:sz w:val="20"/>
      <w:szCs w:val="20"/>
    </w:rPr>
  </w:style>
  <w:style w:type="paragraph" w:customStyle="1" w:styleId="243">
    <w:name w:val="_Style 8"/>
    <w:basedOn w:val="1"/>
    <w:qFormat/>
    <w:uiPriority w:val="34"/>
    <w:pPr>
      <w:spacing w:line="360" w:lineRule="auto"/>
      <w:ind w:firstLine="420" w:firstLineChars="200"/>
    </w:pPr>
    <w:rPr>
      <w:rFonts w:ascii="Trebuchet MS" w:hAnsi="Trebuchet MS"/>
      <w:szCs w:val="24"/>
    </w:rPr>
  </w:style>
  <w:style w:type="paragraph" w:customStyle="1" w:styleId="244">
    <w:name w:val="InfoBlue"/>
    <w:basedOn w:val="1"/>
    <w:next w:val="22"/>
    <w:qFormat/>
    <w:uiPriority w:val="0"/>
    <w:pPr>
      <w:keepNext/>
      <w:tabs>
        <w:tab w:val="left" w:pos="360"/>
      </w:tabs>
      <w:snapToGrid w:val="0"/>
      <w:spacing w:after="120" w:line="240" w:lineRule="atLeast"/>
      <w:ind w:left="360" w:hanging="360"/>
      <w:jc w:val="left"/>
    </w:pPr>
    <w:rPr>
      <w:rFonts w:ascii="Trebuchet MS" w:hAnsi="Trebuchet MS"/>
      <w:i/>
      <w:color w:val="0000FF"/>
      <w:kern w:val="0"/>
      <w:sz w:val="20"/>
      <w:szCs w:val="20"/>
    </w:rPr>
  </w:style>
  <w:style w:type="paragraph" w:customStyle="1" w:styleId="245">
    <w:name w:val="Title-Major"/>
    <w:basedOn w:val="50"/>
    <w:qFormat/>
    <w:uiPriority w:val="0"/>
    <w:pPr>
      <w:keepLines/>
      <w:widowControl/>
      <w:spacing w:before="0" w:after="120" w:line="360" w:lineRule="auto"/>
      <w:ind w:left="2520" w:right="720"/>
      <w:jc w:val="left"/>
      <w:outlineLvl w:val="9"/>
    </w:pPr>
    <w:rPr>
      <w:rFonts w:ascii="Book Antiqua" w:hAnsi="Book Antiqua" w:eastAsia="PMingLiU"/>
      <w:b w:val="0"/>
      <w:bCs w:val="0"/>
      <w:smallCaps/>
      <w:kern w:val="0"/>
      <w:sz w:val="48"/>
      <w:szCs w:val="20"/>
      <w:lang w:val="en-GB" w:eastAsia="en-US"/>
    </w:rPr>
  </w:style>
  <w:style w:type="paragraph" w:customStyle="1" w:styleId="246">
    <w:name w:val="首页标题"/>
    <w:basedOn w:val="1"/>
    <w:qFormat/>
    <w:uiPriority w:val="99"/>
    <w:pPr>
      <w:spacing w:before="100" w:beforeAutospacing="1" w:after="100" w:afterAutospacing="1"/>
      <w:jc w:val="center"/>
    </w:pPr>
    <w:rPr>
      <w:rFonts w:ascii="宋体" w:hAnsi="宋体" w:cs="宋体"/>
      <w:b/>
      <w:bCs/>
      <w:sz w:val="44"/>
      <w:szCs w:val="20"/>
    </w:rPr>
  </w:style>
  <w:style w:type="character" w:customStyle="1" w:styleId="247">
    <w:name w:val="明显引用 Char"/>
    <w:qFormat/>
    <w:locked/>
    <w:uiPriority w:val="0"/>
    <w:rPr>
      <w:rFonts w:cs="黑体"/>
      <w:b/>
      <w:bCs/>
      <w:i/>
      <w:iCs/>
      <w:color w:val="4F81BD"/>
      <w:kern w:val="2"/>
      <w:sz w:val="21"/>
      <w:szCs w:val="24"/>
    </w:rPr>
  </w:style>
  <w:style w:type="paragraph" w:customStyle="1" w:styleId="248">
    <w:name w:val="作者"/>
    <w:basedOn w:val="1"/>
    <w:qFormat/>
    <w:uiPriority w:val="0"/>
    <w:pPr>
      <w:widowControl/>
      <w:spacing w:beforeLines="100" w:after="100" w:afterAutospacing="1" w:line="360" w:lineRule="auto"/>
      <w:jc w:val="right"/>
    </w:pPr>
    <w:rPr>
      <w:rFonts w:ascii="宋体" w:hAnsi="宋体"/>
      <w:b/>
      <w:kern w:val="0"/>
      <w:sz w:val="30"/>
      <w:szCs w:val="30"/>
    </w:rPr>
  </w:style>
  <w:style w:type="paragraph" w:customStyle="1" w:styleId="249">
    <w:name w:val="目录标题"/>
    <w:next w:val="1"/>
    <w:qFormat/>
    <w:uiPriority w:val="0"/>
    <w:pPr>
      <w:spacing w:before="120" w:after="100" w:afterAutospacing="1" w:line="600" w:lineRule="exact"/>
      <w:ind w:left="301"/>
      <w:jc w:val="center"/>
    </w:pPr>
    <w:rPr>
      <w:rFonts w:ascii="宋体" w:hAnsi="宋体" w:eastAsia="宋体" w:cs="Times New Roman"/>
      <w:b/>
      <w:sz w:val="36"/>
      <w:szCs w:val="96"/>
      <w:lang w:val="en-US" w:eastAsia="zh-CN" w:bidi="ar-SA"/>
    </w:rPr>
  </w:style>
  <w:style w:type="paragraph" w:customStyle="1" w:styleId="250">
    <w:name w:val="样式 项目名称"/>
    <w:basedOn w:val="1"/>
    <w:qFormat/>
    <w:uiPriority w:val="0"/>
    <w:pPr>
      <w:widowControl/>
      <w:spacing w:beforeLines="100" w:after="100" w:afterAutospacing="1"/>
      <w:jc w:val="right"/>
    </w:pPr>
    <w:rPr>
      <w:rFonts w:ascii="Times New Roman" w:hAnsi="Times New Roman" w:eastAsia="华文新魏" w:cs="宋体"/>
      <w:b/>
      <w:bCs/>
      <w:kern w:val="0"/>
      <w:sz w:val="52"/>
      <w:szCs w:val="20"/>
      <w:lang w:eastAsia="en-US"/>
    </w:rPr>
  </w:style>
  <w:style w:type="paragraph" w:customStyle="1" w:styleId="251">
    <w:name w:val="书目1"/>
    <w:basedOn w:val="1"/>
    <w:next w:val="1"/>
    <w:qFormat/>
    <w:uiPriority w:val="0"/>
    <w:pPr>
      <w:spacing w:after="100" w:afterAutospacing="1"/>
    </w:pPr>
    <w:rPr>
      <w:rFonts w:ascii="Times New Roman" w:hAnsi="Times New Roman"/>
      <w:szCs w:val="24"/>
    </w:rPr>
  </w:style>
  <w:style w:type="character" w:customStyle="1" w:styleId="252">
    <w:name w:val="引用 Char"/>
    <w:qFormat/>
    <w:locked/>
    <w:uiPriority w:val="0"/>
    <w:rPr>
      <w:rFonts w:cs="黑体"/>
      <w:i/>
      <w:iCs/>
      <w:color w:val="000000"/>
      <w:kern w:val="2"/>
      <w:sz w:val="21"/>
      <w:szCs w:val="24"/>
    </w:rPr>
  </w:style>
  <w:style w:type="paragraph" w:customStyle="1" w:styleId="253">
    <w:name w:val="样式 文件编号"/>
    <w:basedOn w:val="1"/>
    <w:qFormat/>
    <w:uiPriority w:val="0"/>
    <w:pPr>
      <w:widowControl/>
      <w:spacing w:beforeLines="100" w:after="100" w:afterAutospacing="1" w:line="360" w:lineRule="auto"/>
      <w:jc w:val="right"/>
    </w:pPr>
    <w:rPr>
      <w:rFonts w:ascii="Times New Roman" w:hAnsi="Times New Roman" w:cs="宋体"/>
      <w:b/>
      <w:bCs/>
      <w:kern w:val="0"/>
      <w:sz w:val="30"/>
      <w:szCs w:val="20"/>
    </w:rPr>
  </w:style>
  <w:style w:type="character" w:customStyle="1" w:styleId="254">
    <w:name w:val="标题6 Char"/>
    <w:link w:val="255"/>
    <w:qFormat/>
    <w:locked/>
    <w:uiPriority w:val="0"/>
    <w:rPr>
      <w:rFonts w:ascii="Verdana" w:hAnsi="Verdana"/>
      <w:b/>
      <w:bCs/>
      <w:kern w:val="2"/>
      <w:sz w:val="24"/>
      <w:szCs w:val="24"/>
    </w:rPr>
  </w:style>
  <w:style w:type="paragraph" w:customStyle="1" w:styleId="255">
    <w:name w:val="标题6"/>
    <w:basedOn w:val="8"/>
    <w:link w:val="254"/>
    <w:qFormat/>
    <w:uiPriority w:val="0"/>
    <w:pPr>
      <w:keepLines/>
      <w:tabs>
        <w:tab w:val="left" w:pos="4980"/>
        <w:tab w:val="clear" w:pos="1260"/>
      </w:tabs>
      <w:autoSpaceDE/>
      <w:autoSpaceDN/>
      <w:adjustRightInd/>
      <w:snapToGrid/>
      <w:ind w:left="4980" w:hanging="1152"/>
      <w:jc w:val="both"/>
    </w:pPr>
    <w:rPr>
      <w:rFonts w:ascii="Verdana" w:hAnsi="Verdana" w:eastAsia="宋体"/>
      <w:color w:val="auto"/>
      <w:kern w:val="2"/>
      <w:sz w:val="24"/>
      <w:szCs w:val="24"/>
      <w:u w:val="none"/>
      <w:lang w:val="en-US"/>
    </w:rPr>
  </w:style>
  <w:style w:type="paragraph" w:customStyle="1" w:styleId="256">
    <w:name w:val="明显引用11"/>
    <w:basedOn w:val="1"/>
    <w:next w:val="1"/>
    <w:qFormat/>
    <w:uiPriority w:val="0"/>
    <w:pPr>
      <w:pBdr>
        <w:bottom w:val="single" w:color="4F81BD" w:sz="4" w:space="4"/>
      </w:pBdr>
      <w:spacing w:before="200" w:after="100" w:afterAutospacing="1"/>
      <w:ind w:left="936" w:right="936"/>
    </w:pPr>
    <w:rPr>
      <w:rFonts w:ascii="Times New Roman" w:hAnsi="Times New Roman"/>
      <w:b/>
      <w:bCs/>
      <w:i/>
      <w:iCs/>
      <w:color w:val="4F81BD"/>
      <w:szCs w:val="24"/>
    </w:rPr>
  </w:style>
  <w:style w:type="paragraph" w:customStyle="1" w:styleId="257">
    <w:name w:val="列出段落11"/>
    <w:basedOn w:val="1"/>
    <w:qFormat/>
    <w:uiPriority w:val="0"/>
    <w:pPr>
      <w:spacing w:after="100" w:afterAutospacing="1"/>
      <w:ind w:firstLine="420" w:firstLineChars="200"/>
    </w:pPr>
    <w:rPr>
      <w:rFonts w:ascii="Times New Roman" w:hAnsi="Times New Roman"/>
      <w:szCs w:val="24"/>
    </w:rPr>
  </w:style>
  <w:style w:type="paragraph" w:customStyle="1" w:styleId="258">
    <w:name w:val="书目11"/>
    <w:basedOn w:val="1"/>
    <w:next w:val="1"/>
    <w:qFormat/>
    <w:uiPriority w:val="0"/>
    <w:pPr>
      <w:spacing w:after="100" w:afterAutospacing="1"/>
    </w:pPr>
    <w:rPr>
      <w:rFonts w:ascii="Times New Roman" w:hAnsi="Times New Roman"/>
      <w:szCs w:val="24"/>
    </w:rPr>
  </w:style>
  <w:style w:type="paragraph" w:customStyle="1" w:styleId="259">
    <w:name w:val="引用11"/>
    <w:basedOn w:val="1"/>
    <w:next w:val="1"/>
    <w:qFormat/>
    <w:uiPriority w:val="0"/>
    <w:pPr>
      <w:spacing w:after="100" w:afterAutospacing="1"/>
    </w:pPr>
    <w:rPr>
      <w:rFonts w:ascii="Times New Roman" w:hAnsi="Times New Roman"/>
      <w:i/>
      <w:iCs/>
      <w:color w:val="000000"/>
      <w:szCs w:val="24"/>
    </w:rPr>
  </w:style>
  <w:style w:type="paragraph" w:customStyle="1" w:styleId="260">
    <w:name w:val="TOC 标题11"/>
    <w:basedOn w:val="3"/>
    <w:next w:val="1"/>
    <w:qFormat/>
    <w:uiPriority w:val="0"/>
    <w:pPr>
      <w:widowControl/>
      <w:tabs>
        <w:tab w:val="left" w:pos="432"/>
      </w:tabs>
      <w:spacing w:before="480" w:after="100" w:afterAutospacing="1" w:line="276" w:lineRule="auto"/>
      <w:ind w:left="425" w:hanging="425"/>
      <w:jc w:val="left"/>
      <w:outlineLvl w:val="9"/>
    </w:pPr>
    <w:rPr>
      <w:rFonts w:ascii="Cambria" w:hAnsi="Cambria"/>
      <w:bCs/>
      <w:color w:val="365F91"/>
      <w:kern w:val="0"/>
      <w:sz w:val="28"/>
      <w:szCs w:val="28"/>
      <w:lang w:val="en-US"/>
    </w:rPr>
  </w:style>
  <w:style w:type="paragraph" w:customStyle="1" w:styleId="261">
    <w:name w:val="无间隔11"/>
    <w:qFormat/>
    <w:uiPriority w:val="0"/>
    <w:rPr>
      <w:rFonts w:ascii="Calibri" w:hAnsi="Calibri" w:eastAsia="宋体" w:cs="Times New Roman"/>
      <w:sz w:val="22"/>
      <w:szCs w:val="22"/>
      <w:lang w:val="en-US" w:eastAsia="zh-CN" w:bidi="ar-SA"/>
    </w:rPr>
  </w:style>
  <w:style w:type="character" w:customStyle="1" w:styleId="262">
    <w:name w:val="明显引用 Char2"/>
    <w:link w:val="263"/>
    <w:qFormat/>
    <w:locked/>
    <w:uiPriority w:val="0"/>
    <w:rPr>
      <w:rFonts w:ascii="Times New Roman" w:hAnsi="Times New Roman"/>
      <w:b/>
      <w:bCs/>
      <w:i/>
      <w:iCs/>
      <w:color w:val="4F81BD"/>
      <w:kern w:val="2"/>
      <w:sz w:val="21"/>
      <w:szCs w:val="24"/>
    </w:rPr>
  </w:style>
  <w:style w:type="paragraph" w:customStyle="1" w:styleId="263">
    <w:name w:val="明显引用2"/>
    <w:basedOn w:val="1"/>
    <w:next w:val="1"/>
    <w:link w:val="262"/>
    <w:qFormat/>
    <w:uiPriority w:val="0"/>
    <w:pPr>
      <w:pBdr>
        <w:bottom w:val="single" w:color="4F81BD" w:sz="4" w:space="4"/>
      </w:pBdr>
      <w:spacing w:before="200" w:after="100" w:afterAutospacing="1"/>
      <w:ind w:left="936" w:right="936"/>
    </w:pPr>
    <w:rPr>
      <w:rFonts w:ascii="Times New Roman" w:hAnsi="Times New Roman"/>
      <w:b/>
      <w:bCs/>
      <w:i/>
      <w:iCs/>
      <w:color w:val="4F81BD"/>
      <w:szCs w:val="24"/>
    </w:rPr>
  </w:style>
  <w:style w:type="paragraph" w:customStyle="1" w:styleId="264">
    <w:name w:val="列出段落2"/>
    <w:basedOn w:val="1"/>
    <w:qFormat/>
    <w:uiPriority w:val="0"/>
    <w:pPr>
      <w:spacing w:after="100" w:afterAutospacing="1"/>
      <w:ind w:firstLine="420" w:firstLineChars="200"/>
    </w:pPr>
    <w:rPr>
      <w:rFonts w:ascii="Times New Roman" w:hAnsi="Times New Roman"/>
      <w:szCs w:val="24"/>
    </w:rPr>
  </w:style>
  <w:style w:type="paragraph" w:customStyle="1" w:styleId="265">
    <w:name w:val="书目2"/>
    <w:basedOn w:val="1"/>
    <w:next w:val="1"/>
    <w:qFormat/>
    <w:uiPriority w:val="0"/>
    <w:pPr>
      <w:spacing w:after="100" w:afterAutospacing="1"/>
    </w:pPr>
    <w:rPr>
      <w:rFonts w:ascii="Times New Roman" w:hAnsi="Times New Roman"/>
      <w:szCs w:val="24"/>
    </w:rPr>
  </w:style>
  <w:style w:type="character" w:customStyle="1" w:styleId="266">
    <w:name w:val="引用 Char2"/>
    <w:link w:val="267"/>
    <w:qFormat/>
    <w:locked/>
    <w:uiPriority w:val="0"/>
    <w:rPr>
      <w:rFonts w:ascii="Times New Roman" w:hAnsi="Times New Roman"/>
      <w:i/>
      <w:iCs/>
      <w:color w:val="000000"/>
      <w:kern w:val="2"/>
      <w:sz w:val="21"/>
      <w:szCs w:val="24"/>
    </w:rPr>
  </w:style>
  <w:style w:type="paragraph" w:customStyle="1" w:styleId="267">
    <w:name w:val="引用2"/>
    <w:basedOn w:val="1"/>
    <w:next w:val="1"/>
    <w:link w:val="266"/>
    <w:qFormat/>
    <w:uiPriority w:val="0"/>
    <w:pPr>
      <w:spacing w:after="100" w:afterAutospacing="1"/>
    </w:pPr>
    <w:rPr>
      <w:rFonts w:ascii="Times New Roman" w:hAnsi="Times New Roman"/>
      <w:i/>
      <w:iCs/>
      <w:color w:val="000000"/>
      <w:szCs w:val="24"/>
    </w:rPr>
  </w:style>
  <w:style w:type="paragraph" w:customStyle="1" w:styleId="268">
    <w:name w:val="TOC 标题2"/>
    <w:basedOn w:val="3"/>
    <w:next w:val="1"/>
    <w:qFormat/>
    <w:uiPriority w:val="0"/>
    <w:pPr>
      <w:widowControl/>
      <w:tabs>
        <w:tab w:val="left" w:pos="432"/>
      </w:tabs>
      <w:spacing w:before="480" w:after="100" w:afterAutospacing="1" w:line="276" w:lineRule="auto"/>
      <w:ind w:left="425" w:hanging="425"/>
      <w:jc w:val="left"/>
      <w:outlineLvl w:val="9"/>
    </w:pPr>
    <w:rPr>
      <w:rFonts w:ascii="Cambria" w:hAnsi="Cambria"/>
      <w:bCs/>
      <w:color w:val="365F91"/>
      <w:kern w:val="0"/>
      <w:sz w:val="28"/>
      <w:szCs w:val="28"/>
      <w:lang w:val="en-US"/>
    </w:rPr>
  </w:style>
  <w:style w:type="paragraph" w:customStyle="1" w:styleId="269">
    <w:name w:val="无间隔2"/>
    <w:qFormat/>
    <w:uiPriority w:val="0"/>
    <w:rPr>
      <w:rFonts w:ascii="Calibri" w:hAnsi="Calibri" w:eastAsia="宋体" w:cs="Times New Roman"/>
      <w:sz w:val="22"/>
      <w:szCs w:val="22"/>
      <w:lang w:val="en-US" w:eastAsia="zh-CN" w:bidi="ar-SA"/>
    </w:rPr>
  </w:style>
  <w:style w:type="paragraph" w:customStyle="1" w:styleId="270">
    <w:name w:val="Item List in Table"/>
    <w:basedOn w:val="1"/>
    <w:qFormat/>
    <w:uiPriority w:val="0"/>
    <w:pPr>
      <w:widowControl/>
      <w:numPr>
        <w:ilvl w:val="0"/>
        <w:numId w:val="3"/>
      </w:numPr>
      <w:tabs>
        <w:tab w:val="left" w:pos="284"/>
        <w:tab w:val="clear" w:pos="170"/>
      </w:tabs>
      <w:topLinePunct/>
      <w:adjustRightInd w:val="0"/>
      <w:snapToGrid w:val="0"/>
      <w:spacing w:before="80" w:after="80" w:line="240" w:lineRule="atLeast"/>
      <w:ind w:left="284" w:hanging="284"/>
      <w:jc w:val="left"/>
    </w:pPr>
    <w:rPr>
      <w:rFonts w:ascii="Times New Roman" w:hAnsi="Times New Roman" w:cs="Arial"/>
      <w:kern w:val="0"/>
      <w:szCs w:val="21"/>
    </w:rPr>
  </w:style>
  <w:style w:type="paragraph" w:customStyle="1" w:styleId="271">
    <w:name w:val="Sub Item List in Table"/>
    <w:basedOn w:val="1"/>
    <w:qFormat/>
    <w:uiPriority w:val="0"/>
    <w:pPr>
      <w:widowControl/>
      <w:numPr>
        <w:ilvl w:val="2"/>
        <w:numId w:val="3"/>
      </w:numPr>
      <w:topLinePunct/>
      <w:adjustRightInd w:val="0"/>
      <w:snapToGrid w:val="0"/>
      <w:spacing w:before="80" w:after="80" w:line="240" w:lineRule="atLeast"/>
      <w:jc w:val="left"/>
    </w:pPr>
    <w:rPr>
      <w:rFonts w:ascii="Times New Roman" w:hAnsi="Times New Roman" w:cs="Arial"/>
      <w:szCs w:val="21"/>
    </w:rPr>
  </w:style>
  <w:style w:type="paragraph" w:customStyle="1" w:styleId="272">
    <w:name w:val="Sub Item Step in Table"/>
    <w:qFormat/>
    <w:uiPriority w:val="0"/>
    <w:pPr>
      <w:numPr>
        <w:ilvl w:val="1"/>
        <w:numId w:val="3"/>
      </w:numPr>
      <w:adjustRightInd w:val="0"/>
      <w:snapToGrid w:val="0"/>
      <w:spacing w:before="80" w:after="80" w:line="240" w:lineRule="atLeast"/>
    </w:pPr>
    <w:rPr>
      <w:rFonts w:ascii="Times New Roman" w:hAnsi="Times New Roman" w:eastAsia="宋体" w:cs="Arial"/>
      <w:sz w:val="21"/>
      <w:szCs w:val="21"/>
      <w:lang w:val="en-US" w:eastAsia="zh-CN" w:bidi="ar-SA"/>
    </w:rPr>
  </w:style>
  <w:style w:type="paragraph" w:customStyle="1" w:styleId="273">
    <w:name w:val="Sub Item Step in Table List"/>
    <w:qFormat/>
    <w:uiPriority w:val="0"/>
    <w:pPr>
      <w:numPr>
        <w:ilvl w:val="3"/>
        <w:numId w:val="3"/>
      </w:numPr>
      <w:adjustRightInd w:val="0"/>
      <w:snapToGrid w:val="0"/>
      <w:spacing w:before="80" w:after="80" w:line="240" w:lineRule="atLeast"/>
    </w:pPr>
    <w:rPr>
      <w:rFonts w:ascii="Times New Roman" w:hAnsi="Times New Roman" w:eastAsia="宋体" w:cs="Arial"/>
      <w:sz w:val="21"/>
      <w:szCs w:val="21"/>
      <w:lang w:val="en-US" w:eastAsia="zh-CN" w:bidi="ar-SA"/>
    </w:rPr>
  </w:style>
  <w:style w:type="paragraph" w:customStyle="1" w:styleId="274">
    <w:name w:val="Sub Item List in Table Step"/>
    <w:basedOn w:val="1"/>
    <w:qFormat/>
    <w:uiPriority w:val="0"/>
    <w:pPr>
      <w:widowControl/>
      <w:numPr>
        <w:ilvl w:val="4"/>
        <w:numId w:val="3"/>
      </w:numPr>
      <w:topLinePunct/>
      <w:adjustRightInd w:val="0"/>
      <w:snapToGrid w:val="0"/>
      <w:spacing w:before="80" w:after="80" w:line="240" w:lineRule="atLeast"/>
      <w:jc w:val="left"/>
    </w:pPr>
    <w:rPr>
      <w:rFonts w:ascii="Times New Roman" w:hAnsi="Times New Roman" w:cs="Arial"/>
      <w:szCs w:val="21"/>
    </w:rPr>
  </w:style>
  <w:style w:type="paragraph" w:customStyle="1" w:styleId="275">
    <w:name w:val="CAUTION Text Step"/>
    <w:basedOn w:val="1"/>
    <w:qFormat/>
    <w:uiPriority w:val="0"/>
    <w:pPr>
      <w:keepNext/>
      <w:keepLines/>
      <w:widowControl/>
      <w:numPr>
        <w:ilvl w:val="5"/>
        <w:numId w:val="3"/>
      </w:numPr>
      <w:pBdr>
        <w:bottom w:val="single" w:color="auto" w:sz="12" w:space="4"/>
      </w:pBdr>
      <w:topLinePunct/>
      <w:adjustRightInd w:val="0"/>
      <w:snapToGrid w:val="0"/>
      <w:spacing w:before="80" w:after="80" w:line="240" w:lineRule="atLeast"/>
      <w:jc w:val="left"/>
    </w:pPr>
    <w:rPr>
      <w:rFonts w:ascii="Times New Roman" w:hAnsi="Times New Roman" w:eastAsia="楷体_GB2312" w:cs="Arial"/>
      <w:iCs/>
      <w:szCs w:val="21"/>
    </w:rPr>
  </w:style>
  <w:style w:type="paragraph" w:customStyle="1" w:styleId="276">
    <w:name w:val="Notes Text Step in Table"/>
    <w:qFormat/>
    <w:uiPriority w:val="0"/>
    <w:pPr>
      <w:numPr>
        <w:ilvl w:val="7"/>
        <w:numId w:val="3"/>
      </w:numPr>
      <w:spacing w:before="40" w:after="80" w:line="200" w:lineRule="atLeast"/>
    </w:pPr>
    <w:rPr>
      <w:rFonts w:ascii="Times New Roman" w:hAnsi="Times New Roman" w:eastAsia="楷体_GB2312" w:cs="楷体_GB2312"/>
      <w:sz w:val="18"/>
      <w:szCs w:val="18"/>
      <w:lang w:val="en-US" w:eastAsia="zh-CN" w:bidi="ar-SA"/>
    </w:rPr>
  </w:style>
  <w:style w:type="paragraph" w:customStyle="1" w:styleId="277">
    <w:name w:val="Notes Text Step"/>
    <w:basedOn w:val="275"/>
    <w:qFormat/>
    <w:uiPriority w:val="0"/>
    <w:pPr>
      <w:numPr>
        <w:ilvl w:val="6"/>
      </w:numPr>
      <w:pBdr>
        <w:bottom w:val="none" w:color="auto" w:sz="0" w:space="0"/>
      </w:pBdr>
      <w:spacing w:before="40" w:line="200" w:lineRule="atLeast"/>
    </w:pPr>
    <w:rPr>
      <w:sz w:val="18"/>
      <w:szCs w:val="18"/>
    </w:rPr>
  </w:style>
  <w:style w:type="character" w:customStyle="1" w:styleId="278">
    <w:name w:val="tx1"/>
    <w:basedOn w:val="56"/>
    <w:qFormat/>
    <w:uiPriority w:val="0"/>
    <w:rPr>
      <w:b/>
      <w:bCs/>
    </w:rPr>
  </w:style>
  <w:style w:type="character" w:customStyle="1" w:styleId="279">
    <w:name w:val="start-tag"/>
    <w:basedOn w:val="56"/>
    <w:qFormat/>
    <w:uiPriority w:val="0"/>
  </w:style>
  <w:style w:type="character" w:customStyle="1" w:styleId="280">
    <w:name w:val="error"/>
    <w:basedOn w:val="56"/>
    <w:qFormat/>
    <w:uiPriority w:val="0"/>
  </w:style>
  <w:style w:type="character" w:customStyle="1" w:styleId="281">
    <w:name w:val="error error"/>
    <w:basedOn w:val="56"/>
    <w:qFormat/>
    <w:uiPriority w:val="0"/>
  </w:style>
  <w:style w:type="character" w:customStyle="1" w:styleId="282">
    <w:name w:val="end-tag"/>
    <w:basedOn w:val="56"/>
    <w:qFormat/>
    <w:uiPriority w:val="0"/>
  </w:style>
  <w:style w:type="character" w:customStyle="1" w:styleId="283">
    <w:name w:val="Highlighted Variable"/>
    <w:qFormat/>
    <w:uiPriority w:val="0"/>
    <w:rPr>
      <w:color w:val="0000FF"/>
    </w:rPr>
  </w:style>
  <w:style w:type="character" w:customStyle="1" w:styleId="284">
    <w:name w:val="op_dict_text2"/>
    <w:qFormat/>
    <w:uiPriority w:val="0"/>
  </w:style>
  <w:style w:type="character" w:customStyle="1" w:styleId="285">
    <w:name w:val="正文文本缩进 Char"/>
    <w:qFormat/>
    <w:uiPriority w:val="0"/>
    <w:rPr>
      <w:rFonts w:hint="eastAsia" w:ascii="宋体" w:hAnsi="宋体" w:eastAsia="宋体"/>
      <w:kern w:val="2"/>
      <w:sz w:val="21"/>
    </w:rPr>
  </w:style>
  <w:style w:type="character" w:customStyle="1" w:styleId="286">
    <w:name w:val="op_dict_text1"/>
    <w:qFormat/>
    <w:uiPriority w:val="0"/>
  </w:style>
  <w:style w:type="character" w:customStyle="1" w:styleId="287">
    <w:name w:val="解释字体"/>
    <w:qFormat/>
    <w:uiPriority w:val="0"/>
    <w:rPr>
      <w:rFonts w:hint="default" w:ascii="Times New Roman" w:hAnsi="Times New Roman" w:eastAsia="宋体" w:cs="Times New Roman"/>
      <w:i/>
      <w:color w:val="0000FF"/>
      <w:sz w:val="21"/>
      <w:szCs w:val="21"/>
    </w:rPr>
  </w:style>
  <w:style w:type="character" w:customStyle="1" w:styleId="288">
    <w:name w:val="文档结构图 Char"/>
    <w:qFormat/>
    <w:uiPriority w:val="0"/>
    <w:rPr>
      <w:rFonts w:hint="eastAsia" w:ascii="宋体" w:hAnsi="宋体" w:eastAsia="宋体"/>
      <w:kern w:val="2"/>
      <w:sz w:val="18"/>
      <w:szCs w:val="18"/>
    </w:rPr>
  </w:style>
  <w:style w:type="character" w:customStyle="1" w:styleId="289">
    <w:name w:val="正文文本 Char"/>
    <w:qFormat/>
    <w:uiPriority w:val="0"/>
    <w:rPr>
      <w:rFonts w:hint="eastAsia" w:ascii="宋体" w:hAnsi="宋体" w:eastAsia="宋体"/>
      <w:snapToGrid/>
    </w:rPr>
  </w:style>
  <w:style w:type="character" w:customStyle="1" w:styleId="290">
    <w:name w:val="标题 2 Char"/>
    <w:qFormat/>
    <w:uiPriority w:val="0"/>
    <w:rPr>
      <w:rFonts w:hint="default" w:ascii="Trebuchet MS" w:hAnsi="Trebuchet MS"/>
      <w:b/>
      <w:snapToGrid/>
      <w:sz w:val="21"/>
    </w:rPr>
  </w:style>
  <w:style w:type="character" w:customStyle="1" w:styleId="291">
    <w:name w:val="页眉 Char"/>
    <w:qFormat/>
    <w:uiPriority w:val="0"/>
    <w:rPr>
      <w:rFonts w:hint="default" w:ascii="Trebuchet MS" w:hAnsi="Trebuchet MS"/>
      <w:kern w:val="2"/>
      <w:sz w:val="18"/>
      <w:szCs w:val="18"/>
    </w:rPr>
  </w:style>
  <w:style w:type="character" w:customStyle="1" w:styleId="292">
    <w:name w:val="页脚 Char"/>
    <w:qFormat/>
    <w:uiPriority w:val="0"/>
    <w:rPr>
      <w:rFonts w:hint="default" w:ascii="Trebuchet MS" w:hAnsi="Trebuchet MS"/>
      <w:kern w:val="2"/>
      <w:sz w:val="18"/>
      <w:szCs w:val="18"/>
    </w:rPr>
  </w:style>
  <w:style w:type="character" w:customStyle="1" w:styleId="293">
    <w:name w:val="标题 1 Char"/>
    <w:qFormat/>
    <w:uiPriority w:val="0"/>
    <w:rPr>
      <w:rFonts w:hint="default" w:ascii="Trebuchet MS" w:hAnsi="Trebuchet MS"/>
      <w:b/>
      <w:snapToGrid/>
      <w:sz w:val="28"/>
    </w:rPr>
  </w:style>
  <w:style w:type="character" w:customStyle="1" w:styleId="294">
    <w:name w:val="标题 3 Char"/>
    <w:qFormat/>
    <w:uiPriority w:val="0"/>
    <w:rPr>
      <w:rFonts w:hint="default" w:ascii="Trebuchet MS" w:hAnsi="Trebuchet MS"/>
      <w:b/>
      <w:snapToGrid/>
      <w:sz w:val="21"/>
    </w:rPr>
  </w:style>
  <w:style w:type="character" w:customStyle="1" w:styleId="295">
    <w:name w:val="标题 4 Char"/>
    <w:qFormat/>
    <w:uiPriority w:val="0"/>
    <w:rPr>
      <w:rFonts w:hint="default" w:ascii="Arial" w:hAnsi="Arial" w:cs="Arial"/>
      <w:b/>
      <w:bCs/>
      <w:snapToGrid/>
      <w:sz w:val="21"/>
      <w:szCs w:val="28"/>
    </w:rPr>
  </w:style>
  <w:style w:type="character" w:customStyle="1" w:styleId="296">
    <w:name w:val="标题 5 Char"/>
    <w:qFormat/>
    <w:uiPriority w:val="0"/>
    <w:rPr>
      <w:rFonts w:hint="default" w:ascii="Trebuchet MS" w:hAnsi="Trebuchet MS"/>
      <w:b/>
      <w:bCs/>
      <w:snapToGrid/>
      <w:sz w:val="21"/>
    </w:rPr>
  </w:style>
  <w:style w:type="character" w:customStyle="1" w:styleId="297">
    <w:name w:val="标题 6 Char"/>
    <w:qFormat/>
    <w:uiPriority w:val="0"/>
    <w:rPr>
      <w:rFonts w:hint="default" w:ascii="Trebuchet MS" w:hAnsi="Trebuchet MS"/>
      <w:b/>
      <w:snapToGrid/>
      <w:sz w:val="21"/>
    </w:rPr>
  </w:style>
  <w:style w:type="character" w:customStyle="1" w:styleId="298">
    <w:name w:val="标题 7 Char"/>
    <w:qFormat/>
    <w:uiPriority w:val="0"/>
    <w:rPr>
      <w:rFonts w:hint="default" w:ascii="Trebuchet MS" w:hAnsi="Trebuchet MS"/>
      <w:b/>
      <w:bCs/>
      <w:kern w:val="2"/>
      <w:sz w:val="24"/>
      <w:szCs w:val="24"/>
    </w:rPr>
  </w:style>
  <w:style w:type="character" w:customStyle="1" w:styleId="299">
    <w:name w:val="标题 8 Char"/>
    <w:qFormat/>
    <w:uiPriority w:val="0"/>
    <w:rPr>
      <w:rFonts w:hint="default" w:ascii="Arial" w:hAnsi="Arial" w:eastAsia="黑体" w:cs="Arial"/>
      <w:kern w:val="2"/>
      <w:sz w:val="24"/>
      <w:szCs w:val="24"/>
    </w:rPr>
  </w:style>
  <w:style w:type="character" w:customStyle="1" w:styleId="300">
    <w:name w:val="标题 9 Char"/>
    <w:qFormat/>
    <w:uiPriority w:val="0"/>
    <w:rPr>
      <w:rFonts w:hint="default" w:ascii="Arial" w:hAnsi="Arial" w:eastAsia="黑体" w:cs="Arial"/>
      <w:kern w:val="2"/>
      <w:sz w:val="21"/>
      <w:szCs w:val="21"/>
    </w:rPr>
  </w:style>
  <w:style w:type="character" w:customStyle="1" w:styleId="301">
    <w:name w:val="正文文本缩进 2 Char"/>
    <w:qFormat/>
    <w:uiPriority w:val="0"/>
    <w:rPr>
      <w:rFonts w:hint="default" w:ascii="Trebuchet MS" w:hAnsi="Trebuchet MS"/>
      <w:kern w:val="2"/>
      <w:sz w:val="30"/>
    </w:rPr>
  </w:style>
  <w:style w:type="character" w:customStyle="1" w:styleId="302">
    <w:name w:val="HTML 预设格式 Char"/>
    <w:qFormat/>
    <w:uiPriority w:val="0"/>
    <w:rPr>
      <w:rFonts w:hint="default" w:ascii="Courier New" w:hAnsi="Courier New" w:cs="Courier New"/>
      <w:kern w:val="2"/>
      <w:sz w:val="21"/>
      <w:szCs w:val="22"/>
    </w:rPr>
  </w:style>
  <w:style w:type="character" w:customStyle="1" w:styleId="303">
    <w:name w:val="标题 Char"/>
    <w:qFormat/>
    <w:uiPriority w:val="0"/>
    <w:rPr>
      <w:rFonts w:hint="eastAsia" w:ascii="宋体" w:hAnsi="Trebuchet MS" w:eastAsia="宋体"/>
      <w:b/>
      <w:snapToGrid/>
      <w:sz w:val="36"/>
    </w:rPr>
  </w:style>
  <w:style w:type="character" w:customStyle="1" w:styleId="304">
    <w:name w:val="标准文本 Char Char"/>
    <w:qFormat/>
    <w:uiPriority w:val="0"/>
    <w:rPr>
      <w:rFonts w:hint="default" w:ascii="Calibri" w:hAnsi="Calibri" w:cs="宋体"/>
      <w:kern w:val="2"/>
      <w:sz w:val="24"/>
      <w:szCs w:val="22"/>
    </w:rPr>
  </w:style>
  <w:style w:type="character" w:customStyle="1" w:styleId="305">
    <w:name w:val="Char Char2"/>
    <w:qFormat/>
    <w:uiPriority w:val="0"/>
    <w:rPr>
      <w:rFonts w:hint="eastAsia" w:ascii="宋体" w:hAnsi="宋体" w:eastAsia="宋体"/>
      <w:kern w:val="2"/>
      <w:sz w:val="18"/>
      <w:szCs w:val="18"/>
      <w:lang w:val="en-US" w:eastAsia="zh-CN" w:bidi="ar-SA"/>
    </w:rPr>
  </w:style>
  <w:style w:type="character" w:customStyle="1" w:styleId="306">
    <w:name w:val="Char Char3"/>
    <w:qFormat/>
    <w:uiPriority w:val="0"/>
    <w:rPr>
      <w:rFonts w:hint="eastAsia" w:ascii="宋体" w:hAnsi="宋体" w:eastAsia="宋体"/>
      <w:kern w:val="2"/>
      <w:sz w:val="18"/>
      <w:szCs w:val="18"/>
      <w:lang w:val="en-US" w:eastAsia="zh-CN" w:bidi="ar-SA"/>
    </w:rPr>
  </w:style>
  <w:style w:type="character" w:customStyle="1" w:styleId="307">
    <w:name w:val="Char Char5"/>
    <w:qFormat/>
    <w:uiPriority w:val="0"/>
    <w:rPr>
      <w:b/>
      <w:bCs/>
      <w:kern w:val="2"/>
      <w:sz w:val="32"/>
      <w:szCs w:val="32"/>
    </w:rPr>
  </w:style>
  <w:style w:type="character" w:customStyle="1" w:styleId="308">
    <w:name w:val="Char Char1"/>
    <w:qFormat/>
    <w:uiPriority w:val="0"/>
    <w:rPr>
      <w:kern w:val="2"/>
      <w:sz w:val="18"/>
      <w:szCs w:val="18"/>
    </w:rPr>
  </w:style>
  <w:style w:type="character" w:customStyle="1" w:styleId="309">
    <w:name w:val="Char Char4"/>
    <w:qFormat/>
    <w:uiPriority w:val="0"/>
    <w:rPr>
      <w:rFonts w:hint="default" w:ascii="Arial" w:hAnsi="Arial" w:eastAsia="黑体" w:cs="Arial"/>
      <w:b/>
      <w:bCs/>
      <w:kern w:val="2"/>
      <w:sz w:val="28"/>
      <w:szCs w:val="28"/>
    </w:rPr>
  </w:style>
  <w:style w:type="paragraph" w:customStyle="1" w:styleId="310">
    <w:name w:val="Table Heading"/>
    <w:basedOn w:val="236"/>
    <w:link w:val="311"/>
    <w:qFormat/>
    <w:uiPriority w:val="0"/>
    <w:pPr>
      <w:spacing w:before="120" w:after="120"/>
    </w:pPr>
    <w:rPr>
      <w:b/>
    </w:rPr>
  </w:style>
  <w:style w:type="character" w:customStyle="1" w:styleId="311">
    <w:name w:val="Table Heading Char"/>
    <w:link w:val="310"/>
    <w:qFormat/>
    <w:locked/>
    <w:uiPriority w:val="0"/>
    <w:rPr>
      <w:rFonts w:ascii="Book Antiqua" w:hAnsi="Book Antiqua" w:eastAsia="PMingLiU"/>
      <w:b/>
      <w:sz w:val="16"/>
      <w:lang w:val="en-GB" w:eastAsia="en-US"/>
    </w:rPr>
  </w:style>
  <w:style w:type="paragraph" w:customStyle="1" w:styleId="312">
    <w:name w:val="表格的表头"/>
    <w:basedOn w:val="241"/>
    <w:next w:val="241"/>
    <w:qFormat/>
    <w:uiPriority w:val="0"/>
    <w:pPr>
      <w:spacing w:before="40" w:after="40"/>
      <w:jc w:val="center"/>
    </w:pPr>
  </w:style>
  <w:style w:type="character" w:customStyle="1" w:styleId="313">
    <w:name w:val="正文2 Char"/>
    <w:link w:val="314"/>
    <w:qFormat/>
    <w:uiPriority w:val="0"/>
    <w:rPr>
      <w:rFonts w:ascii="宋体" w:hAnsi="宋体" w:cs="宋体"/>
      <w:color w:val="000000"/>
      <w:kern w:val="2"/>
      <w:sz w:val="22"/>
      <w:szCs w:val="28"/>
      <w:u w:color="000000"/>
    </w:rPr>
  </w:style>
  <w:style w:type="paragraph" w:customStyle="1" w:styleId="314">
    <w:name w:val="正文2"/>
    <w:basedOn w:val="315"/>
    <w:link w:val="313"/>
    <w:qFormat/>
    <w:uiPriority w:val="0"/>
    <w:pPr>
      <w:ind w:firstLine="426"/>
    </w:pPr>
    <w:rPr>
      <w:sz w:val="22"/>
    </w:rPr>
  </w:style>
  <w:style w:type="paragraph" w:customStyle="1" w:styleId="315">
    <w:name w:val="正文 A"/>
    <w:link w:val="316"/>
    <w:qFormat/>
    <w:uiPriority w:val="0"/>
    <w:pPr>
      <w:widowControl w:val="0"/>
      <w:spacing w:line="360" w:lineRule="auto"/>
      <w:ind w:firstLine="200"/>
      <w:jc w:val="both"/>
    </w:pPr>
    <w:rPr>
      <w:rFonts w:ascii="宋体" w:hAnsi="宋体" w:eastAsia="宋体" w:cs="宋体"/>
      <w:color w:val="000000"/>
      <w:kern w:val="2"/>
      <w:sz w:val="28"/>
      <w:szCs w:val="28"/>
      <w:u w:color="000000"/>
      <w:lang w:val="en-US" w:eastAsia="zh-CN" w:bidi="ar-SA"/>
    </w:rPr>
  </w:style>
  <w:style w:type="character" w:customStyle="1" w:styleId="316">
    <w:name w:val="正文 A Char"/>
    <w:link w:val="315"/>
    <w:qFormat/>
    <w:uiPriority w:val="0"/>
    <w:rPr>
      <w:rFonts w:ascii="宋体" w:hAnsi="宋体" w:cs="宋体"/>
      <w:color w:val="000000"/>
      <w:kern w:val="2"/>
      <w:sz w:val="28"/>
      <w:szCs w:val="28"/>
      <w:u w:color="000000"/>
    </w:rPr>
  </w:style>
  <w:style w:type="paragraph" w:customStyle="1" w:styleId="317">
    <w:name w:val="Table Paragraph"/>
    <w:basedOn w:val="1"/>
    <w:qFormat/>
    <w:uiPriority w:val="1"/>
    <w:pPr>
      <w:autoSpaceDE w:val="0"/>
      <w:autoSpaceDN w:val="0"/>
      <w:jc w:val="left"/>
    </w:pPr>
    <w:rPr>
      <w:rFonts w:ascii="宋体" w:hAnsi="宋体" w:cs="宋体"/>
      <w:kern w:val="0"/>
      <w:sz w:val="22"/>
      <w:lang w:eastAsia="en-US"/>
    </w:rPr>
  </w:style>
  <w:style w:type="paragraph" w:customStyle="1" w:styleId="318">
    <w:name w:val="WPSOffice手动目录 1"/>
    <w:qFormat/>
    <w:uiPriority w:val="0"/>
    <w:pPr>
      <w:ind w:leftChars="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6A2B91-19E7-4CF1-8256-126CC3D2CCC3}">
  <ds:schemaRefs/>
</ds:datastoreItem>
</file>

<file path=docProps/app.xml><?xml version="1.0" encoding="utf-8"?>
<Properties xmlns="http://schemas.openxmlformats.org/officeDocument/2006/extended-properties" xmlns:vt="http://schemas.openxmlformats.org/officeDocument/2006/docPropsVTypes">
  <Template>Normal.dotm</Template>
  <Company>home</Company>
  <Pages>74</Pages>
  <Words>8607</Words>
  <Characters>49060</Characters>
  <Lines>408</Lines>
  <Paragraphs>115</Paragraphs>
  <TotalTime>1</TotalTime>
  <ScaleCrop>false</ScaleCrop>
  <LinksUpToDate>false</LinksUpToDate>
  <CharactersWithSpaces>57552</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2021-05-20T04:24:00Z</dcterms:created>
  <dc:creator>huhua</dc:creator>
  <cp:lastModifiedBy>nana</cp:lastModifiedBy>
  <cp:lastPrinted>2017-05-31T00:46:00Z</cp:lastPrinted>
  <dcterms:modified xsi:type="dcterms:W3CDTF">2021-09-13T07:30:48Z</dcterms:modified>
  <dc:title>上海体育学院</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3E75B6D2FC4B4D448FC7BE02EE017968</vt:lpwstr>
  </property>
</Properties>
</file>