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000000"/>
          <w:sz w:val="28"/>
          <w:szCs w:val="28"/>
          <w:highlight w:val="none"/>
        </w:rPr>
      </w:pPr>
      <w:bookmarkStart w:id="1325" w:name="_GoBack"/>
      <w:bookmarkEnd w:id="1325"/>
      <w:r>
        <w:rPr>
          <w:rFonts w:hint="eastAsia"/>
          <w:color w:val="000000"/>
          <w:sz w:val="28"/>
          <w:szCs w:val="28"/>
          <w:highlight w:val="none"/>
        </w:rPr>
        <w:t>HW2021072604</w:t>
      </w:r>
    </w:p>
    <w:p>
      <w:pPr>
        <w:rPr>
          <w:color w:val="000000"/>
          <w:sz w:val="28"/>
          <w:szCs w:val="28"/>
          <w:highlight w:val="none"/>
        </w:rPr>
      </w:pPr>
    </w:p>
    <w:p>
      <w:pPr>
        <w:rPr>
          <w:color w:val="000000"/>
          <w:sz w:val="28"/>
          <w:szCs w:val="28"/>
          <w:highlight w:val="none"/>
        </w:rPr>
      </w:pPr>
    </w:p>
    <w:p>
      <w:pPr>
        <w:rPr>
          <w:color w:val="000000"/>
          <w:sz w:val="28"/>
          <w:szCs w:val="28"/>
          <w:highlight w:val="none"/>
        </w:rPr>
      </w:pPr>
    </w:p>
    <w:p>
      <w:pPr>
        <w:rPr>
          <w:rFonts w:hint="eastAsia"/>
          <w:color w:val="000000"/>
          <w:highlight w:val="none"/>
        </w:rPr>
      </w:pPr>
    </w:p>
    <w:p>
      <w:pPr>
        <w:spacing w:line="312" w:lineRule="atLeast"/>
        <w:jc w:val="center"/>
        <w:rPr>
          <w:rFonts w:hint="eastAsia" w:eastAsia="楷体"/>
          <w:b/>
          <w:color w:val="000000"/>
          <w:sz w:val="48"/>
          <w:highlight w:val="none"/>
        </w:rPr>
      </w:pPr>
      <w:r>
        <w:rPr>
          <w:rFonts w:hint="eastAsia" w:eastAsia="楷体"/>
          <w:b/>
          <w:color w:val="000000"/>
          <w:sz w:val="48"/>
          <w:highlight w:val="none"/>
        </w:rPr>
        <w:t>复旦大学</w:t>
      </w:r>
    </w:p>
    <w:p>
      <w:pPr>
        <w:spacing w:line="312" w:lineRule="atLeast"/>
        <w:jc w:val="center"/>
        <w:rPr>
          <w:rFonts w:hint="eastAsia" w:eastAsia="楷体"/>
          <w:b/>
          <w:color w:val="000000"/>
          <w:sz w:val="48"/>
          <w:highlight w:val="none"/>
        </w:rPr>
      </w:pPr>
      <w:r>
        <w:rPr>
          <w:rFonts w:hint="eastAsia" w:eastAsia="楷体"/>
          <w:b/>
          <w:color w:val="000000"/>
          <w:sz w:val="48"/>
          <w:highlight w:val="none"/>
        </w:rPr>
        <w:t>邯郸</w:t>
      </w:r>
      <w:r>
        <w:rPr>
          <w:rFonts w:eastAsia="楷体"/>
          <w:b/>
          <w:color w:val="000000"/>
          <w:sz w:val="48"/>
          <w:highlight w:val="none"/>
        </w:rPr>
        <w:t>校区</w:t>
      </w:r>
      <w:r>
        <w:rPr>
          <w:rFonts w:hint="eastAsia" w:eastAsia="楷体"/>
          <w:b/>
          <w:color w:val="000000"/>
          <w:sz w:val="48"/>
          <w:highlight w:val="none"/>
        </w:rPr>
        <w:t>光学楼群遮阳系统采购</w:t>
      </w:r>
    </w:p>
    <w:p>
      <w:pPr>
        <w:spacing w:line="312" w:lineRule="atLeast"/>
        <w:jc w:val="center"/>
        <w:rPr>
          <w:rFonts w:hint="eastAsia" w:eastAsia="楷体"/>
          <w:b/>
          <w:color w:val="000000"/>
          <w:sz w:val="48"/>
          <w:highlight w:val="none"/>
        </w:rPr>
      </w:pPr>
    </w:p>
    <w:p>
      <w:pPr>
        <w:spacing w:line="312" w:lineRule="atLeast"/>
        <w:jc w:val="center"/>
        <w:rPr>
          <w:rFonts w:eastAsia="楷体"/>
          <w:b/>
          <w:color w:val="000000"/>
          <w:sz w:val="48"/>
          <w:highlight w:val="none"/>
        </w:rPr>
      </w:pPr>
    </w:p>
    <w:p>
      <w:pPr>
        <w:spacing w:line="312" w:lineRule="atLeast"/>
        <w:jc w:val="center"/>
        <w:rPr>
          <w:rFonts w:eastAsia="楷体"/>
          <w:b/>
          <w:color w:val="000000"/>
          <w:sz w:val="48"/>
          <w:highlight w:val="none"/>
        </w:rPr>
      </w:pPr>
    </w:p>
    <w:p>
      <w:pPr>
        <w:spacing w:before="216" w:beforeLines="90"/>
        <w:jc w:val="center"/>
        <w:rPr>
          <w:rFonts w:eastAsia="华文中宋"/>
          <w:b/>
          <w:color w:val="000000"/>
          <w:sz w:val="70"/>
          <w:highlight w:val="none"/>
        </w:rPr>
      </w:pPr>
      <w:r>
        <w:rPr>
          <w:rFonts w:eastAsia="华文中宋"/>
          <w:b/>
          <w:color w:val="000000"/>
          <w:spacing w:val="700"/>
          <w:sz w:val="70"/>
          <w:highlight w:val="none"/>
        </w:rPr>
        <w:t>招标文</w:t>
      </w:r>
      <w:r>
        <w:rPr>
          <w:rFonts w:eastAsia="华文中宋"/>
          <w:b/>
          <w:color w:val="000000"/>
          <w:sz w:val="70"/>
          <w:highlight w:val="none"/>
        </w:rPr>
        <w:t>件</w:t>
      </w:r>
    </w:p>
    <w:p>
      <w:pPr>
        <w:spacing w:before="408" w:beforeLines="170" w:line="360" w:lineRule="exact"/>
        <w:jc w:val="center"/>
        <w:rPr>
          <w:rFonts w:hint="eastAsia" w:eastAsia="楷体"/>
          <w:color w:val="000000"/>
          <w:sz w:val="30"/>
          <w:highlight w:val="none"/>
          <w:lang w:eastAsia="zh-CN"/>
        </w:rPr>
      </w:pPr>
      <w:r>
        <w:rPr>
          <w:rFonts w:hint="eastAsia" w:eastAsia="楷体"/>
          <w:color w:val="000000"/>
          <w:sz w:val="30"/>
          <w:highlight w:val="none"/>
        </w:rPr>
        <w:t>招标编号：</w:t>
      </w:r>
      <w:r>
        <w:rPr>
          <w:rFonts w:hint="eastAsia" w:eastAsia="楷体"/>
          <w:color w:val="000000"/>
          <w:sz w:val="30"/>
          <w:highlight w:val="none"/>
          <w:lang w:eastAsia="zh-CN"/>
        </w:rPr>
        <w:t>YX-FDCG-2021-008</w:t>
      </w: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p>
      <w:pPr>
        <w:spacing w:line="360" w:lineRule="exact"/>
        <w:rPr>
          <w:color w:val="000000"/>
          <w:highlight w:val="none"/>
        </w:rPr>
      </w:pPr>
    </w:p>
    <w:tbl>
      <w:tblPr>
        <w:tblStyle w:val="33"/>
        <w:tblW w:w="0" w:type="auto"/>
        <w:jc w:val="center"/>
        <w:tblLayout w:type="autofit"/>
        <w:tblCellMar>
          <w:top w:w="0" w:type="dxa"/>
          <w:left w:w="108" w:type="dxa"/>
          <w:bottom w:w="0" w:type="dxa"/>
          <w:right w:w="108" w:type="dxa"/>
        </w:tblCellMar>
      </w:tblPr>
      <w:tblGrid>
        <w:gridCol w:w="2616"/>
        <w:gridCol w:w="6061"/>
      </w:tblGrid>
      <w:tr>
        <w:tblPrEx>
          <w:tblCellMar>
            <w:top w:w="0" w:type="dxa"/>
            <w:left w:w="108" w:type="dxa"/>
            <w:bottom w:w="0" w:type="dxa"/>
            <w:right w:w="108" w:type="dxa"/>
          </w:tblCellMar>
        </w:tblPrEx>
        <w:trPr>
          <w:wBefore w:w="0" w:type="dxa"/>
          <w:wAfter w:w="0" w:type="dxa"/>
          <w:trHeight w:val="628" w:hRule="atLeast"/>
          <w:jc w:val="center"/>
        </w:trPr>
        <w:tc>
          <w:tcPr>
            <w:tcW w:w="2616" w:type="dxa"/>
            <w:noWrap w:val="0"/>
            <w:vAlign w:val="bottom"/>
          </w:tcPr>
          <w:p>
            <w:pPr>
              <w:spacing w:line="240" w:lineRule="auto"/>
              <w:jc w:val="distribute"/>
              <w:rPr>
                <w:rFonts w:eastAsia="楷体_GB2312"/>
                <w:color w:val="000000"/>
                <w:spacing w:val="-40"/>
                <w:sz w:val="30"/>
                <w:highlight w:val="none"/>
              </w:rPr>
            </w:pPr>
            <w:r>
              <w:rPr>
                <w:rFonts w:eastAsia="楷体_GB2312"/>
                <w:color w:val="000000"/>
                <w:spacing w:val="-40"/>
                <w:sz w:val="30"/>
                <w:highlight w:val="none"/>
              </w:rPr>
              <w:t>项目名称：</w:t>
            </w:r>
          </w:p>
        </w:tc>
        <w:tc>
          <w:tcPr>
            <w:tcW w:w="6061" w:type="dxa"/>
            <w:tcBorders>
              <w:bottom w:val="single" w:color="auto" w:sz="4" w:space="0"/>
            </w:tcBorders>
            <w:noWrap w:val="0"/>
            <w:vAlign w:val="bottom"/>
          </w:tcPr>
          <w:p>
            <w:pPr>
              <w:spacing w:line="240" w:lineRule="auto"/>
              <w:jc w:val="center"/>
              <w:rPr>
                <w:rFonts w:hint="eastAsia" w:eastAsia="楷体_GB2312"/>
                <w:color w:val="000000"/>
                <w:sz w:val="30"/>
                <w:szCs w:val="30"/>
                <w:highlight w:val="none"/>
              </w:rPr>
            </w:pPr>
            <w:r>
              <w:rPr>
                <w:rFonts w:hint="eastAsia" w:eastAsia="楷体_GB2312"/>
                <w:color w:val="000000"/>
                <w:sz w:val="30"/>
                <w:szCs w:val="30"/>
                <w:highlight w:val="none"/>
              </w:rPr>
              <w:t>复旦大学邯郸校区光学楼群遮阳系统采购</w:t>
            </w:r>
          </w:p>
        </w:tc>
      </w:tr>
      <w:tr>
        <w:tblPrEx>
          <w:tblCellMar>
            <w:top w:w="0" w:type="dxa"/>
            <w:left w:w="108" w:type="dxa"/>
            <w:bottom w:w="0" w:type="dxa"/>
            <w:right w:w="108" w:type="dxa"/>
          </w:tblCellMar>
        </w:tblPrEx>
        <w:trPr>
          <w:wBefore w:w="0" w:type="dxa"/>
          <w:wAfter w:w="0" w:type="dxa"/>
          <w:trHeight w:val="624" w:hRule="atLeast"/>
          <w:jc w:val="center"/>
        </w:trPr>
        <w:tc>
          <w:tcPr>
            <w:tcW w:w="2616" w:type="dxa"/>
            <w:noWrap w:val="0"/>
            <w:vAlign w:val="bottom"/>
          </w:tcPr>
          <w:p>
            <w:pPr>
              <w:spacing w:line="240" w:lineRule="auto"/>
              <w:jc w:val="distribute"/>
              <w:rPr>
                <w:rFonts w:eastAsia="楷体_GB2312"/>
                <w:color w:val="000000"/>
                <w:spacing w:val="-40"/>
                <w:sz w:val="30"/>
                <w:highlight w:val="none"/>
              </w:rPr>
            </w:pPr>
            <w:r>
              <w:rPr>
                <w:rFonts w:eastAsia="楷体_GB2312"/>
                <w:color w:val="000000"/>
                <w:spacing w:val="-40"/>
                <w:sz w:val="30"/>
                <w:highlight w:val="none"/>
              </w:rPr>
              <w:t>招 标 人：</w:t>
            </w:r>
          </w:p>
        </w:tc>
        <w:tc>
          <w:tcPr>
            <w:tcW w:w="6061" w:type="dxa"/>
            <w:tcBorders>
              <w:top w:val="single" w:color="auto" w:sz="4" w:space="0"/>
              <w:bottom w:val="single" w:color="auto" w:sz="4" w:space="0"/>
            </w:tcBorders>
            <w:noWrap w:val="0"/>
            <w:vAlign w:val="bottom"/>
          </w:tcPr>
          <w:p>
            <w:pPr>
              <w:spacing w:line="240" w:lineRule="auto"/>
              <w:jc w:val="center"/>
              <w:rPr>
                <w:rFonts w:eastAsia="楷体_GB2312"/>
                <w:color w:val="000000"/>
                <w:sz w:val="30"/>
                <w:szCs w:val="30"/>
                <w:highlight w:val="none"/>
              </w:rPr>
            </w:pPr>
            <w:r>
              <w:rPr>
                <w:rFonts w:eastAsia="楷体_GB2312"/>
                <w:color w:val="000000"/>
                <w:sz w:val="30"/>
                <w:szCs w:val="30"/>
                <w:highlight w:val="none"/>
              </w:rPr>
              <w:t>复旦大学</w:t>
            </w:r>
          </w:p>
        </w:tc>
      </w:tr>
      <w:tr>
        <w:tblPrEx>
          <w:tblCellMar>
            <w:top w:w="0" w:type="dxa"/>
            <w:left w:w="108" w:type="dxa"/>
            <w:bottom w:w="0" w:type="dxa"/>
            <w:right w:w="108" w:type="dxa"/>
          </w:tblCellMar>
        </w:tblPrEx>
        <w:trPr>
          <w:wBefore w:w="0" w:type="dxa"/>
          <w:wAfter w:w="0" w:type="dxa"/>
          <w:trHeight w:val="624" w:hRule="atLeast"/>
          <w:jc w:val="center"/>
        </w:trPr>
        <w:tc>
          <w:tcPr>
            <w:tcW w:w="2616" w:type="dxa"/>
            <w:noWrap w:val="0"/>
            <w:vAlign w:val="bottom"/>
          </w:tcPr>
          <w:p>
            <w:pPr>
              <w:spacing w:line="240" w:lineRule="auto"/>
              <w:jc w:val="distribute"/>
              <w:rPr>
                <w:rFonts w:eastAsia="楷体_GB2312"/>
                <w:color w:val="000000"/>
                <w:spacing w:val="-40"/>
                <w:sz w:val="30"/>
                <w:highlight w:val="none"/>
              </w:rPr>
            </w:pPr>
            <w:r>
              <w:rPr>
                <w:rFonts w:eastAsia="楷体_GB2312"/>
                <w:color w:val="000000"/>
                <w:spacing w:val="-40"/>
                <w:sz w:val="30"/>
                <w:highlight w:val="none"/>
              </w:rPr>
              <w:t>招标代理机构：</w:t>
            </w:r>
          </w:p>
        </w:tc>
        <w:tc>
          <w:tcPr>
            <w:tcW w:w="6061" w:type="dxa"/>
            <w:tcBorders>
              <w:top w:val="single" w:color="auto" w:sz="4" w:space="0"/>
              <w:bottom w:val="single" w:color="auto" w:sz="4" w:space="0"/>
            </w:tcBorders>
            <w:noWrap w:val="0"/>
            <w:vAlign w:val="bottom"/>
          </w:tcPr>
          <w:p>
            <w:pPr>
              <w:spacing w:line="240" w:lineRule="auto"/>
              <w:jc w:val="center"/>
              <w:rPr>
                <w:rFonts w:hint="eastAsia" w:eastAsia="楷体_GB2312"/>
                <w:color w:val="000000"/>
                <w:sz w:val="30"/>
                <w:szCs w:val="30"/>
                <w:highlight w:val="none"/>
              </w:rPr>
            </w:pPr>
            <w:r>
              <w:rPr>
                <w:rFonts w:hint="eastAsia" w:eastAsia="楷体_GB2312"/>
                <w:color w:val="000000"/>
                <w:sz w:val="30"/>
                <w:szCs w:val="30"/>
                <w:highlight w:val="none"/>
              </w:rPr>
              <w:t>上海银鑫建设咨询有限公司</w:t>
            </w:r>
          </w:p>
        </w:tc>
      </w:tr>
    </w:tbl>
    <w:p>
      <w:pPr>
        <w:spacing w:before="160"/>
        <w:jc w:val="center"/>
        <w:rPr>
          <w:rFonts w:hint="eastAsia"/>
          <w:color w:val="000000"/>
          <w:highlight w:val="none"/>
        </w:rPr>
        <w:sectPr>
          <w:headerReference r:id="rId5" w:type="default"/>
          <w:footerReference r:id="rId6" w:type="even"/>
          <w:type w:val="oddPage"/>
          <w:pgSz w:w="11907" w:h="16840"/>
          <w:pgMar w:top="1588" w:right="1021" w:bottom="1474" w:left="1021" w:header="1021" w:footer="992" w:gutter="340"/>
          <w:pgBorders>
            <w:top w:val="none" w:sz="0" w:space="0"/>
            <w:left w:val="none" w:sz="0" w:space="0"/>
            <w:bottom w:val="none" w:sz="0" w:space="0"/>
            <w:right w:val="none" w:sz="0" w:space="0"/>
          </w:pgBorders>
          <w:pgNumType w:start="1"/>
          <w:cols w:space="720" w:num="1"/>
        </w:sectPr>
      </w:pPr>
      <w:r>
        <w:rPr>
          <w:rFonts w:eastAsia="楷体_GB2312"/>
          <w:color w:val="000000"/>
          <w:sz w:val="30"/>
          <w:szCs w:val="30"/>
          <w:highlight w:val="none"/>
        </w:rPr>
        <w:t>202</w:t>
      </w:r>
      <w:r>
        <w:rPr>
          <w:rFonts w:hint="eastAsia" w:eastAsia="楷体_GB2312"/>
          <w:color w:val="000000"/>
          <w:sz w:val="30"/>
          <w:szCs w:val="30"/>
          <w:highlight w:val="none"/>
        </w:rPr>
        <w:t>1</w:t>
      </w:r>
      <w:r>
        <w:rPr>
          <w:rFonts w:eastAsia="楷体_GB2312"/>
          <w:color w:val="000000"/>
          <w:sz w:val="30"/>
          <w:szCs w:val="30"/>
          <w:highlight w:val="none"/>
        </w:rPr>
        <w:t>年</w:t>
      </w:r>
      <w:r>
        <w:rPr>
          <w:rFonts w:hint="eastAsia" w:eastAsia="楷体_GB2312"/>
          <w:color w:val="000000"/>
          <w:sz w:val="30"/>
          <w:szCs w:val="30"/>
          <w:highlight w:val="none"/>
          <w:lang w:val="en-US" w:eastAsia="zh-CN"/>
        </w:rPr>
        <w:t>9</w:t>
      </w:r>
      <w:r>
        <w:rPr>
          <w:rFonts w:eastAsia="楷体"/>
          <w:color w:val="000000"/>
          <w:sz w:val="32"/>
          <w:highlight w:val="none"/>
        </w:rPr>
        <w:t>月</w:t>
      </w:r>
    </w:p>
    <w:p>
      <w:pPr>
        <w:tabs>
          <w:tab w:val="center" w:pos="4153"/>
          <w:tab w:val="right" w:pos="8306"/>
        </w:tabs>
        <w:spacing w:before="320" w:after="160" w:line="240" w:lineRule="atLeast"/>
        <w:jc w:val="center"/>
        <w:rPr>
          <w:rFonts w:eastAsia="黑体"/>
          <w:color w:val="000000"/>
          <w:sz w:val="30"/>
          <w:highlight w:val="none"/>
        </w:rPr>
      </w:pPr>
      <w:r>
        <w:rPr>
          <w:rFonts w:eastAsia="黑体"/>
          <w:color w:val="000000"/>
          <w:sz w:val="30"/>
          <w:highlight w:val="none"/>
        </w:rPr>
        <w:t>总目录</w:t>
      </w:r>
    </w:p>
    <w:p>
      <w:pPr>
        <w:pStyle w:val="24"/>
        <w:rPr>
          <w:rFonts w:ascii="Times New Roman" w:eastAsia="宋体"/>
          <w:color w:val="000000"/>
          <w:kern w:val="2"/>
          <w:sz w:val="21"/>
          <w:szCs w:val="22"/>
          <w:highlight w:val="none"/>
          <w:lang/>
        </w:rPr>
      </w:pPr>
      <w:r>
        <w:rPr>
          <w:rFonts w:ascii="Times New Roman"/>
          <w:color w:val="000000"/>
          <w:highlight w:val="none"/>
        </w:rPr>
        <w:fldChar w:fldCharType="begin"/>
      </w:r>
      <w:r>
        <w:rPr>
          <w:rFonts w:ascii="Times New Roman"/>
          <w:color w:val="000000"/>
          <w:highlight w:val="none"/>
        </w:rPr>
        <w:instrText xml:space="preserve"> TOC \t "引文目录标题,1" </w:instrText>
      </w:r>
      <w:r>
        <w:rPr>
          <w:rFonts w:ascii="Times New Roman"/>
          <w:color w:val="000000"/>
          <w:highlight w:val="none"/>
        </w:rPr>
        <w:fldChar w:fldCharType="separate"/>
      </w:r>
      <w:r>
        <w:rPr>
          <w:rFonts w:ascii="Times New Roman"/>
          <w:color w:val="000000"/>
          <w:highlight w:val="none"/>
          <w:lang/>
        </w:rPr>
        <w:t>投标邀请书</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_Toc503130323 \h </w:instrText>
      </w:r>
      <w:r>
        <w:rPr>
          <w:rFonts w:ascii="Times New Roman"/>
          <w:color w:val="000000"/>
          <w:highlight w:val="none"/>
          <w:lang/>
        </w:rPr>
        <w:fldChar w:fldCharType="separate"/>
      </w:r>
      <w:r>
        <w:rPr>
          <w:rFonts w:ascii="Times New Roman"/>
          <w:color w:val="000000"/>
          <w:highlight w:val="none"/>
          <w:lang/>
        </w:rPr>
        <w:t>1</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第一章  投标人须知及前附表</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_Toc503130324 \h </w:instrText>
      </w:r>
      <w:r>
        <w:rPr>
          <w:rFonts w:ascii="Times New Roman"/>
          <w:color w:val="000000"/>
          <w:highlight w:val="none"/>
          <w:lang/>
        </w:rPr>
        <w:fldChar w:fldCharType="separate"/>
      </w:r>
      <w:r>
        <w:rPr>
          <w:rFonts w:ascii="Times New Roman"/>
          <w:color w:val="000000"/>
          <w:highlight w:val="none"/>
          <w:lang/>
        </w:rPr>
        <w:t>6</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第二章  货物需求一览表</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_Toc503130325 \h </w:instrText>
      </w:r>
      <w:r>
        <w:rPr>
          <w:rFonts w:ascii="Times New Roman"/>
          <w:color w:val="000000"/>
          <w:highlight w:val="none"/>
          <w:lang/>
        </w:rPr>
        <w:fldChar w:fldCharType="separate"/>
      </w:r>
      <w:r>
        <w:rPr>
          <w:rFonts w:ascii="Times New Roman"/>
          <w:color w:val="000000"/>
          <w:highlight w:val="none"/>
          <w:lang/>
        </w:rPr>
        <w:t>28</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第三章  技术规格</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_Toc503130326 \h </w:instrText>
      </w:r>
      <w:r>
        <w:rPr>
          <w:rFonts w:ascii="Times New Roman"/>
          <w:color w:val="000000"/>
          <w:highlight w:val="none"/>
          <w:lang/>
        </w:rPr>
        <w:fldChar w:fldCharType="separate"/>
      </w:r>
      <w:r>
        <w:rPr>
          <w:rFonts w:ascii="Times New Roman"/>
          <w:color w:val="000000"/>
          <w:highlight w:val="none"/>
          <w:lang/>
        </w:rPr>
        <w:t>37</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第四章  合同条款</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_Toc503130327 \h </w:instrText>
      </w:r>
      <w:r>
        <w:rPr>
          <w:rFonts w:ascii="Times New Roman"/>
          <w:color w:val="000000"/>
          <w:highlight w:val="none"/>
          <w:lang/>
        </w:rPr>
        <w:fldChar w:fldCharType="separate"/>
      </w:r>
      <w:r>
        <w:rPr>
          <w:rFonts w:ascii="Times New Roman"/>
          <w:color w:val="000000"/>
          <w:highlight w:val="none"/>
          <w:lang/>
        </w:rPr>
        <w:t>48</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第五章  各种格式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_Toc503130328 \h </w:instrText>
      </w:r>
      <w:r>
        <w:rPr>
          <w:rFonts w:ascii="Times New Roman"/>
          <w:color w:val="000000"/>
          <w:highlight w:val="none"/>
          <w:lang/>
        </w:rPr>
        <w:fldChar w:fldCharType="separate"/>
      </w:r>
      <w:r>
        <w:rPr>
          <w:rFonts w:ascii="Times New Roman"/>
          <w:color w:val="000000"/>
          <w:highlight w:val="none"/>
          <w:lang/>
        </w:rPr>
        <w:t>57</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第六章  资格证明文件格式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_Toc503130329 \h </w:instrText>
      </w:r>
      <w:r>
        <w:rPr>
          <w:rFonts w:ascii="Times New Roman"/>
          <w:color w:val="000000"/>
          <w:highlight w:val="none"/>
          <w:lang/>
        </w:rPr>
        <w:fldChar w:fldCharType="separate"/>
      </w:r>
      <w:r>
        <w:rPr>
          <w:rFonts w:ascii="Times New Roman"/>
          <w:color w:val="000000"/>
          <w:highlight w:val="none"/>
          <w:lang/>
        </w:rPr>
        <w:t>88</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第七章  评标办法</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_Toc503130330 \h </w:instrText>
      </w:r>
      <w:r>
        <w:rPr>
          <w:rFonts w:ascii="Times New Roman"/>
          <w:color w:val="000000"/>
          <w:highlight w:val="none"/>
          <w:lang/>
        </w:rPr>
        <w:fldChar w:fldCharType="separate"/>
      </w:r>
      <w:r>
        <w:rPr>
          <w:rFonts w:ascii="Times New Roman"/>
          <w:color w:val="000000"/>
          <w:highlight w:val="none"/>
          <w:lang/>
        </w:rPr>
        <w:t>98</w:t>
      </w:r>
      <w:r>
        <w:rPr>
          <w:rFonts w:ascii="Times New Roman"/>
          <w:color w:val="000000"/>
          <w:highlight w:val="none"/>
          <w:lang/>
        </w:rPr>
        <w:fldChar w:fldCharType="end"/>
      </w:r>
    </w:p>
    <w:p>
      <w:pPr>
        <w:pStyle w:val="24"/>
        <w:rPr>
          <w:rFonts w:ascii="Times New Roman"/>
          <w:color w:val="000000"/>
          <w:highlight w:val="none"/>
        </w:rPr>
      </w:pPr>
      <w:r>
        <w:rPr>
          <w:rFonts w:ascii="Times New Roman"/>
          <w:color w:val="000000"/>
          <w:highlight w:val="none"/>
        </w:rPr>
        <w:fldChar w:fldCharType="end"/>
      </w:r>
    </w:p>
    <w:p>
      <w:pPr>
        <w:rPr>
          <w:color w:val="000000"/>
          <w:highlight w:val="none"/>
        </w:rPr>
        <w:sectPr>
          <w:headerReference r:id="rId9" w:type="first"/>
          <w:footerReference r:id="rId12" w:type="first"/>
          <w:headerReference r:id="rId7" w:type="default"/>
          <w:footerReference r:id="rId10" w:type="default"/>
          <w:headerReference r:id="rId8" w:type="even"/>
          <w:footerReference r:id="rId11" w:type="even"/>
          <w:type w:val="oddPage"/>
          <w:pgSz w:w="11907" w:h="16840"/>
          <w:pgMar w:top="1588" w:right="1021" w:bottom="1474" w:left="1021" w:header="1021" w:footer="992" w:gutter="340"/>
          <w:pgBorders>
            <w:top w:val="none" w:sz="0" w:space="0"/>
            <w:left w:val="none" w:sz="0" w:space="0"/>
            <w:bottom w:val="none" w:sz="0" w:space="0"/>
            <w:right w:val="none" w:sz="0" w:space="0"/>
          </w:pgBorders>
          <w:pgNumType w:start="1"/>
          <w:cols w:space="720" w:num="1"/>
          <w:titlePg/>
        </w:sectPr>
      </w:pPr>
    </w:p>
    <w:p>
      <w:pPr>
        <w:rPr>
          <w:color w:val="000000"/>
          <w:highlight w:val="none"/>
        </w:rPr>
      </w:pPr>
      <w:bookmarkStart w:id="0" w:name="_Toc434897190"/>
      <w:bookmarkStart w:id="1" w:name="_Toc430898675"/>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2" w:name="_Toc503130323"/>
      <w:r>
        <w:rPr>
          <w:rFonts w:ascii="Times New Roman" w:hAnsi="Times New Roman"/>
          <w:color w:val="000000"/>
          <w:highlight w:val="none"/>
        </w:rPr>
        <w:t>投标邀请书</w:t>
      </w:r>
      <w:bookmarkEnd w:id="2"/>
    </w:p>
    <w:bookmarkEnd w:id="0"/>
    <w:bookmarkEnd w:id="1"/>
    <w:p>
      <w:pPr>
        <w:pStyle w:val="82"/>
        <w:rPr>
          <w:rFonts w:ascii="Times New Roman"/>
          <w:color w:val="000000"/>
          <w:highlight w:val="none"/>
        </w:rPr>
      </w:pPr>
      <w:r>
        <w:rPr>
          <w:rFonts w:ascii="Times New Roman"/>
          <w:color w:val="000000"/>
          <w:highlight w:val="none"/>
        </w:rPr>
        <w:br w:type="page"/>
      </w:r>
      <w:bookmarkStart w:id="3" w:name="_Toc491700915"/>
      <w:bookmarkStart w:id="4" w:name="_Toc503130779"/>
      <w:bookmarkStart w:id="5" w:name="_Toc389653496"/>
      <w:bookmarkStart w:id="6" w:name="_Toc389465253"/>
      <w:bookmarkStart w:id="7" w:name="_Toc17807"/>
      <w:bookmarkStart w:id="8" w:name="_Toc503130345"/>
      <w:bookmarkStart w:id="9" w:name="_Toc2063548"/>
      <w:bookmarkStart w:id="10" w:name="_Toc389457432"/>
      <w:bookmarkStart w:id="11" w:name="_Toc2063804"/>
      <w:bookmarkStart w:id="12" w:name="_Toc2063967"/>
      <w:bookmarkStart w:id="13" w:name="_Toc503130718"/>
      <w:bookmarkStart w:id="14" w:name="_Toc450211696"/>
      <w:bookmarkStart w:id="15" w:name="_Toc495406848"/>
      <w:bookmarkStart w:id="16" w:name="_Toc302374121"/>
      <w:bookmarkStart w:id="17" w:name="_Toc2063679"/>
      <w:bookmarkStart w:id="18" w:name="_Toc8343681"/>
      <w:bookmarkStart w:id="19" w:name="_Toc512602388"/>
      <w:bookmarkStart w:id="20" w:name="_Toc2063935"/>
      <w:bookmarkStart w:id="21" w:name="_Toc5116214"/>
      <w:bookmarkStart w:id="22" w:name="_Toc495397995"/>
      <w:bookmarkStart w:id="23" w:name="_Toc301765377"/>
      <w:bookmarkStart w:id="24" w:name="_Toc495398045"/>
      <w:r>
        <w:rPr>
          <w:rFonts w:ascii="Times New Roman"/>
          <w:color w:val="000000"/>
          <w:highlight w:val="none"/>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pPr>
        <w:pStyle w:val="12"/>
        <w:rPr>
          <w:color w:val="000000"/>
          <w:highlight w:val="none"/>
        </w:rPr>
      </w:pPr>
      <w:r>
        <w:rPr>
          <w:color w:val="000000"/>
          <w:highlight w:val="none"/>
        </w:rPr>
        <w:t>根据《中华人民共和国政府采购法》及相关法律、法规之规定，</w:t>
      </w:r>
      <w:r>
        <w:rPr>
          <w:rFonts w:hint="eastAsia"/>
          <w:color w:val="000000"/>
          <w:highlight w:val="none"/>
        </w:rPr>
        <w:t>上海银鑫建设咨询有限公司</w:t>
      </w:r>
      <w:r>
        <w:rPr>
          <w:color w:val="000000"/>
          <w:highlight w:val="none"/>
        </w:rPr>
        <w:t>受委托进行国内公开</w:t>
      </w:r>
      <w:r>
        <w:rPr>
          <w:rFonts w:hint="eastAsia"/>
          <w:color w:val="000000"/>
          <w:highlight w:val="none"/>
        </w:rPr>
        <w:t>招标</w:t>
      </w:r>
      <w:r>
        <w:rPr>
          <w:color w:val="000000"/>
          <w:highlight w:val="none"/>
        </w:rPr>
        <w:t>，特邀请合格的供应商前来投标。</w:t>
      </w:r>
    </w:p>
    <w:p>
      <w:pPr>
        <w:pStyle w:val="12"/>
        <w:ind w:firstLine="480" w:firstLineChars="200"/>
        <w:jc w:val="left"/>
        <w:rPr>
          <w:rFonts w:hint="eastAsia"/>
          <w:color w:val="000000"/>
          <w:szCs w:val="22"/>
          <w:highlight w:val="none"/>
        </w:rPr>
      </w:pPr>
    </w:p>
    <w:p>
      <w:pPr>
        <w:pStyle w:val="12"/>
        <w:ind w:firstLine="0"/>
        <w:rPr>
          <w:b/>
          <w:color w:val="000000"/>
          <w:highlight w:val="none"/>
        </w:rPr>
      </w:pPr>
      <w:r>
        <w:rPr>
          <w:b/>
          <w:color w:val="000000"/>
          <w:highlight w:val="none"/>
        </w:rPr>
        <w:t>一、合格的投标人必须具备以下条件（资格要求）：</w:t>
      </w:r>
    </w:p>
    <w:p>
      <w:pPr>
        <w:pStyle w:val="12"/>
        <w:rPr>
          <w:b/>
          <w:color w:val="000000"/>
          <w:highlight w:val="none"/>
        </w:rPr>
      </w:pPr>
      <w:r>
        <w:rPr>
          <w:b/>
          <w:color w:val="000000"/>
          <w:highlight w:val="none"/>
        </w:rPr>
        <w:t>1、符合《中华人民共和国政府采购法》第二十二条的规定。为此，投标人应按《中华人民共和国政府采购法实施条例》第十七条第一款的规定在投标文件中提供下列证明材料和书面声明：</w:t>
      </w:r>
    </w:p>
    <w:p>
      <w:pPr>
        <w:pStyle w:val="12"/>
        <w:rPr>
          <w:b/>
          <w:color w:val="000000"/>
          <w:highlight w:val="none"/>
        </w:rPr>
      </w:pPr>
      <w:r>
        <w:rPr>
          <w:b/>
          <w:color w:val="000000"/>
          <w:highlight w:val="none"/>
        </w:rPr>
        <w:t>（a）法人或者其他组织的营业执照等证明文件，自然人的身份证明；</w:t>
      </w:r>
    </w:p>
    <w:p>
      <w:pPr>
        <w:pStyle w:val="12"/>
        <w:rPr>
          <w:rFonts w:hint="eastAsia"/>
          <w:b/>
          <w:color w:val="000000"/>
          <w:highlight w:val="none"/>
        </w:rPr>
      </w:pPr>
      <w:r>
        <w:rPr>
          <w:b/>
          <w:color w:val="000000"/>
          <w:highlight w:val="none"/>
        </w:rPr>
        <w:t>（b）</w:t>
      </w:r>
      <w:r>
        <w:rPr>
          <w:rFonts w:hint="eastAsia"/>
          <w:b/>
          <w:color w:val="000000"/>
          <w:highlight w:val="none"/>
        </w:rPr>
        <w:t>财务状况证明</w:t>
      </w:r>
      <w:r>
        <w:rPr>
          <w:b/>
          <w:color w:val="000000"/>
          <w:highlight w:val="none"/>
        </w:rPr>
        <w:t>，依法缴纳税收和社会保障资金的相关材料；</w:t>
      </w:r>
    </w:p>
    <w:p>
      <w:pPr>
        <w:pStyle w:val="12"/>
        <w:rPr>
          <w:b/>
          <w:color w:val="000000"/>
          <w:highlight w:val="none"/>
        </w:rPr>
      </w:pPr>
      <w:r>
        <w:rPr>
          <w:b/>
          <w:color w:val="000000"/>
          <w:highlight w:val="none"/>
        </w:rPr>
        <w:t>（c）具备履行合同所必需的设备和专业技术能力的证明材料；</w:t>
      </w:r>
    </w:p>
    <w:p>
      <w:pPr>
        <w:pStyle w:val="12"/>
        <w:rPr>
          <w:b/>
          <w:color w:val="000000"/>
          <w:highlight w:val="none"/>
        </w:rPr>
      </w:pPr>
      <w:r>
        <w:rPr>
          <w:b/>
          <w:color w:val="000000"/>
          <w:highlight w:val="none"/>
        </w:rPr>
        <w:t>（d）参加政府采购活动前三年（</w:t>
      </w:r>
      <w:r>
        <w:rPr>
          <w:rFonts w:hint="eastAsia"/>
          <w:b/>
          <w:color w:val="000000"/>
          <w:highlight w:val="none"/>
          <w:lang w:eastAsia="zh-CN"/>
        </w:rPr>
        <w:t>2018年9月</w:t>
      </w:r>
      <w:r>
        <w:rPr>
          <w:b/>
          <w:color w:val="000000"/>
          <w:highlight w:val="none"/>
        </w:rPr>
        <w:t>至投标截止时间，以下简称“近三年”或“前三年”）内在经营活动中没有重大违法记录的书面声明。</w:t>
      </w:r>
    </w:p>
    <w:p>
      <w:pPr>
        <w:pStyle w:val="12"/>
        <w:rPr>
          <w:b/>
          <w:color w:val="000000"/>
          <w:highlight w:val="none"/>
        </w:rPr>
      </w:pPr>
      <w:r>
        <w:rPr>
          <w:rFonts w:hint="eastAsia"/>
          <w:b/>
          <w:color w:val="000000"/>
          <w:highlight w:val="none"/>
        </w:rPr>
        <w:t>2</w:t>
      </w:r>
      <w:r>
        <w:rPr>
          <w:b/>
          <w:color w:val="000000"/>
          <w:highlight w:val="none"/>
        </w:rPr>
        <w:t>、近三年未被国家财政部指定的“信用中国”网站（www.creditchina.gov.cn）、中国政府采购网（www.ccgp.gov.cn）等官方渠道列入失信被执行人、重大税收违法案件当事人名单或政府采购严重违法失信名单。</w:t>
      </w:r>
    </w:p>
    <w:p>
      <w:pPr>
        <w:pStyle w:val="12"/>
        <w:rPr>
          <w:b/>
          <w:color w:val="000000"/>
          <w:highlight w:val="none"/>
        </w:rPr>
      </w:pPr>
      <w:r>
        <w:rPr>
          <w:rFonts w:hint="eastAsia"/>
          <w:b/>
          <w:color w:val="000000"/>
          <w:highlight w:val="none"/>
        </w:rPr>
        <w:t>3、单位负责人为同一人或者存在直接控股、管理关系的不同供应商，不得参加同一合同项下的政府采购活动。</w:t>
      </w:r>
    </w:p>
    <w:p>
      <w:pPr>
        <w:pStyle w:val="12"/>
        <w:rPr>
          <w:b/>
          <w:color w:val="000000"/>
          <w:highlight w:val="none"/>
        </w:rPr>
      </w:pPr>
      <w:r>
        <w:rPr>
          <w:rFonts w:hint="eastAsia"/>
          <w:b/>
          <w:color w:val="000000"/>
          <w:highlight w:val="none"/>
        </w:rPr>
        <w:t>4</w:t>
      </w:r>
      <w:r>
        <w:rPr>
          <w:b/>
          <w:color w:val="000000"/>
          <w:highlight w:val="none"/>
        </w:rPr>
        <w:t>、法人的分支机构以自己的名义参与投标时，应提供由法人出具的对本投标活动承担全部直接责任的承诺。</w:t>
      </w:r>
    </w:p>
    <w:p>
      <w:pPr>
        <w:pStyle w:val="12"/>
        <w:rPr>
          <w:rFonts w:hint="eastAsia"/>
          <w:b/>
          <w:color w:val="000000"/>
          <w:highlight w:val="none"/>
        </w:rPr>
      </w:pPr>
      <w:r>
        <w:rPr>
          <w:rFonts w:hint="eastAsia"/>
          <w:b/>
          <w:color w:val="000000"/>
          <w:highlight w:val="none"/>
        </w:rPr>
        <w:t>5、本项目属于专门面向中小微企业采购的项目，仅面向中、小、微型制造商制造的产品采购。</w:t>
      </w:r>
    </w:p>
    <w:p>
      <w:pPr>
        <w:pStyle w:val="12"/>
        <w:rPr>
          <w:b/>
          <w:color w:val="000000"/>
          <w:highlight w:val="none"/>
        </w:rPr>
      </w:pPr>
      <w:r>
        <w:rPr>
          <w:rFonts w:hint="eastAsia"/>
          <w:b/>
          <w:color w:val="000000"/>
          <w:highlight w:val="none"/>
        </w:rPr>
        <w:t>6</w:t>
      </w:r>
      <w:r>
        <w:rPr>
          <w:b/>
          <w:color w:val="000000"/>
          <w:highlight w:val="none"/>
        </w:rPr>
        <w:t>、本项目不接受联合体投标。</w:t>
      </w:r>
    </w:p>
    <w:p>
      <w:pPr>
        <w:pStyle w:val="12"/>
        <w:ind w:firstLine="480" w:firstLineChars="200"/>
        <w:jc w:val="left"/>
        <w:rPr>
          <w:rFonts w:hint="eastAsia"/>
          <w:color w:val="000000"/>
          <w:szCs w:val="22"/>
          <w:highlight w:val="none"/>
        </w:rPr>
      </w:pPr>
    </w:p>
    <w:p>
      <w:pPr>
        <w:pStyle w:val="12"/>
        <w:ind w:firstLine="0"/>
        <w:rPr>
          <w:b/>
          <w:color w:val="000000"/>
          <w:highlight w:val="none"/>
        </w:rPr>
      </w:pPr>
      <w:r>
        <w:rPr>
          <w:b/>
          <w:color w:val="000000"/>
          <w:highlight w:val="none"/>
        </w:rPr>
        <w:t>二、项目概况：</w:t>
      </w:r>
    </w:p>
    <w:p>
      <w:pPr>
        <w:pStyle w:val="12"/>
        <w:ind w:left="2067" w:leftChars="200" w:hanging="1587"/>
        <w:rPr>
          <w:rFonts w:hint="eastAsia"/>
          <w:color w:val="000000"/>
          <w:highlight w:val="none"/>
        </w:rPr>
      </w:pPr>
      <w:r>
        <w:rPr>
          <w:color w:val="000000"/>
          <w:highlight w:val="none"/>
        </w:rPr>
        <w:t>1、项目名称：</w:t>
      </w:r>
      <w:r>
        <w:rPr>
          <w:rFonts w:hint="eastAsia"/>
          <w:color w:val="000000"/>
          <w:highlight w:val="none"/>
        </w:rPr>
        <w:t>复旦大学邯郸校区光学楼群遮阳系统采购</w:t>
      </w:r>
    </w:p>
    <w:p>
      <w:pPr>
        <w:pStyle w:val="12"/>
        <w:rPr>
          <w:color w:val="000000"/>
          <w:highlight w:val="none"/>
        </w:rPr>
      </w:pPr>
      <w:r>
        <w:rPr>
          <w:color w:val="000000"/>
          <w:highlight w:val="none"/>
        </w:rPr>
        <w:t>2、项目编号：</w:t>
      </w:r>
      <w:r>
        <w:rPr>
          <w:rFonts w:hint="eastAsia"/>
          <w:color w:val="000000"/>
          <w:highlight w:val="none"/>
        </w:rPr>
        <w:t>HW2021072604（招标编号：</w:t>
      </w:r>
      <w:r>
        <w:rPr>
          <w:rFonts w:hint="eastAsia"/>
          <w:color w:val="000000"/>
          <w:highlight w:val="none"/>
          <w:lang w:eastAsia="zh-CN"/>
        </w:rPr>
        <w:t>YX-FDCG-2021-008</w:t>
      </w:r>
      <w:r>
        <w:rPr>
          <w:rFonts w:hint="eastAsia"/>
          <w:color w:val="000000"/>
          <w:highlight w:val="none"/>
        </w:rPr>
        <w:t>）</w:t>
      </w:r>
    </w:p>
    <w:p>
      <w:pPr>
        <w:pStyle w:val="12"/>
        <w:rPr>
          <w:rFonts w:hint="eastAsia"/>
          <w:color w:val="000000"/>
          <w:highlight w:val="none"/>
        </w:rPr>
      </w:pPr>
      <w:r>
        <w:rPr>
          <w:color w:val="000000"/>
          <w:highlight w:val="none"/>
        </w:rPr>
        <w:t>3</w:t>
      </w:r>
      <w:r>
        <w:rPr>
          <w:rFonts w:hint="eastAsia"/>
          <w:color w:val="000000"/>
          <w:highlight w:val="none"/>
        </w:rPr>
        <w:t>、合同履行期限：合同签订后 30 日历天内完成供货并安装、调试完毕。</w:t>
      </w:r>
    </w:p>
    <w:p>
      <w:pPr>
        <w:pStyle w:val="12"/>
        <w:rPr>
          <w:color w:val="000000"/>
          <w:highlight w:val="none"/>
        </w:rPr>
      </w:pPr>
      <w:r>
        <w:rPr>
          <w:color w:val="000000"/>
          <w:highlight w:val="none"/>
        </w:rPr>
        <w:t>4、项目主要内容、数量及简要规格描述或项目基本概况介绍：</w:t>
      </w:r>
    </w:p>
    <w:p>
      <w:pPr>
        <w:pStyle w:val="12"/>
        <w:ind w:firstLine="480" w:firstLineChars="200"/>
        <w:jc w:val="left"/>
        <w:rPr>
          <w:rFonts w:hint="eastAsia"/>
          <w:color w:val="000000"/>
          <w:szCs w:val="22"/>
          <w:highlight w:val="none"/>
        </w:rPr>
      </w:pPr>
      <w:r>
        <w:rPr>
          <w:rFonts w:hint="eastAsia"/>
          <w:color w:val="000000"/>
          <w:szCs w:val="22"/>
          <w:highlight w:val="none"/>
        </w:rPr>
        <w:t>本次遮阳系统采购包含手动布帘（包括轨道、布帘、挂钩、绑带、安装配件等）、手动卷帘（包括制头、尾插、卷管、面料、拉珠、安装配件等）及电动卷帘（包括电机、卷管、面料、安装配件、控制系统）及相关配套设施的供货及安装，包括遮阳系统设备优化设计、材料送检、供货、运输及安装、调试、培训、验收、质保期内免费维修保养等。投标方提供的系统必须是一个完整的系统，除本招标文件中所明确列出的要求外，凡系统正常运行具备的功能和设备及配件，均应包括在本项目范围中。预埋管线不在本次采购范围内。</w:t>
      </w:r>
    </w:p>
    <w:p>
      <w:pPr>
        <w:pStyle w:val="12"/>
        <w:ind w:firstLine="480" w:firstLineChars="200"/>
        <w:jc w:val="left"/>
        <w:rPr>
          <w:rFonts w:hint="eastAsia"/>
          <w:color w:val="000000"/>
          <w:szCs w:val="22"/>
          <w:highlight w:val="none"/>
        </w:rPr>
      </w:pPr>
      <w:r>
        <w:rPr>
          <w:rFonts w:hint="eastAsia"/>
          <w:color w:val="000000"/>
          <w:szCs w:val="22"/>
          <w:highlight w:val="none"/>
        </w:rPr>
        <w:t>本项目预算金额人民币 42 万元。本次招标最高限价为 42 万元。</w:t>
      </w:r>
    </w:p>
    <w:p>
      <w:pPr>
        <w:pStyle w:val="12"/>
        <w:ind w:firstLine="480" w:firstLineChars="200"/>
        <w:jc w:val="left"/>
        <w:rPr>
          <w:rFonts w:hint="eastAsia"/>
          <w:color w:val="000000"/>
          <w:szCs w:val="22"/>
          <w:highlight w:val="none"/>
        </w:rPr>
      </w:pPr>
      <w:r>
        <w:rPr>
          <w:rFonts w:hint="eastAsia"/>
          <w:color w:val="000000"/>
          <w:szCs w:val="22"/>
          <w:highlight w:val="none"/>
        </w:rPr>
        <w:t>规格配置见招标文件第三章“技术规格”。</w:t>
      </w:r>
    </w:p>
    <w:p>
      <w:pPr>
        <w:pStyle w:val="12"/>
        <w:ind w:firstLine="0"/>
        <w:rPr>
          <w:b/>
          <w:color w:val="000000"/>
          <w:highlight w:val="none"/>
        </w:rPr>
      </w:pPr>
      <w:r>
        <w:rPr>
          <w:b/>
          <w:color w:val="000000"/>
          <w:highlight w:val="none"/>
        </w:rPr>
        <w:t>三、招标文件的获取：</w:t>
      </w:r>
    </w:p>
    <w:p>
      <w:pPr>
        <w:pStyle w:val="12"/>
        <w:rPr>
          <w:rFonts w:hint="eastAsia"/>
          <w:color w:val="000000"/>
          <w:highlight w:val="none"/>
        </w:rPr>
      </w:pPr>
      <w:r>
        <w:rPr>
          <w:rFonts w:hint="eastAsia"/>
          <w:color w:val="000000"/>
          <w:highlight w:val="none"/>
        </w:rPr>
        <w:t>（1）招标文件获取时间及获取方式：凡愿参加投标的合格供应商应于</w:t>
      </w:r>
      <w:r>
        <w:rPr>
          <w:rFonts w:hint="eastAsia"/>
          <w:color w:val="000000"/>
          <w:highlight w:val="none"/>
          <w:lang w:eastAsia="zh-CN"/>
        </w:rPr>
        <w:t>2021年9月2日</w:t>
      </w:r>
      <w:r>
        <w:rPr>
          <w:rFonts w:hint="eastAsia"/>
          <w:color w:val="000000"/>
          <w:highlight w:val="none"/>
        </w:rPr>
        <w:t>起至</w:t>
      </w:r>
      <w:r>
        <w:rPr>
          <w:rFonts w:hint="eastAsia"/>
          <w:color w:val="000000"/>
          <w:highlight w:val="none"/>
          <w:lang w:eastAsia="zh-CN"/>
        </w:rPr>
        <w:t>2021年9月9日</w:t>
      </w:r>
      <w:r>
        <w:rPr>
          <w:rFonts w:hint="eastAsia"/>
          <w:color w:val="000000"/>
          <w:highlight w:val="none"/>
        </w:rPr>
        <w:t>止（5个工作日，公休日除外）（北京时间），通过复旦大学招采进宝电子招投标系统（http://fudan.zcjb.com.cn/ebidding/login）免费获取招标文件，详见《复旦大学招采进宝电子招投标系统操作手册》（投标人分册）。</w:t>
      </w:r>
    </w:p>
    <w:p>
      <w:pPr>
        <w:pStyle w:val="12"/>
        <w:ind w:firstLine="480" w:firstLineChars="200"/>
        <w:jc w:val="left"/>
        <w:rPr>
          <w:rFonts w:hint="eastAsia"/>
          <w:color w:val="000000"/>
          <w:szCs w:val="22"/>
          <w:highlight w:val="none"/>
        </w:rPr>
      </w:pPr>
    </w:p>
    <w:p>
      <w:pPr>
        <w:pStyle w:val="12"/>
        <w:ind w:firstLine="0"/>
        <w:rPr>
          <w:rFonts w:hint="eastAsia"/>
          <w:color w:val="000000"/>
          <w:highlight w:val="none"/>
        </w:rPr>
      </w:pPr>
      <w:r>
        <w:rPr>
          <w:rFonts w:hint="eastAsia"/>
          <w:b/>
          <w:color w:val="000000"/>
          <w:highlight w:val="none"/>
        </w:rPr>
        <w:t>四、公告期限：</w:t>
      </w:r>
      <w:r>
        <w:rPr>
          <w:rFonts w:hint="eastAsia"/>
          <w:color w:val="000000"/>
          <w:highlight w:val="none"/>
        </w:rPr>
        <w:t>本项目招标公告的公告期限为5个工作日。</w:t>
      </w:r>
    </w:p>
    <w:p>
      <w:pPr>
        <w:pStyle w:val="12"/>
        <w:ind w:firstLine="480" w:firstLineChars="200"/>
        <w:jc w:val="left"/>
        <w:rPr>
          <w:rFonts w:hint="eastAsia"/>
          <w:color w:val="000000"/>
          <w:highlight w:val="none"/>
        </w:rPr>
      </w:pPr>
    </w:p>
    <w:p>
      <w:pPr>
        <w:pStyle w:val="12"/>
        <w:tabs>
          <w:tab w:val="left" w:pos="5565"/>
          <w:tab w:val="left" w:pos="5595"/>
        </w:tabs>
        <w:ind w:firstLine="0"/>
        <w:rPr>
          <w:b/>
          <w:color w:val="000000"/>
          <w:highlight w:val="none"/>
        </w:rPr>
      </w:pPr>
      <w:r>
        <w:rPr>
          <w:rFonts w:hint="eastAsia"/>
          <w:b/>
          <w:color w:val="000000"/>
          <w:highlight w:val="none"/>
        </w:rPr>
        <w:t>五</w:t>
      </w:r>
      <w:r>
        <w:rPr>
          <w:b/>
          <w:color w:val="000000"/>
          <w:highlight w:val="none"/>
        </w:rPr>
        <w:t>、开标</w:t>
      </w:r>
      <w:r>
        <w:rPr>
          <w:rFonts w:hint="eastAsia"/>
          <w:b/>
          <w:color w:val="000000"/>
          <w:highlight w:val="none"/>
        </w:rPr>
        <w:t>：</w:t>
      </w:r>
    </w:p>
    <w:p>
      <w:pPr>
        <w:pStyle w:val="12"/>
        <w:rPr>
          <w:b/>
          <w:color w:val="000000"/>
          <w:highlight w:val="none"/>
        </w:rPr>
      </w:pPr>
      <w:r>
        <w:rPr>
          <w:b/>
          <w:color w:val="000000"/>
          <w:highlight w:val="none"/>
        </w:rPr>
        <w:t>1</w:t>
      </w:r>
      <w:r>
        <w:rPr>
          <w:rFonts w:hint="eastAsia"/>
          <w:b/>
          <w:color w:val="000000"/>
          <w:highlight w:val="none"/>
        </w:rPr>
        <w:t>．</w:t>
      </w:r>
      <w:r>
        <w:rPr>
          <w:b/>
          <w:color w:val="000000"/>
          <w:highlight w:val="none"/>
        </w:rPr>
        <w:t>开标</w:t>
      </w:r>
      <w:r>
        <w:rPr>
          <w:rFonts w:hint="eastAsia"/>
          <w:b/>
          <w:color w:val="000000"/>
          <w:highlight w:val="none"/>
        </w:rPr>
        <w:t>和</w:t>
      </w:r>
      <w:r>
        <w:rPr>
          <w:b/>
          <w:color w:val="000000"/>
          <w:highlight w:val="none"/>
        </w:rPr>
        <w:t>投标截止时间：</w:t>
      </w:r>
      <w:r>
        <w:rPr>
          <w:rFonts w:hint="eastAsia"/>
          <w:b/>
          <w:color w:val="000000"/>
          <w:highlight w:val="none"/>
          <w:lang w:eastAsia="zh-CN"/>
        </w:rPr>
        <w:t>2021年9月23日</w:t>
      </w:r>
      <w:r>
        <w:rPr>
          <w:rFonts w:hint="eastAsia"/>
          <w:b/>
          <w:color w:val="000000"/>
          <w:highlight w:val="none"/>
        </w:rPr>
        <w:t>9</w:t>
      </w:r>
      <w:r>
        <w:rPr>
          <w:b/>
          <w:color w:val="000000"/>
          <w:highlight w:val="none"/>
        </w:rPr>
        <w:t>:</w:t>
      </w:r>
      <w:r>
        <w:rPr>
          <w:rFonts w:hint="eastAsia"/>
          <w:b/>
          <w:color w:val="000000"/>
          <w:highlight w:val="none"/>
        </w:rPr>
        <w:t>30</w:t>
      </w:r>
      <w:r>
        <w:rPr>
          <w:b/>
          <w:color w:val="000000"/>
          <w:highlight w:val="none"/>
        </w:rPr>
        <w:t>时，迟交或不符合规定的投标文件恕不接受。</w:t>
      </w:r>
    </w:p>
    <w:p>
      <w:pPr>
        <w:pStyle w:val="12"/>
        <w:rPr>
          <w:b/>
          <w:color w:val="000000"/>
          <w:highlight w:val="none"/>
        </w:rPr>
      </w:pPr>
      <w:r>
        <w:rPr>
          <w:rFonts w:hint="eastAsia"/>
          <w:b/>
          <w:color w:val="000000"/>
          <w:highlight w:val="none"/>
        </w:rPr>
        <w:t>2．开标形式（</w:t>
      </w:r>
      <w:r>
        <w:rPr>
          <w:rFonts w:hint="eastAsia"/>
          <w:b/>
          <w:color w:val="000000"/>
          <w:highlight w:val="none"/>
          <w:lang w:eastAsia="zh-CN"/>
        </w:rPr>
        <w:t>投标人任选其一，因疫情防控要求建议选择远程开标</w:t>
      </w:r>
      <w:r>
        <w:rPr>
          <w:rFonts w:hint="eastAsia"/>
          <w:b/>
          <w:color w:val="000000"/>
          <w:highlight w:val="none"/>
        </w:rPr>
        <w:t>）：</w:t>
      </w:r>
    </w:p>
    <w:p>
      <w:pPr>
        <w:numPr>
          <w:ilvl w:val="0"/>
          <w:numId w:val="5"/>
        </w:numPr>
        <w:rPr>
          <w:color w:val="000000"/>
          <w:highlight w:val="none"/>
        </w:rPr>
      </w:pPr>
      <w:r>
        <w:rPr>
          <w:rFonts w:hint="eastAsia"/>
          <w:b/>
          <w:color w:val="000000"/>
          <w:highlight w:val="none"/>
        </w:rPr>
        <w:t>现场开标：</w:t>
      </w:r>
      <w:r>
        <w:rPr>
          <w:rFonts w:hint="eastAsia"/>
          <w:color w:val="000000"/>
          <w:highlight w:val="none"/>
        </w:rPr>
        <w:t>投标人携带与制作投标文件时同一数字认证证书（CA），并自备电脑（自带移动网络），前往开标地点，进行投标文件解密。</w:t>
      </w:r>
    </w:p>
    <w:p>
      <w:pPr>
        <w:pStyle w:val="12"/>
        <w:ind w:left="904" w:firstLine="0"/>
        <w:rPr>
          <w:rFonts w:hint="eastAsia"/>
          <w:color w:val="000000"/>
          <w:highlight w:val="none"/>
        </w:rPr>
      </w:pPr>
      <w:r>
        <w:rPr>
          <w:rFonts w:hint="eastAsia"/>
          <w:color w:val="000000"/>
          <w:highlight w:val="none"/>
        </w:rPr>
        <w:t>开标地点：</w:t>
      </w:r>
      <w:r>
        <w:rPr>
          <w:rFonts w:hint="eastAsia"/>
          <w:color w:val="000000"/>
          <w:highlight w:val="none"/>
          <w:lang w:eastAsia="zh-CN"/>
        </w:rPr>
        <w:t>上海市徐汇区零陵路583号海洋石油大厦1206会议室</w:t>
      </w:r>
      <w:r>
        <w:rPr>
          <w:rFonts w:hint="eastAsia"/>
          <w:color w:val="000000"/>
          <w:highlight w:val="none"/>
        </w:rPr>
        <w:t>。</w:t>
      </w:r>
    </w:p>
    <w:p>
      <w:pPr>
        <w:pStyle w:val="12"/>
        <w:numPr>
          <w:ilvl w:val="0"/>
          <w:numId w:val="5"/>
        </w:numPr>
        <w:rPr>
          <w:rFonts w:hint="eastAsia"/>
          <w:color w:val="000000"/>
          <w:highlight w:val="none"/>
        </w:rPr>
      </w:pPr>
      <w:r>
        <w:rPr>
          <w:rFonts w:hint="eastAsia"/>
          <w:b/>
          <w:color w:val="000000"/>
          <w:highlight w:val="none"/>
        </w:rPr>
        <w:t>远程开标：</w:t>
      </w:r>
      <w:r>
        <w:rPr>
          <w:rFonts w:hint="eastAsia"/>
          <w:color w:val="000000"/>
          <w:highlight w:val="none"/>
        </w:rPr>
        <w:t>投标人使用与制作投标文件时同一数字认证证书（CA），远程在线进行投标文件解密。</w:t>
      </w:r>
    </w:p>
    <w:p>
      <w:pPr>
        <w:pStyle w:val="12"/>
        <w:rPr>
          <w:b/>
          <w:color w:val="000000"/>
          <w:highlight w:val="none"/>
        </w:rPr>
      </w:pPr>
      <w:r>
        <w:rPr>
          <w:rFonts w:hint="eastAsia"/>
          <w:b/>
          <w:color w:val="000000"/>
          <w:highlight w:val="none"/>
        </w:rPr>
        <w:t>3．电子投标文件解密时限：</w:t>
      </w:r>
    </w:p>
    <w:p>
      <w:pPr>
        <w:ind w:firstLine="720" w:firstLineChars="300"/>
        <w:rPr>
          <w:rFonts w:hint="eastAsia"/>
          <w:color w:val="000000"/>
          <w:highlight w:val="none"/>
        </w:rPr>
      </w:pPr>
      <w:r>
        <w:rPr>
          <w:rFonts w:hint="eastAsia"/>
          <w:color w:val="000000"/>
          <w:highlight w:val="none"/>
        </w:rPr>
        <w:t>电子投标文件解密截止时间：</w:t>
      </w:r>
      <w:r>
        <w:rPr>
          <w:rFonts w:hint="eastAsia"/>
          <w:color w:val="000000"/>
          <w:highlight w:val="none"/>
          <w:lang w:eastAsia="zh-CN"/>
        </w:rPr>
        <w:t>2021年9月23日</w:t>
      </w:r>
      <w:r>
        <w:rPr>
          <w:rFonts w:hint="eastAsia"/>
          <w:color w:val="000000"/>
          <w:highlight w:val="none"/>
        </w:rPr>
        <w:t>10</w:t>
      </w:r>
      <w:r>
        <w:rPr>
          <w:color w:val="000000"/>
          <w:highlight w:val="none"/>
        </w:rPr>
        <w:t>:</w:t>
      </w:r>
      <w:r>
        <w:rPr>
          <w:rFonts w:hint="eastAsia"/>
          <w:color w:val="000000"/>
          <w:highlight w:val="none"/>
        </w:rPr>
        <w:t>00</w:t>
      </w:r>
      <w:r>
        <w:rPr>
          <w:color w:val="000000"/>
          <w:highlight w:val="none"/>
        </w:rPr>
        <w:t>时</w:t>
      </w:r>
      <w:r>
        <w:rPr>
          <w:rFonts w:hint="eastAsia"/>
          <w:color w:val="000000"/>
          <w:highlight w:val="none"/>
        </w:rPr>
        <w:t>（投标截止时间后30分钟）。因投标人的原因导致电子投标文件未能成功解密的，招标人不予受理。</w:t>
      </w:r>
    </w:p>
    <w:p>
      <w:pPr>
        <w:pStyle w:val="12"/>
        <w:rPr>
          <w:rFonts w:hint="eastAsia"/>
          <w:b/>
          <w:color w:val="000000"/>
          <w:highlight w:val="none"/>
        </w:rPr>
      </w:pPr>
      <w:r>
        <w:rPr>
          <w:rFonts w:hint="eastAsia"/>
          <w:b/>
          <w:color w:val="000000"/>
          <w:highlight w:val="none"/>
        </w:rPr>
        <w:t>4、投标文件的纸质归档：</w:t>
      </w:r>
    </w:p>
    <w:p>
      <w:pPr>
        <w:ind w:firstLine="480" w:firstLineChars="200"/>
        <w:rPr>
          <w:rFonts w:hint="eastAsia"/>
          <w:color w:val="000000"/>
          <w:highlight w:val="none"/>
        </w:rPr>
      </w:pPr>
      <w:r>
        <w:rPr>
          <w:rFonts w:hint="eastAsia"/>
          <w:color w:val="000000"/>
          <w:highlight w:val="none"/>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pPr>
        <w:ind w:firstLine="480" w:firstLineChars="200"/>
        <w:rPr>
          <w:rFonts w:hint="eastAsia"/>
          <w:color w:val="000000"/>
          <w:highlight w:val="none"/>
        </w:rPr>
      </w:pPr>
      <w:r>
        <w:rPr>
          <w:rFonts w:hint="eastAsia"/>
          <w:color w:val="000000"/>
          <w:highlight w:val="none"/>
        </w:rPr>
        <w:t>（2）邮寄地址：上海市徐汇区零陵路583号海洋石油大厦1216室（吴佳，86-21-33312773）</w:t>
      </w:r>
    </w:p>
    <w:p>
      <w:pPr>
        <w:pStyle w:val="12"/>
        <w:ind w:firstLine="480" w:firstLineChars="200"/>
        <w:jc w:val="left"/>
        <w:rPr>
          <w:rFonts w:hint="eastAsia"/>
          <w:color w:val="000000"/>
          <w:szCs w:val="22"/>
          <w:highlight w:val="none"/>
        </w:rPr>
      </w:pPr>
    </w:p>
    <w:p>
      <w:pPr>
        <w:pStyle w:val="12"/>
        <w:ind w:firstLine="0"/>
        <w:rPr>
          <w:b/>
          <w:color w:val="000000"/>
          <w:highlight w:val="none"/>
        </w:rPr>
      </w:pPr>
      <w:r>
        <w:rPr>
          <w:rFonts w:hint="eastAsia"/>
          <w:b/>
          <w:color w:val="000000"/>
          <w:highlight w:val="none"/>
        </w:rPr>
        <w:t>六</w:t>
      </w:r>
      <w:r>
        <w:rPr>
          <w:b/>
          <w:color w:val="000000"/>
          <w:highlight w:val="none"/>
        </w:rPr>
        <w:t>、其他事项：</w:t>
      </w:r>
    </w:p>
    <w:p>
      <w:pPr>
        <w:pStyle w:val="12"/>
        <w:rPr>
          <w:rFonts w:hint="eastAsia"/>
          <w:color w:val="000000"/>
          <w:highlight w:val="none"/>
        </w:rPr>
      </w:pPr>
      <w:r>
        <w:rPr>
          <w:rFonts w:hint="eastAsia"/>
          <w:color w:val="000000"/>
          <w:highlight w:val="none"/>
        </w:rPr>
        <w:t>1．本次招标执行政府强制或优先采购节能和环境标志产品、支持中小微企业、促进残疾人就业、支持监狱和戒毒企业、扶持不发达地区和少数民族地区以及限制采购进口产品等相关政策</w:t>
      </w:r>
      <w:r>
        <w:rPr>
          <w:color w:val="000000"/>
          <w:highlight w:val="none"/>
        </w:rPr>
        <w:t>。有兴趣的合格投标人可从以下地址得到进一步的信息和查看招标文件。</w:t>
      </w:r>
    </w:p>
    <w:p>
      <w:pPr>
        <w:pStyle w:val="12"/>
        <w:rPr>
          <w:rFonts w:hint="eastAsia"/>
          <w:color w:val="000000"/>
          <w:highlight w:val="none"/>
        </w:rPr>
      </w:pPr>
      <w:r>
        <w:rPr>
          <w:rFonts w:hint="eastAsia"/>
          <w:color w:val="000000"/>
          <w:highlight w:val="none"/>
        </w:rPr>
        <w:t>2．首次注册。首次注册的供应商请登录到复旦大学招采进宝电子招投标系统(http://fudan.zcjb.com.cn/ebidding/login）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400-019-2166转4。</w:t>
      </w:r>
    </w:p>
    <w:p>
      <w:pPr>
        <w:pStyle w:val="12"/>
        <w:rPr>
          <w:color w:val="000000"/>
          <w:highlight w:val="none"/>
        </w:rPr>
      </w:pPr>
      <w:r>
        <w:rPr>
          <w:rFonts w:hint="eastAsia"/>
          <w:color w:val="000000"/>
          <w:highlight w:val="none"/>
        </w:rPr>
        <w:t>3．数字证书：供应商在参与投标的过程中须使用数字证书（</w:t>
      </w:r>
      <w:r>
        <w:rPr>
          <w:color w:val="000000"/>
          <w:highlight w:val="none"/>
        </w:rPr>
        <w:t>CA</w:t>
      </w:r>
      <w:r>
        <w:rPr>
          <w:rFonts w:hint="eastAsia"/>
          <w:color w:val="000000"/>
          <w:highlight w:val="none"/>
        </w:rPr>
        <w:t>），复旦大学招采进宝电子招投标系统支持上海数字认证中心数字证书（</w:t>
      </w:r>
      <w:r>
        <w:rPr>
          <w:color w:val="000000"/>
          <w:highlight w:val="none"/>
        </w:rPr>
        <w:t>SHECA</w:t>
      </w:r>
      <w:r>
        <w:rPr>
          <w:rFonts w:hint="eastAsia"/>
          <w:color w:val="000000"/>
          <w:highlight w:val="none"/>
        </w:rPr>
        <w:t>、上海</w:t>
      </w:r>
      <w:r>
        <w:rPr>
          <w:color w:val="000000"/>
          <w:highlight w:val="none"/>
        </w:rPr>
        <w:t>CA</w:t>
      </w:r>
      <w:r>
        <w:rPr>
          <w:rFonts w:hint="eastAsia"/>
          <w:color w:val="000000"/>
          <w:highlight w:val="none"/>
        </w:rPr>
        <w:t>、上海市法人一证通）和中国金融认证中心数字证书（</w:t>
      </w:r>
      <w:r>
        <w:rPr>
          <w:color w:val="000000"/>
          <w:highlight w:val="none"/>
        </w:rPr>
        <w:t>CFCA</w:t>
      </w:r>
      <w:r>
        <w:rPr>
          <w:rFonts w:hint="eastAsia"/>
          <w:color w:val="000000"/>
          <w:highlight w:val="none"/>
        </w:rPr>
        <w:t>）等主流</w:t>
      </w:r>
      <w:r>
        <w:rPr>
          <w:color w:val="000000"/>
          <w:highlight w:val="none"/>
        </w:rPr>
        <w:t>CA</w:t>
      </w:r>
      <w:r>
        <w:rPr>
          <w:rFonts w:hint="eastAsia"/>
          <w:color w:val="000000"/>
          <w:highlight w:val="none"/>
        </w:rPr>
        <w:t>。已有相关</w:t>
      </w:r>
      <w:r>
        <w:rPr>
          <w:color w:val="000000"/>
          <w:highlight w:val="none"/>
        </w:rPr>
        <w:t>CA</w:t>
      </w:r>
      <w:r>
        <w:rPr>
          <w:rFonts w:hint="eastAsia"/>
          <w:color w:val="000000"/>
          <w:highlight w:val="none"/>
        </w:rPr>
        <w:t>的供应商无需重复办理。请未取得上述</w:t>
      </w:r>
      <w:r>
        <w:rPr>
          <w:color w:val="000000"/>
          <w:highlight w:val="none"/>
        </w:rPr>
        <w:t>CA</w:t>
      </w:r>
      <w:r>
        <w:rPr>
          <w:rFonts w:hint="eastAsia"/>
          <w:color w:val="000000"/>
          <w:highlight w:val="none"/>
        </w:rPr>
        <w:t>的供应商尽早向依法设立的电子认证服务机构申请用于身份认证和电子签章的数字证书，以免影响投标。相关网站：</w:t>
      </w:r>
    </w:p>
    <w:p>
      <w:pPr>
        <w:pStyle w:val="15"/>
        <w:ind w:firstLine="720" w:firstLineChars="300"/>
        <w:rPr>
          <w:color w:val="000000"/>
          <w:highlight w:val="none"/>
        </w:rPr>
      </w:pPr>
      <w:r>
        <w:rPr>
          <w:rFonts w:hint="eastAsia"/>
          <w:color w:val="000000"/>
          <w:highlight w:val="none"/>
        </w:rPr>
        <w:t>（</w:t>
      </w:r>
      <w:r>
        <w:rPr>
          <w:color w:val="000000"/>
          <w:highlight w:val="none"/>
        </w:rPr>
        <w:t>1</w:t>
      </w:r>
      <w:r>
        <w:rPr>
          <w:rFonts w:hint="eastAsia"/>
          <w:color w:val="000000"/>
          <w:highlight w:val="none"/>
        </w:rPr>
        <w:t>）上海数字认证中心（网址：</w:t>
      </w:r>
      <w:r>
        <w:rPr>
          <w:color w:val="000000"/>
          <w:highlight w:val="none"/>
        </w:rPr>
        <w:t>https://www.sheca.com/self-service</w:t>
      </w:r>
      <w:r>
        <w:rPr>
          <w:rFonts w:hint="eastAsia"/>
          <w:color w:val="000000"/>
          <w:highlight w:val="none"/>
        </w:rPr>
        <w:t>）；</w:t>
      </w:r>
    </w:p>
    <w:p>
      <w:pPr>
        <w:pStyle w:val="15"/>
        <w:ind w:firstLine="720" w:firstLineChars="300"/>
        <w:rPr>
          <w:color w:val="000000"/>
          <w:highlight w:val="none"/>
        </w:rPr>
      </w:pPr>
      <w:r>
        <w:rPr>
          <w:rFonts w:hint="eastAsia"/>
          <w:color w:val="000000"/>
          <w:highlight w:val="none"/>
        </w:rPr>
        <w:t>（</w:t>
      </w:r>
      <w:r>
        <w:rPr>
          <w:color w:val="000000"/>
          <w:highlight w:val="none"/>
        </w:rPr>
        <w:t>2</w:t>
      </w:r>
      <w:r>
        <w:rPr>
          <w:rFonts w:hint="eastAsia"/>
          <w:color w:val="000000"/>
          <w:highlight w:val="none"/>
        </w:rPr>
        <w:t>）中国金融认证中心（网址：</w:t>
      </w:r>
      <w:r>
        <w:rPr>
          <w:color w:val="000000"/>
          <w:highlight w:val="none"/>
        </w:rPr>
        <w:t>https://sq.cfca.com.cn/Web/login</w:t>
      </w:r>
      <w:r>
        <w:rPr>
          <w:rFonts w:hint="eastAsia"/>
          <w:color w:val="000000"/>
          <w:highlight w:val="none"/>
        </w:rPr>
        <w:t>）；</w:t>
      </w:r>
    </w:p>
    <w:p>
      <w:pPr>
        <w:pStyle w:val="12"/>
        <w:ind w:firstLine="720" w:firstLineChars="300"/>
        <w:rPr>
          <w:rFonts w:hint="eastAsia"/>
          <w:color w:val="000000"/>
          <w:highlight w:val="none"/>
        </w:rPr>
      </w:pPr>
      <w:r>
        <w:rPr>
          <w:rFonts w:hint="eastAsia"/>
          <w:color w:val="000000"/>
          <w:highlight w:val="none"/>
        </w:rPr>
        <w:t>（</w:t>
      </w:r>
      <w:r>
        <w:rPr>
          <w:color w:val="000000"/>
          <w:highlight w:val="none"/>
        </w:rPr>
        <w:t>3</w:t>
      </w:r>
      <w:r>
        <w:rPr>
          <w:rFonts w:hint="eastAsia"/>
          <w:color w:val="000000"/>
          <w:highlight w:val="none"/>
        </w:rPr>
        <w:t>）易招标（网址：</w:t>
      </w:r>
      <w:r>
        <w:rPr>
          <w:rStyle w:val="38"/>
          <w:color w:val="000000"/>
          <w:highlight w:val="none"/>
          <w:u w:val="none"/>
        </w:rPr>
        <w:t>https://bid.zcjb.com.cn/bca/product/dymca/fd/caApply.htm</w:t>
      </w:r>
      <w:r>
        <w:rPr>
          <w:rStyle w:val="38"/>
          <w:rFonts w:hint="eastAsia"/>
          <w:color w:val="000000"/>
          <w:highlight w:val="none"/>
          <w:u w:val="none"/>
        </w:rPr>
        <w:t>）。</w:t>
      </w:r>
    </w:p>
    <w:p>
      <w:pPr>
        <w:pStyle w:val="12"/>
        <w:ind w:firstLine="720" w:firstLineChars="300"/>
        <w:rPr>
          <w:rFonts w:hint="eastAsia"/>
          <w:color w:val="000000"/>
          <w:highlight w:val="none"/>
        </w:rPr>
      </w:pPr>
      <w:r>
        <w:rPr>
          <w:rFonts w:hint="eastAsia"/>
          <w:color w:val="000000"/>
          <w:highlight w:val="none"/>
        </w:rPr>
        <w:t>详见《复旦大学招采进宝电子招投标系统操作手册》（投标人分册）或详询技术支持，联系方式：400-019-2166转4，CA办理电话：010 8917 0159。</w:t>
      </w:r>
    </w:p>
    <w:p>
      <w:pPr>
        <w:pStyle w:val="12"/>
        <w:rPr>
          <w:rFonts w:hint="eastAsia"/>
          <w:color w:val="000000"/>
          <w:highlight w:val="none"/>
        </w:rPr>
      </w:pPr>
      <w:r>
        <w:rPr>
          <w:rFonts w:hint="eastAsia"/>
          <w:color w:val="000000"/>
          <w:highlight w:val="none"/>
        </w:rPr>
        <w:t>4．电子采购平台技术服务费：供应商递交投标文件时需向复旦招采系统的第三方运营机构支付电子采购平台技术服务费，收费标准为每投标人每包件支付人民币贰佰元（CNY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pPr>
        <w:pStyle w:val="12"/>
        <w:rPr>
          <w:color w:val="000000"/>
          <w:highlight w:val="none"/>
        </w:rPr>
      </w:pPr>
      <w:r>
        <w:rPr>
          <w:rFonts w:hint="eastAsia"/>
          <w:color w:val="000000"/>
          <w:highlight w:val="none"/>
        </w:rPr>
        <w:t>5．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pPr>
        <w:pStyle w:val="12"/>
        <w:ind w:firstLine="482" w:firstLineChars="200"/>
        <w:jc w:val="left"/>
        <w:rPr>
          <w:rFonts w:hint="eastAsia"/>
          <w:b/>
          <w:color w:val="000000"/>
          <w:highlight w:val="none"/>
        </w:rPr>
      </w:pPr>
    </w:p>
    <w:p>
      <w:pPr>
        <w:pStyle w:val="12"/>
        <w:ind w:firstLine="0"/>
        <w:rPr>
          <w:b/>
          <w:color w:val="000000"/>
          <w:highlight w:val="none"/>
        </w:rPr>
      </w:pPr>
      <w:r>
        <w:rPr>
          <w:rFonts w:hint="eastAsia"/>
          <w:b/>
          <w:color w:val="000000"/>
          <w:highlight w:val="none"/>
        </w:rPr>
        <w:t>七</w:t>
      </w:r>
      <w:r>
        <w:rPr>
          <w:b/>
          <w:color w:val="000000"/>
          <w:highlight w:val="none"/>
        </w:rPr>
        <w:t>、联系方式：</w:t>
      </w:r>
    </w:p>
    <w:p>
      <w:pPr>
        <w:pStyle w:val="12"/>
        <w:rPr>
          <w:color w:val="000000"/>
          <w:highlight w:val="none"/>
        </w:rPr>
      </w:pPr>
      <w:r>
        <w:rPr>
          <w:color w:val="000000"/>
          <w:highlight w:val="none"/>
        </w:rPr>
        <w:t>招标人：复旦大学</w:t>
      </w:r>
    </w:p>
    <w:p>
      <w:pPr>
        <w:pStyle w:val="12"/>
        <w:rPr>
          <w:color w:val="000000"/>
          <w:highlight w:val="none"/>
        </w:rPr>
      </w:pPr>
      <w:r>
        <w:rPr>
          <w:color w:val="000000"/>
          <w:highlight w:val="none"/>
        </w:rPr>
        <w:t>地址：上海市邯郸路220号</w:t>
      </w:r>
    </w:p>
    <w:p>
      <w:pPr>
        <w:pStyle w:val="12"/>
        <w:rPr>
          <w:color w:val="000000"/>
          <w:highlight w:val="none"/>
        </w:rPr>
      </w:pPr>
      <w:r>
        <w:rPr>
          <w:color w:val="000000"/>
          <w:highlight w:val="none"/>
        </w:rPr>
        <w:t>邮编：</w:t>
      </w:r>
      <w:r>
        <w:rPr>
          <w:rFonts w:hint="eastAsia"/>
          <w:color w:val="000000"/>
          <w:highlight w:val="none"/>
        </w:rPr>
        <w:t>200433</w:t>
      </w:r>
    </w:p>
    <w:p>
      <w:pPr>
        <w:pStyle w:val="12"/>
        <w:rPr>
          <w:rFonts w:hint="eastAsia"/>
          <w:color w:val="000000"/>
          <w:highlight w:val="none"/>
        </w:rPr>
      </w:pPr>
      <w:r>
        <w:rPr>
          <w:color w:val="000000"/>
          <w:highlight w:val="none"/>
        </w:rPr>
        <w:t>联系人：</w:t>
      </w:r>
      <w:r>
        <w:rPr>
          <w:rFonts w:hint="eastAsia"/>
          <w:color w:val="000000"/>
          <w:highlight w:val="none"/>
          <w:lang w:eastAsia="zh-CN"/>
        </w:rPr>
        <w:t>许</w:t>
      </w:r>
      <w:r>
        <w:rPr>
          <w:rFonts w:hint="eastAsia"/>
          <w:color w:val="000000"/>
          <w:highlight w:val="none"/>
        </w:rPr>
        <w:t>老师</w:t>
      </w:r>
    </w:p>
    <w:p>
      <w:pPr>
        <w:pStyle w:val="12"/>
        <w:rPr>
          <w:color w:val="000000"/>
          <w:highlight w:val="none"/>
        </w:rPr>
      </w:pPr>
      <w:r>
        <w:rPr>
          <w:color w:val="000000"/>
          <w:highlight w:val="none"/>
        </w:rPr>
        <w:t>电话：</w:t>
      </w:r>
      <w:r>
        <w:rPr>
          <w:rFonts w:hint="eastAsia"/>
          <w:color w:val="000000"/>
          <w:highlight w:val="none"/>
        </w:rPr>
        <w:t>021-65641327</w:t>
      </w:r>
    </w:p>
    <w:p>
      <w:pPr>
        <w:pStyle w:val="12"/>
        <w:rPr>
          <w:color w:val="000000"/>
          <w:highlight w:val="none"/>
        </w:rPr>
      </w:pPr>
    </w:p>
    <w:p>
      <w:pPr>
        <w:pStyle w:val="12"/>
        <w:rPr>
          <w:color w:val="000000"/>
          <w:highlight w:val="none"/>
        </w:rPr>
      </w:pPr>
      <w:r>
        <w:rPr>
          <w:color w:val="000000"/>
          <w:highlight w:val="none"/>
        </w:rPr>
        <w:t>招标</w:t>
      </w:r>
      <w:r>
        <w:rPr>
          <w:rFonts w:hint="eastAsia"/>
          <w:color w:val="000000"/>
          <w:highlight w:val="none"/>
        </w:rPr>
        <w:t>代理</w:t>
      </w:r>
      <w:r>
        <w:rPr>
          <w:color w:val="000000"/>
          <w:highlight w:val="none"/>
        </w:rPr>
        <w:t>机构：</w:t>
      </w:r>
      <w:r>
        <w:rPr>
          <w:rFonts w:hint="eastAsia"/>
          <w:color w:val="000000"/>
          <w:highlight w:val="none"/>
        </w:rPr>
        <w:t>上海银鑫建设咨询有限公司</w:t>
      </w:r>
    </w:p>
    <w:p>
      <w:pPr>
        <w:pStyle w:val="12"/>
        <w:rPr>
          <w:color w:val="000000"/>
          <w:highlight w:val="none"/>
        </w:rPr>
      </w:pPr>
      <w:r>
        <w:rPr>
          <w:color w:val="000000"/>
          <w:highlight w:val="none"/>
        </w:rPr>
        <w:t>地址：</w:t>
      </w:r>
      <w:r>
        <w:rPr>
          <w:rFonts w:hint="eastAsia"/>
          <w:color w:val="000000"/>
          <w:highlight w:val="none"/>
        </w:rPr>
        <w:t>上海市徐汇区零陵路583号海洋石油大厦1216室</w:t>
      </w:r>
    </w:p>
    <w:p>
      <w:pPr>
        <w:pStyle w:val="12"/>
        <w:rPr>
          <w:color w:val="000000"/>
          <w:highlight w:val="none"/>
        </w:rPr>
      </w:pPr>
      <w:r>
        <w:rPr>
          <w:color w:val="000000"/>
          <w:highlight w:val="none"/>
        </w:rPr>
        <w:t>邮编：</w:t>
      </w:r>
      <w:r>
        <w:rPr>
          <w:rFonts w:hint="eastAsia"/>
          <w:color w:val="000000"/>
          <w:highlight w:val="none"/>
        </w:rPr>
        <w:t>200030</w:t>
      </w:r>
    </w:p>
    <w:p>
      <w:pPr>
        <w:pStyle w:val="12"/>
        <w:rPr>
          <w:rFonts w:hint="eastAsia"/>
          <w:color w:val="000000"/>
          <w:highlight w:val="none"/>
        </w:rPr>
      </w:pPr>
      <w:r>
        <w:rPr>
          <w:color w:val="000000"/>
          <w:highlight w:val="none"/>
        </w:rPr>
        <w:t>联系人：</w:t>
      </w:r>
      <w:r>
        <w:rPr>
          <w:rFonts w:hint="eastAsia"/>
          <w:color w:val="000000"/>
          <w:highlight w:val="none"/>
        </w:rPr>
        <w:t>吴佳</w:t>
      </w:r>
    </w:p>
    <w:p>
      <w:pPr>
        <w:pStyle w:val="12"/>
        <w:rPr>
          <w:color w:val="000000"/>
          <w:highlight w:val="none"/>
        </w:rPr>
      </w:pPr>
      <w:r>
        <w:rPr>
          <w:color w:val="000000"/>
          <w:highlight w:val="none"/>
        </w:rPr>
        <w:t>电话：</w:t>
      </w:r>
      <w:r>
        <w:rPr>
          <w:rFonts w:hint="eastAsia"/>
          <w:color w:val="000000"/>
          <w:highlight w:val="none"/>
        </w:rPr>
        <w:t>021-33312773*802</w:t>
      </w:r>
    </w:p>
    <w:p>
      <w:pPr>
        <w:pStyle w:val="12"/>
        <w:rPr>
          <w:color w:val="000000"/>
          <w:highlight w:val="none"/>
        </w:rPr>
      </w:pPr>
      <w:r>
        <w:rPr>
          <w:color w:val="000000"/>
          <w:highlight w:val="none"/>
        </w:rPr>
        <w:t>邮箱：</w:t>
      </w:r>
      <w:r>
        <w:rPr>
          <w:rFonts w:hint="eastAsia"/>
          <w:color w:val="000000"/>
          <w:highlight w:val="none"/>
        </w:rPr>
        <w:t>344605699@qq.com</w:t>
      </w:r>
    </w:p>
    <w:p>
      <w:pPr>
        <w:pStyle w:val="12"/>
        <w:rPr>
          <w:rFonts w:hint="eastAsia"/>
          <w:color w:val="000000"/>
          <w:highlight w:val="none"/>
        </w:rPr>
      </w:pPr>
    </w:p>
    <w:p>
      <w:pPr>
        <w:pStyle w:val="12"/>
        <w:rPr>
          <w:rFonts w:hint="eastAsia"/>
          <w:color w:val="000000"/>
          <w:highlight w:val="none"/>
        </w:rPr>
      </w:pPr>
      <w:r>
        <w:rPr>
          <w:rFonts w:hint="eastAsia"/>
          <w:color w:val="000000"/>
          <w:highlight w:val="none"/>
        </w:rPr>
        <w:t>技术服务</w:t>
      </w:r>
      <w:r>
        <w:rPr>
          <w:color w:val="000000"/>
          <w:highlight w:val="none"/>
        </w:rPr>
        <w:t>平台：</w:t>
      </w:r>
      <w:r>
        <w:rPr>
          <w:rFonts w:hint="eastAsia"/>
          <w:color w:val="000000"/>
          <w:highlight w:val="none"/>
        </w:rPr>
        <w:t>复旦大学招采进宝电子招投标系统</w:t>
      </w:r>
    </w:p>
    <w:p>
      <w:pPr>
        <w:pStyle w:val="12"/>
        <w:rPr>
          <w:color w:val="000000"/>
          <w:highlight w:val="none"/>
        </w:rPr>
      </w:pPr>
      <w:r>
        <w:rPr>
          <w:color w:val="000000"/>
          <w:highlight w:val="none"/>
        </w:rPr>
        <w:t>联系方式：400-019-2166转4</w:t>
      </w:r>
    </w:p>
    <w:p>
      <w:pPr>
        <w:pStyle w:val="12"/>
        <w:rPr>
          <w:color w:val="000000"/>
          <w:highlight w:val="none"/>
        </w:rPr>
      </w:pPr>
    </w:p>
    <w:p>
      <w:pPr>
        <w:pStyle w:val="12"/>
        <w:rPr>
          <w:color w:val="000000"/>
          <w:highlight w:val="none"/>
        </w:rPr>
      </w:pPr>
      <w:r>
        <w:rPr>
          <w:color w:val="000000"/>
          <w:highlight w:val="none"/>
        </w:rPr>
        <w:t>提交保证金帐户信息：</w:t>
      </w:r>
    </w:p>
    <w:p>
      <w:pPr>
        <w:pStyle w:val="12"/>
        <w:rPr>
          <w:color w:val="000000"/>
          <w:highlight w:val="none"/>
        </w:rPr>
      </w:pPr>
      <w:r>
        <w:rPr>
          <w:color w:val="000000"/>
          <w:highlight w:val="none"/>
        </w:rPr>
        <w:t>帐 户 名：</w:t>
      </w:r>
      <w:r>
        <w:rPr>
          <w:rFonts w:hint="eastAsia"/>
          <w:color w:val="000000"/>
          <w:highlight w:val="none"/>
        </w:rPr>
        <w:t>上海银鑫建设咨询有限公司</w:t>
      </w:r>
    </w:p>
    <w:p>
      <w:pPr>
        <w:pStyle w:val="12"/>
        <w:rPr>
          <w:color w:val="000000"/>
          <w:highlight w:val="none"/>
        </w:rPr>
      </w:pPr>
      <w:r>
        <w:rPr>
          <w:color w:val="000000"/>
          <w:highlight w:val="none"/>
        </w:rPr>
        <w:t>开户银行：</w:t>
      </w:r>
      <w:r>
        <w:rPr>
          <w:rFonts w:hint="eastAsia"/>
          <w:color w:val="000000"/>
          <w:highlight w:val="none"/>
        </w:rPr>
        <w:t>建行上海第五支行</w:t>
      </w:r>
    </w:p>
    <w:p>
      <w:pPr>
        <w:pStyle w:val="12"/>
        <w:rPr>
          <w:color w:val="000000"/>
          <w:highlight w:val="none"/>
        </w:rPr>
      </w:pPr>
      <w:r>
        <w:rPr>
          <w:color w:val="000000"/>
          <w:highlight w:val="none"/>
        </w:rPr>
        <w:t>帐    号：</w:t>
      </w:r>
      <w:r>
        <w:rPr>
          <w:rFonts w:hint="eastAsia"/>
          <w:color w:val="000000"/>
          <w:highlight w:val="none"/>
        </w:rPr>
        <w:t>31001505400050017159</w:t>
      </w:r>
    </w:p>
    <w:p>
      <w:pPr>
        <w:rPr>
          <w:color w:val="000000"/>
          <w:highlight w:val="none"/>
        </w:rPr>
      </w:pPr>
    </w:p>
    <w:p>
      <w:pPr>
        <w:rPr>
          <w:color w:val="000000"/>
          <w:highlight w:val="none"/>
        </w:rPr>
        <w:sectPr>
          <w:headerReference r:id="rId15" w:type="first"/>
          <w:footerReference r:id="rId18" w:type="first"/>
          <w:headerReference r:id="rId13" w:type="default"/>
          <w:footerReference r:id="rId16" w:type="default"/>
          <w:headerReference r:id="rId14" w:type="even"/>
          <w:footerReference r:id="rId17" w:type="even"/>
          <w:type w:val="oddPage"/>
          <w:pgSz w:w="11907" w:h="16840"/>
          <w:pgMar w:top="1588" w:right="1021" w:bottom="1474" w:left="1021" w:header="1021" w:footer="992" w:gutter="340"/>
          <w:pgBorders>
            <w:top w:val="none" w:sz="0" w:space="0"/>
            <w:left w:val="none" w:sz="0" w:space="0"/>
            <w:bottom w:val="none" w:sz="0" w:space="0"/>
            <w:right w:val="none" w:sz="0" w:space="0"/>
          </w:pgBorders>
          <w:pgNumType w:start="1"/>
          <w:cols w:space="720" w:num="1"/>
          <w:titlePg/>
        </w:sectPr>
      </w:pPr>
    </w:p>
    <w:p>
      <w:pPr>
        <w:rPr>
          <w:color w:val="000000"/>
          <w:highlight w:val="none"/>
        </w:rPr>
      </w:pPr>
      <w:bookmarkStart w:id="25" w:name="_Toc430898676"/>
      <w:bookmarkStart w:id="26" w:name="_Toc434897191"/>
    </w:p>
    <w:p>
      <w:pPr>
        <w:rPr>
          <w:color w:val="000000"/>
          <w:highlight w:val="none"/>
        </w:rPr>
      </w:pPr>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hint="eastAsia" w:eastAsia="楷体"/>
          <w:color w:val="000000"/>
          <w:highlight w:val="none"/>
        </w:rPr>
      </w:pPr>
    </w:p>
    <w:p>
      <w:pPr>
        <w:rPr>
          <w:color w:val="000000"/>
          <w:highlight w:val="none"/>
        </w:rPr>
      </w:pPr>
    </w:p>
    <w:p>
      <w:pPr>
        <w:spacing w:before="160"/>
        <w:rPr>
          <w:color w:val="000000"/>
          <w:highlight w:val="none"/>
        </w:rPr>
      </w:pPr>
    </w:p>
    <w:p>
      <w:pPr>
        <w:spacing w:before="160"/>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27" w:name="_Toc503130324"/>
      <w:r>
        <w:rPr>
          <w:rFonts w:ascii="Times New Roman" w:hAnsi="Times New Roman"/>
          <w:color w:val="000000"/>
          <w:highlight w:val="none"/>
        </w:rPr>
        <w:t>第一章  投标人须知及前附表</w:t>
      </w:r>
      <w:bookmarkEnd w:id="27"/>
    </w:p>
    <w:bookmarkEnd w:id="25"/>
    <w:bookmarkEnd w:id="26"/>
    <w:p>
      <w:pPr>
        <w:pStyle w:val="24"/>
        <w:spacing w:before="320" w:after="160"/>
        <w:jc w:val="center"/>
        <w:rPr>
          <w:rFonts w:ascii="Times New Roman"/>
          <w:color w:val="000000"/>
          <w:highlight w:val="none"/>
        </w:rPr>
      </w:pPr>
      <w:r>
        <w:rPr>
          <w:color w:val="000000"/>
          <w:highlight w:val="none"/>
        </w:rPr>
        <w:br w:type="page"/>
      </w:r>
      <w:r>
        <w:rPr>
          <w:rFonts w:ascii="Times New Roman"/>
          <w:color w:val="000000"/>
          <w:sz w:val="30"/>
          <w:highlight w:val="none"/>
        </w:rPr>
        <w:t>分目录</w:t>
      </w:r>
      <w:r>
        <w:rPr>
          <w:color w:val="000000"/>
          <w:highlight w:val="none"/>
        </w:rPr>
        <w:fldChar w:fldCharType="begin"/>
      </w:r>
      <w:r>
        <w:rPr>
          <w:color w:val="000000"/>
          <w:highlight w:val="none"/>
        </w:rPr>
        <w:instrText xml:space="preserve"> TOC \t "标题 1,2,flNote,1,flName,1,flType,1" </w:instrText>
      </w:r>
      <w:r>
        <w:rPr>
          <w:color w:val="000000"/>
          <w:highlight w:val="none"/>
        </w:rPr>
        <w:fldChar w:fldCharType="separate"/>
      </w:r>
    </w:p>
    <w:p>
      <w:pPr>
        <w:pStyle w:val="24"/>
        <w:rPr>
          <w:color w:val="000000"/>
          <w:highlight w:val="none"/>
        </w:rPr>
      </w:pPr>
      <w:r>
        <w:rPr>
          <w:rFonts w:ascii="Times New Roman"/>
          <w:color w:val="000000"/>
          <w:highlight w:val="none"/>
        </w:rPr>
        <w:t>投标人须知前附表</w:t>
      </w:r>
      <w:r>
        <w:rPr>
          <w:color w:val="000000"/>
          <w:highlight w:val="none"/>
        </w:rPr>
        <w:tab/>
      </w:r>
      <w:r>
        <w:rPr>
          <w:color w:val="000000"/>
          <w:highlight w:val="none"/>
        </w:rPr>
        <w:fldChar w:fldCharType="begin"/>
      </w:r>
      <w:r>
        <w:rPr>
          <w:color w:val="000000"/>
          <w:highlight w:val="none"/>
        </w:rPr>
        <w:instrText xml:space="preserve"> PAGEREF _Toc2803 \h </w:instrText>
      </w:r>
      <w:r>
        <w:rPr>
          <w:color w:val="000000"/>
          <w:highlight w:val="none"/>
        </w:rPr>
        <w:fldChar w:fldCharType="separate"/>
      </w:r>
      <w:r>
        <w:rPr>
          <w:color w:val="000000"/>
          <w:highlight w:val="none"/>
        </w:rPr>
        <w:t>9</w:t>
      </w:r>
      <w:r>
        <w:rPr>
          <w:color w:val="000000"/>
          <w:highlight w:val="none"/>
        </w:rPr>
        <w:fldChar w:fldCharType="end"/>
      </w:r>
    </w:p>
    <w:p>
      <w:pPr>
        <w:pStyle w:val="24"/>
        <w:rPr>
          <w:color w:val="000000"/>
          <w:highlight w:val="none"/>
        </w:rPr>
      </w:pPr>
      <w:r>
        <w:rPr>
          <w:rFonts w:ascii="Times New Roman"/>
          <w:color w:val="000000"/>
          <w:highlight w:val="none"/>
        </w:rPr>
        <w:t>投标人须知</w:t>
      </w:r>
      <w:r>
        <w:rPr>
          <w:color w:val="000000"/>
          <w:highlight w:val="none"/>
        </w:rPr>
        <w:tab/>
      </w:r>
      <w:r>
        <w:rPr>
          <w:color w:val="000000"/>
          <w:highlight w:val="none"/>
        </w:rPr>
        <w:fldChar w:fldCharType="begin"/>
      </w:r>
      <w:r>
        <w:rPr>
          <w:color w:val="000000"/>
          <w:highlight w:val="none"/>
        </w:rPr>
        <w:instrText xml:space="preserve"> PAGEREF _Toc1967 \h </w:instrText>
      </w:r>
      <w:r>
        <w:rPr>
          <w:color w:val="000000"/>
          <w:highlight w:val="none"/>
        </w:rPr>
        <w:fldChar w:fldCharType="separate"/>
      </w:r>
      <w:r>
        <w:rPr>
          <w:color w:val="000000"/>
          <w:highlight w:val="none"/>
        </w:rPr>
        <w:t>11</w:t>
      </w:r>
      <w:r>
        <w:rPr>
          <w:color w:val="000000"/>
          <w:highlight w:val="none"/>
        </w:rPr>
        <w:fldChar w:fldCharType="end"/>
      </w:r>
    </w:p>
    <w:p>
      <w:pPr>
        <w:pStyle w:val="24"/>
        <w:rPr>
          <w:color w:val="000000"/>
          <w:highlight w:val="none"/>
        </w:rPr>
      </w:pPr>
      <w:r>
        <w:rPr>
          <w:rFonts w:ascii="Times New Roman"/>
          <w:color w:val="000000"/>
          <w:highlight w:val="none"/>
        </w:rPr>
        <w:t>一、总则</w:t>
      </w:r>
      <w:r>
        <w:rPr>
          <w:color w:val="000000"/>
          <w:highlight w:val="none"/>
        </w:rPr>
        <w:tab/>
      </w:r>
      <w:r>
        <w:rPr>
          <w:color w:val="000000"/>
          <w:highlight w:val="none"/>
        </w:rPr>
        <w:fldChar w:fldCharType="begin"/>
      </w:r>
      <w:r>
        <w:rPr>
          <w:color w:val="000000"/>
          <w:highlight w:val="none"/>
        </w:rPr>
        <w:instrText xml:space="preserve"> PAGEREF _Toc9078 \h </w:instrText>
      </w:r>
      <w:r>
        <w:rPr>
          <w:color w:val="000000"/>
          <w:highlight w:val="none"/>
        </w:rPr>
        <w:fldChar w:fldCharType="separate"/>
      </w:r>
      <w:r>
        <w:rPr>
          <w:color w:val="000000"/>
          <w:highlight w:val="none"/>
        </w:rPr>
        <w:t>11</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 </w:t>
      </w:r>
      <w:r>
        <w:rPr>
          <w:color w:val="000000"/>
          <w:highlight w:val="none"/>
        </w:rPr>
        <w:t>适用范围</w:t>
      </w:r>
      <w:r>
        <w:rPr>
          <w:color w:val="000000"/>
          <w:highlight w:val="none"/>
        </w:rPr>
        <w:tab/>
      </w:r>
      <w:r>
        <w:rPr>
          <w:color w:val="000000"/>
          <w:highlight w:val="none"/>
        </w:rPr>
        <w:fldChar w:fldCharType="begin"/>
      </w:r>
      <w:r>
        <w:rPr>
          <w:color w:val="000000"/>
          <w:highlight w:val="none"/>
        </w:rPr>
        <w:instrText xml:space="preserve"> PAGEREF _Toc28698 \h </w:instrText>
      </w:r>
      <w:r>
        <w:rPr>
          <w:color w:val="000000"/>
          <w:highlight w:val="none"/>
        </w:rPr>
        <w:fldChar w:fldCharType="separate"/>
      </w:r>
      <w:r>
        <w:rPr>
          <w:color w:val="000000"/>
          <w:highlight w:val="none"/>
        </w:rPr>
        <w:t>11</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 </w:t>
      </w:r>
      <w:r>
        <w:rPr>
          <w:color w:val="000000"/>
          <w:highlight w:val="none"/>
        </w:rPr>
        <w:t>招标人和招标代理机构</w:t>
      </w:r>
      <w:r>
        <w:rPr>
          <w:color w:val="000000"/>
          <w:highlight w:val="none"/>
        </w:rPr>
        <w:tab/>
      </w:r>
      <w:r>
        <w:rPr>
          <w:color w:val="000000"/>
          <w:highlight w:val="none"/>
        </w:rPr>
        <w:fldChar w:fldCharType="begin"/>
      </w:r>
      <w:r>
        <w:rPr>
          <w:color w:val="000000"/>
          <w:highlight w:val="none"/>
        </w:rPr>
        <w:instrText xml:space="preserve"> PAGEREF _Toc26737 \h </w:instrText>
      </w:r>
      <w:r>
        <w:rPr>
          <w:color w:val="000000"/>
          <w:highlight w:val="none"/>
        </w:rPr>
        <w:fldChar w:fldCharType="separate"/>
      </w:r>
      <w:r>
        <w:rPr>
          <w:color w:val="000000"/>
          <w:highlight w:val="none"/>
        </w:rPr>
        <w:t>11</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 </w:t>
      </w:r>
      <w:r>
        <w:rPr>
          <w:color w:val="000000"/>
          <w:highlight w:val="none"/>
        </w:rPr>
        <w:t>合格的投标人</w:t>
      </w:r>
      <w:r>
        <w:rPr>
          <w:color w:val="000000"/>
          <w:highlight w:val="none"/>
        </w:rPr>
        <w:tab/>
      </w:r>
      <w:r>
        <w:rPr>
          <w:color w:val="000000"/>
          <w:highlight w:val="none"/>
        </w:rPr>
        <w:fldChar w:fldCharType="begin"/>
      </w:r>
      <w:r>
        <w:rPr>
          <w:color w:val="000000"/>
          <w:highlight w:val="none"/>
        </w:rPr>
        <w:instrText xml:space="preserve"> PAGEREF _Toc27158 \h </w:instrText>
      </w:r>
      <w:r>
        <w:rPr>
          <w:color w:val="000000"/>
          <w:highlight w:val="none"/>
        </w:rPr>
        <w:fldChar w:fldCharType="separate"/>
      </w:r>
      <w:r>
        <w:rPr>
          <w:color w:val="000000"/>
          <w:highlight w:val="none"/>
        </w:rPr>
        <w:t>11</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4 </w:t>
      </w:r>
      <w:r>
        <w:rPr>
          <w:color w:val="000000"/>
          <w:highlight w:val="none"/>
        </w:rPr>
        <w:t>投标费用</w:t>
      </w:r>
      <w:r>
        <w:rPr>
          <w:color w:val="000000"/>
          <w:highlight w:val="none"/>
        </w:rPr>
        <w:tab/>
      </w:r>
      <w:r>
        <w:rPr>
          <w:color w:val="000000"/>
          <w:highlight w:val="none"/>
        </w:rPr>
        <w:fldChar w:fldCharType="begin"/>
      </w:r>
      <w:r>
        <w:rPr>
          <w:color w:val="000000"/>
          <w:highlight w:val="none"/>
        </w:rPr>
        <w:instrText xml:space="preserve"> PAGEREF _Toc21726 \h </w:instrText>
      </w:r>
      <w:r>
        <w:rPr>
          <w:color w:val="000000"/>
          <w:highlight w:val="none"/>
        </w:rPr>
        <w:fldChar w:fldCharType="separate"/>
      </w:r>
      <w:r>
        <w:rPr>
          <w:color w:val="000000"/>
          <w:highlight w:val="none"/>
        </w:rPr>
        <w:t>12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5 </w:t>
      </w:r>
      <w:r>
        <w:rPr>
          <w:color w:val="000000"/>
          <w:highlight w:val="none"/>
        </w:rPr>
        <w:t>质疑</w:t>
      </w:r>
      <w:r>
        <w:rPr>
          <w:color w:val="000000"/>
          <w:highlight w:val="none"/>
        </w:rPr>
        <w:tab/>
      </w:r>
      <w:r>
        <w:rPr>
          <w:color w:val="000000"/>
          <w:highlight w:val="none"/>
        </w:rPr>
        <w:fldChar w:fldCharType="begin"/>
      </w:r>
      <w:r>
        <w:rPr>
          <w:color w:val="000000"/>
          <w:highlight w:val="none"/>
        </w:rPr>
        <w:instrText xml:space="preserve"> PAGEREF _Toc30288 \h </w:instrText>
      </w:r>
      <w:r>
        <w:rPr>
          <w:color w:val="000000"/>
          <w:highlight w:val="none"/>
        </w:rPr>
        <w:fldChar w:fldCharType="separate"/>
      </w:r>
      <w:r>
        <w:rPr>
          <w:color w:val="000000"/>
          <w:highlight w:val="none"/>
        </w:rPr>
        <w:t>12</w:t>
      </w:r>
      <w:r>
        <w:rPr>
          <w:color w:val="000000"/>
          <w:highlight w:val="none"/>
        </w:rPr>
        <w:fldChar w:fldCharType="end"/>
      </w:r>
    </w:p>
    <w:p>
      <w:pPr>
        <w:pStyle w:val="24"/>
        <w:rPr>
          <w:color w:val="000000"/>
          <w:highlight w:val="none"/>
        </w:rPr>
      </w:pPr>
      <w:r>
        <w:rPr>
          <w:rFonts w:ascii="Times New Roman"/>
          <w:color w:val="000000"/>
          <w:highlight w:val="none"/>
        </w:rPr>
        <w:t>二、招标文件</w:t>
      </w:r>
      <w:r>
        <w:rPr>
          <w:color w:val="000000"/>
          <w:highlight w:val="none"/>
        </w:rPr>
        <w:tab/>
      </w:r>
      <w:r>
        <w:rPr>
          <w:color w:val="000000"/>
          <w:highlight w:val="none"/>
        </w:rPr>
        <w:fldChar w:fldCharType="begin"/>
      </w:r>
      <w:r>
        <w:rPr>
          <w:color w:val="000000"/>
          <w:highlight w:val="none"/>
        </w:rPr>
        <w:instrText xml:space="preserve"> PAGEREF _Toc6606 \h </w:instrText>
      </w:r>
      <w:r>
        <w:rPr>
          <w:color w:val="000000"/>
          <w:highlight w:val="none"/>
        </w:rPr>
        <w:fldChar w:fldCharType="separate"/>
      </w:r>
      <w:r>
        <w:rPr>
          <w:color w:val="000000"/>
          <w:highlight w:val="none"/>
        </w:rPr>
        <w:t>13</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6 </w:t>
      </w:r>
      <w:r>
        <w:rPr>
          <w:color w:val="000000"/>
          <w:highlight w:val="none"/>
        </w:rPr>
        <w:t>招标文件的构成</w:t>
      </w:r>
      <w:r>
        <w:rPr>
          <w:color w:val="000000"/>
          <w:highlight w:val="none"/>
        </w:rPr>
        <w:tab/>
      </w:r>
      <w:r>
        <w:rPr>
          <w:color w:val="000000"/>
          <w:highlight w:val="none"/>
        </w:rPr>
        <w:fldChar w:fldCharType="begin"/>
      </w:r>
      <w:r>
        <w:rPr>
          <w:color w:val="000000"/>
          <w:highlight w:val="none"/>
        </w:rPr>
        <w:instrText xml:space="preserve"> PAGEREF _Toc20553 \h </w:instrText>
      </w:r>
      <w:r>
        <w:rPr>
          <w:color w:val="000000"/>
          <w:highlight w:val="none"/>
        </w:rPr>
        <w:fldChar w:fldCharType="separate"/>
      </w:r>
      <w:r>
        <w:rPr>
          <w:color w:val="000000"/>
          <w:highlight w:val="none"/>
        </w:rPr>
        <w:t>13</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7 </w:t>
      </w:r>
      <w:r>
        <w:rPr>
          <w:color w:val="000000"/>
          <w:highlight w:val="none"/>
        </w:rPr>
        <w:t>招标文件的澄清</w:t>
      </w:r>
      <w:r>
        <w:rPr>
          <w:color w:val="000000"/>
          <w:highlight w:val="none"/>
        </w:rPr>
        <w:tab/>
      </w:r>
      <w:r>
        <w:rPr>
          <w:color w:val="000000"/>
          <w:highlight w:val="none"/>
        </w:rPr>
        <w:fldChar w:fldCharType="begin"/>
      </w:r>
      <w:r>
        <w:rPr>
          <w:color w:val="000000"/>
          <w:highlight w:val="none"/>
        </w:rPr>
        <w:instrText xml:space="preserve"> PAGEREF _Toc24740 \h </w:instrText>
      </w:r>
      <w:r>
        <w:rPr>
          <w:color w:val="000000"/>
          <w:highlight w:val="none"/>
        </w:rPr>
        <w:fldChar w:fldCharType="separate"/>
      </w:r>
      <w:r>
        <w:rPr>
          <w:color w:val="000000"/>
          <w:highlight w:val="none"/>
        </w:rPr>
        <w:t>14</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8 </w:t>
      </w:r>
      <w:r>
        <w:rPr>
          <w:color w:val="000000"/>
          <w:highlight w:val="none"/>
        </w:rPr>
        <w:t>招标文件的修改</w:t>
      </w:r>
      <w:r>
        <w:rPr>
          <w:color w:val="000000"/>
          <w:highlight w:val="none"/>
        </w:rPr>
        <w:tab/>
      </w:r>
      <w:r>
        <w:rPr>
          <w:color w:val="000000"/>
          <w:highlight w:val="none"/>
        </w:rPr>
        <w:fldChar w:fldCharType="begin"/>
      </w:r>
      <w:r>
        <w:rPr>
          <w:color w:val="000000"/>
          <w:highlight w:val="none"/>
        </w:rPr>
        <w:instrText xml:space="preserve"> PAGEREF _Toc4121 \h </w:instrText>
      </w:r>
      <w:r>
        <w:rPr>
          <w:color w:val="000000"/>
          <w:highlight w:val="none"/>
        </w:rPr>
        <w:fldChar w:fldCharType="separate"/>
      </w:r>
      <w:r>
        <w:rPr>
          <w:color w:val="000000"/>
          <w:highlight w:val="none"/>
        </w:rPr>
        <w:t>14</w:t>
      </w:r>
      <w:r>
        <w:rPr>
          <w:color w:val="000000"/>
          <w:highlight w:val="none"/>
        </w:rPr>
        <w:fldChar w:fldCharType="end"/>
      </w:r>
    </w:p>
    <w:p>
      <w:pPr>
        <w:pStyle w:val="24"/>
        <w:rPr>
          <w:color w:val="000000"/>
          <w:highlight w:val="none"/>
        </w:rPr>
      </w:pPr>
      <w:r>
        <w:rPr>
          <w:rFonts w:ascii="Times New Roman"/>
          <w:color w:val="000000"/>
          <w:highlight w:val="none"/>
        </w:rPr>
        <w:t>三、投标文件的编制</w:t>
      </w:r>
      <w:r>
        <w:rPr>
          <w:color w:val="000000"/>
          <w:highlight w:val="none"/>
        </w:rPr>
        <w:tab/>
      </w:r>
      <w:r>
        <w:rPr>
          <w:color w:val="000000"/>
          <w:highlight w:val="none"/>
        </w:rPr>
        <w:fldChar w:fldCharType="begin"/>
      </w:r>
      <w:r>
        <w:rPr>
          <w:color w:val="000000"/>
          <w:highlight w:val="none"/>
        </w:rPr>
        <w:instrText xml:space="preserve"> PAGEREF _Toc11355 \h </w:instrText>
      </w:r>
      <w:r>
        <w:rPr>
          <w:color w:val="000000"/>
          <w:highlight w:val="none"/>
        </w:rPr>
        <w:fldChar w:fldCharType="separate"/>
      </w:r>
      <w:r>
        <w:rPr>
          <w:color w:val="000000"/>
          <w:highlight w:val="none"/>
        </w:rPr>
        <w:t>14</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9 </w:t>
      </w:r>
      <w:r>
        <w:rPr>
          <w:color w:val="000000"/>
          <w:highlight w:val="none"/>
        </w:rPr>
        <w:t>投标语言</w:t>
      </w:r>
      <w:r>
        <w:rPr>
          <w:color w:val="000000"/>
          <w:highlight w:val="none"/>
        </w:rPr>
        <w:tab/>
      </w:r>
      <w:r>
        <w:rPr>
          <w:color w:val="000000"/>
          <w:highlight w:val="none"/>
        </w:rPr>
        <w:fldChar w:fldCharType="begin"/>
      </w:r>
      <w:r>
        <w:rPr>
          <w:color w:val="000000"/>
          <w:highlight w:val="none"/>
        </w:rPr>
        <w:instrText xml:space="preserve"> PAGEREF _Toc13092 \h </w:instrText>
      </w:r>
      <w:r>
        <w:rPr>
          <w:color w:val="000000"/>
          <w:highlight w:val="none"/>
        </w:rPr>
        <w:fldChar w:fldCharType="separate"/>
      </w:r>
      <w:r>
        <w:rPr>
          <w:color w:val="000000"/>
          <w:highlight w:val="none"/>
        </w:rPr>
        <w:t>14</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10 </w:t>
      </w:r>
      <w:r>
        <w:rPr>
          <w:color w:val="000000"/>
          <w:highlight w:val="none"/>
        </w:rPr>
        <w:t>投标文件的构成</w:t>
      </w:r>
      <w:r>
        <w:rPr>
          <w:color w:val="000000"/>
          <w:highlight w:val="none"/>
        </w:rPr>
        <w:tab/>
      </w:r>
      <w:r>
        <w:rPr>
          <w:color w:val="000000"/>
          <w:highlight w:val="none"/>
        </w:rPr>
        <w:fldChar w:fldCharType="begin"/>
      </w:r>
      <w:r>
        <w:rPr>
          <w:color w:val="000000"/>
          <w:highlight w:val="none"/>
        </w:rPr>
        <w:instrText xml:space="preserve"> PAGEREF _Toc14795 \h </w:instrText>
      </w:r>
      <w:r>
        <w:rPr>
          <w:color w:val="000000"/>
          <w:highlight w:val="none"/>
        </w:rPr>
        <w:fldChar w:fldCharType="separate"/>
      </w:r>
      <w:r>
        <w:rPr>
          <w:color w:val="000000"/>
          <w:highlight w:val="none"/>
        </w:rPr>
        <w:t>14</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11 </w:t>
      </w:r>
      <w:r>
        <w:rPr>
          <w:color w:val="000000"/>
          <w:highlight w:val="none"/>
        </w:rPr>
        <w:t>投标函</w:t>
      </w:r>
      <w:r>
        <w:rPr>
          <w:color w:val="000000"/>
          <w:highlight w:val="none"/>
        </w:rPr>
        <w:tab/>
      </w:r>
      <w:r>
        <w:rPr>
          <w:color w:val="000000"/>
          <w:highlight w:val="none"/>
        </w:rPr>
        <w:fldChar w:fldCharType="begin"/>
      </w:r>
      <w:r>
        <w:rPr>
          <w:color w:val="000000"/>
          <w:highlight w:val="none"/>
        </w:rPr>
        <w:instrText xml:space="preserve"> PAGEREF _Toc3010 \h </w:instrText>
      </w:r>
      <w:r>
        <w:rPr>
          <w:color w:val="000000"/>
          <w:highlight w:val="none"/>
        </w:rPr>
        <w:fldChar w:fldCharType="separate"/>
      </w:r>
      <w:r>
        <w:rPr>
          <w:color w:val="000000"/>
          <w:highlight w:val="none"/>
        </w:rPr>
        <w:t>14</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12 </w:t>
      </w:r>
      <w:r>
        <w:rPr>
          <w:color w:val="000000"/>
          <w:highlight w:val="none"/>
        </w:rPr>
        <w:t>投标报价</w:t>
      </w:r>
      <w:r>
        <w:rPr>
          <w:color w:val="000000"/>
          <w:highlight w:val="none"/>
        </w:rPr>
        <w:tab/>
      </w:r>
      <w:r>
        <w:rPr>
          <w:color w:val="000000"/>
          <w:highlight w:val="none"/>
        </w:rPr>
        <w:fldChar w:fldCharType="begin"/>
      </w:r>
      <w:r>
        <w:rPr>
          <w:color w:val="000000"/>
          <w:highlight w:val="none"/>
        </w:rPr>
        <w:instrText xml:space="preserve"> PAGEREF _Toc32584 \h </w:instrText>
      </w:r>
      <w:r>
        <w:rPr>
          <w:color w:val="000000"/>
          <w:highlight w:val="none"/>
        </w:rPr>
        <w:fldChar w:fldCharType="separate"/>
      </w:r>
      <w:r>
        <w:rPr>
          <w:color w:val="000000"/>
          <w:highlight w:val="none"/>
        </w:rPr>
        <w:t>15</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13 </w:t>
      </w:r>
      <w:r>
        <w:rPr>
          <w:color w:val="000000"/>
          <w:highlight w:val="none"/>
        </w:rPr>
        <w:t>投标货币</w:t>
      </w:r>
      <w:r>
        <w:rPr>
          <w:color w:val="000000"/>
          <w:highlight w:val="none"/>
        </w:rPr>
        <w:tab/>
      </w:r>
      <w:r>
        <w:rPr>
          <w:color w:val="000000"/>
          <w:highlight w:val="none"/>
        </w:rPr>
        <w:fldChar w:fldCharType="begin"/>
      </w:r>
      <w:r>
        <w:rPr>
          <w:color w:val="000000"/>
          <w:highlight w:val="none"/>
        </w:rPr>
        <w:instrText xml:space="preserve"> PAGEREF _Toc22250 \h </w:instrText>
      </w:r>
      <w:r>
        <w:rPr>
          <w:color w:val="000000"/>
          <w:highlight w:val="none"/>
        </w:rPr>
        <w:fldChar w:fldCharType="separate"/>
      </w:r>
      <w:r>
        <w:rPr>
          <w:color w:val="000000"/>
          <w:highlight w:val="none"/>
        </w:rPr>
        <w:t>15</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14 </w:t>
      </w:r>
      <w:r>
        <w:rPr>
          <w:color w:val="000000"/>
          <w:highlight w:val="none"/>
        </w:rPr>
        <w:t>资格证明文件</w:t>
      </w:r>
      <w:r>
        <w:rPr>
          <w:color w:val="000000"/>
          <w:highlight w:val="none"/>
        </w:rPr>
        <w:tab/>
      </w:r>
      <w:r>
        <w:rPr>
          <w:color w:val="000000"/>
          <w:highlight w:val="none"/>
        </w:rPr>
        <w:fldChar w:fldCharType="begin"/>
      </w:r>
      <w:r>
        <w:rPr>
          <w:color w:val="000000"/>
          <w:highlight w:val="none"/>
        </w:rPr>
        <w:instrText xml:space="preserve"> PAGEREF _Toc11795 \h </w:instrText>
      </w:r>
      <w:r>
        <w:rPr>
          <w:color w:val="000000"/>
          <w:highlight w:val="none"/>
        </w:rPr>
        <w:fldChar w:fldCharType="separate"/>
      </w:r>
      <w:r>
        <w:rPr>
          <w:color w:val="000000"/>
          <w:highlight w:val="none"/>
        </w:rPr>
        <w:t>15</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15 </w:t>
      </w:r>
      <w:r>
        <w:rPr>
          <w:color w:val="000000"/>
          <w:highlight w:val="none"/>
        </w:rPr>
        <w:t>证明货物及服务合格性的文件</w:t>
      </w:r>
      <w:r>
        <w:rPr>
          <w:color w:val="000000"/>
          <w:highlight w:val="none"/>
        </w:rPr>
        <w:tab/>
      </w:r>
      <w:r>
        <w:rPr>
          <w:color w:val="000000"/>
          <w:highlight w:val="none"/>
        </w:rPr>
        <w:fldChar w:fldCharType="begin"/>
      </w:r>
      <w:r>
        <w:rPr>
          <w:color w:val="000000"/>
          <w:highlight w:val="none"/>
        </w:rPr>
        <w:instrText xml:space="preserve"> PAGEREF _Toc28762 \h </w:instrText>
      </w:r>
      <w:r>
        <w:rPr>
          <w:color w:val="000000"/>
          <w:highlight w:val="none"/>
        </w:rPr>
        <w:fldChar w:fldCharType="separate"/>
      </w:r>
      <w:r>
        <w:rPr>
          <w:color w:val="000000"/>
          <w:highlight w:val="none"/>
        </w:rPr>
        <w:t>16</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16 </w:t>
      </w:r>
      <w:r>
        <w:rPr>
          <w:color w:val="000000"/>
          <w:highlight w:val="none"/>
        </w:rPr>
        <w:t>投标保证金</w:t>
      </w:r>
      <w:r>
        <w:rPr>
          <w:color w:val="000000"/>
          <w:highlight w:val="none"/>
        </w:rPr>
        <w:tab/>
      </w:r>
      <w:r>
        <w:rPr>
          <w:color w:val="000000"/>
          <w:highlight w:val="none"/>
        </w:rPr>
        <w:fldChar w:fldCharType="begin"/>
      </w:r>
      <w:r>
        <w:rPr>
          <w:color w:val="000000"/>
          <w:highlight w:val="none"/>
        </w:rPr>
        <w:instrText xml:space="preserve"> PAGEREF _Toc27762 \h </w:instrText>
      </w:r>
      <w:r>
        <w:rPr>
          <w:color w:val="000000"/>
          <w:highlight w:val="none"/>
        </w:rPr>
        <w:fldChar w:fldCharType="separate"/>
      </w:r>
      <w:r>
        <w:rPr>
          <w:color w:val="000000"/>
          <w:highlight w:val="none"/>
        </w:rPr>
        <w:t>17</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17 </w:t>
      </w:r>
      <w:r>
        <w:rPr>
          <w:color w:val="000000"/>
          <w:highlight w:val="none"/>
        </w:rPr>
        <w:t>投标有效期</w:t>
      </w:r>
      <w:r>
        <w:rPr>
          <w:color w:val="000000"/>
          <w:highlight w:val="none"/>
        </w:rPr>
        <w:tab/>
      </w:r>
      <w:r>
        <w:rPr>
          <w:color w:val="000000"/>
          <w:highlight w:val="none"/>
        </w:rPr>
        <w:fldChar w:fldCharType="begin"/>
      </w:r>
      <w:r>
        <w:rPr>
          <w:color w:val="000000"/>
          <w:highlight w:val="none"/>
        </w:rPr>
        <w:instrText xml:space="preserve"> PAGEREF _Toc8402 \h </w:instrText>
      </w:r>
      <w:r>
        <w:rPr>
          <w:color w:val="000000"/>
          <w:highlight w:val="none"/>
        </w:rPr>
        <w:fldChar w:fldCharType="separate"/>
      </w:r>
      <w:r>
        <w:rPr>
          <w:color w:val="000000"/>
          <w:highlight w:val="none"/>
        </w:rPr>
        <w:t>18</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18 </w:t>
      </w:r>
      <w:r>
        <w:rPr>
          <w:color w:val="000000"/>
          <w:highlight w:val="none"/>
        </w:rPr>
        <w:t>投标文件的式样和签署</w:t>
      </w:r>
      <w:r>
        <w:rPr>
          <w:color w:val="000000"/>
          <w:highlight w:val="none"/>
        </w:rPr>
        <w:tab/>
      </w:r>
      <w:r>
        <w:rPr>
          <w:color w:val="000000"/>
          <w:highlight w:val="none"/>
        </w:rPr>
        <w:fldChar w:fldCharType="begin"/>
      </w:r>
      <w:r>
        <w:rPr>
          <w:color w:val="000000"/>
          <w:highlight w:val="none"/>
        </w:rPr>
        <w:instrText xml:space="preserve"> PAGEREF _Toc30061 \h </w:instrText>
      </w:r>
      <w:r>
        <w:rPr>
          <w:color w:val="000000"/>
          <w:highlight w:val="none"/>
        </w:rPr>
        <w:fldChar w:fldCharType="separate"/>
      </w:r>
      <w:r>
        <w:rPr>
          <w:color w:val="000000"/>
          <w:highlight w:val="none"/>
        </w:rPr>
        <w:t>18</w:t>
      </w:r>
      <w:r>
        <w:rPr>
          <w:color w:val="000000"/>
          <w:highlight w:val="none"/>
        </w:rPr>
        <w:fldChar w:fldCharType="end"/>
      </w:r>
    </w:p>
    <w:p>
      <w:pPr>
        <w:pStyle w:val="24"/>
        <w:rPr>
          <w:color w:val="000000"/>
          <w:highlight w:val="none"/>
        </w:rPr>
      </w:pPr>
      <w:r>
        <w:rPr>
          <w:rFonts w:ascii="Times New Roman"/>
          <w:color w:val="000000"/>
          <w:highlight w:val="none"/>
        </w:rPr>
        <w:t>四、投标文件的递交</w:t>
      </w:r>
      <w:r>
        <w:rPr>
          <w:color w:val="000000"/>
          <w:highlight w:val="none"/>
        </w:rPr>
        <w:tab/>
      </w:r>
      <w:r>
        <w:rPr>
          <w:color w:val="000000"/>
          <w:highlight w:val="none"/>
        </w:rPr>
        <w:fldChar w:fldCharType="begin"/>
      </w:r>
      <w:r>
        <w:rPr>
          <w:color w:val="000000"/>
          <w:highlight w:val="none"/>
        </w:rPr>
        <w:instrText xml:space="preserve"> PAGEREF _Toc8028 \h </w:instrText>
      </w:r>
      <w:r>
        <w:rPr>
          <w:color w:val="000000"/>
          <w:highlight w:val="none"/>
        </w:rPr>
        <w:fldChar w:fldCharType="separate"/>
      </w:r>
      <w:r>
        <w:rPr>
          <w:color w:val="000000"/>
          <w:highlight w:val="none"/>
        </w:rPr>
        <w:t>18</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19 </w:t>
      </w:r>
      <w:r>
        <w:rPr>
          <w:rFonts w:hint="eastAsia"/>
          <w:color w:val="000000"/>
          <w:highlight w:val="none"/>
        </w:rPr>
        <w:t>投标文件的密封、标记和发送</w:t>
      </w:r>
      <w:r>
        <w:rPr>
          <w:color w:val="000000"/>
          <w:highlight w:val="none"/>
        </w:rPr>
        <w:tab/>
      </w:r>
      <w:r>
        <w:rPr>
          <w:color w:val="000000"/>
          <w:highlight w:val="none"/>
        </w:rPr>
        <w:fldChar w:fldCharType="begin"/>
      </w:r>
      <w:r>
        <w:rPr>
          <w:color w:val="000000"/>
          <w:highlight w:val="none"/>
        </w:rPr>
        <w:instrText xml:space="preserve"> PAGEREF _Toc29564 \h </w:instrText>
      </w:r>
      <w:r>
        <w:rPr>
          <w:color w:val="000000"/>
          <w:highlight w:val="none"/>
        </w:rPr>
        <w:fldChar w:fldCharType="separate"/>
      </w:r>
      <w:r>
        <w:rPr>
          <w:color w:val="000000"/>
          <w:highlight w:val="none"/>
        </w:rPr>
        <w:t>18</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20 </w:t>
      </w:r>
      <w:r>
        <w:rPr>
          <w:color w:val="000000"/>
          <w:highlight w:val="none"/>
        </w:rPr>
        <w:t>投标截止期</w:t>
      </w:r>
      <w:r>
        <w:rPr>
          <w:color w:val="000000"/>
          <w:highlight w:val="none"/>
        </w:rPr>
        <w:tab/>
      </w:r>
      <w:r>
        <w:rPr>
          <w:color w:val="000000"/>
          <w:highlight w:val="none"/>
        </w:rPr>
        <w:fldChar w:fldCharType="begin"/>
      </w:r>
      <w:r>
        <w:rPr>
          <w:color w:val="000000"/>
          <w:highlight w:val="none"/>
        </w:rPr>
        <w:instrText xml:space="preserve"> PAGEREF _Toc26050 \h </w:instrText>
      </w:r>
      <w:r>
        <w:rPr>
          <w:color w:val="000000"/>
          <w:highlight w:val="none"/>
        </w:rPr>
        <w:fldChar w:fldCharType="separate"/>
      </w:r>
      <w:r>
        <w:rPr>
          <w:color w:val="000000"/>
          <w:highlight w:val="none"/>
        </w:rPr>
        <w:t>19</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21 </w:t>
      </w:r>
      <w:r>
        <w:rPr>
          <w:color w:val="000000"/>
          <w:highlight w:val="none"/>
        </w:rPr>
        <w:t>迟交的投标文件</w:t>
      </w:r>
      <w:r>
        <w:rPr>
          <w:color w:val="000000"/>
          <w:highlight w:val="none"/>
        </w:rPr>
        <w:tab/>
      </w:r>
      <w:r>
        <w:rPr>
          <w:color w:val="000000"/>
          <w:highlight w:val="none"/>
        </w:rPr>
        <w:fldChar w:fldCharType="begin"/>
      </w:r>
      <w:r>
        <w:rPr>
          <w:color w:val="000000"/>
          <w:highlight w:val="none"/>
        </w:rPr>
        <w:instrText xml:space="preserve"> PAGEREF _Toc21937 \h </w:instrText>
      </w:r>
      <w:r>
        <w:rPr>
          <w:color w:val="000000"/>
          <w:highlight w:val="none"/>
        </w:rPr>
        <w:fldChar w:fldCharType="separate"/>
      </w:r>
      <w:r>
        <w:rPr>
          <w:color w:val="000000"/>
          <w:highlight w:val="none"/>
        </w:rPr>
        <w:t>19</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22 </w:t>
      </w:r>
      <w:r>
        <w:rPr>
          <w:color w:val="000000"/>
          <w:highlight w:val="none"/>
        </w:rPr>
        <w:t>投标截止期之后</w:t>
      </w:r>
      <w:r>
        <w:rPr>
          <w:rFonts w:hint="eastAsia"/>
          <w:color w:val="000000"/>
          <w:highlight w:val="none"/>
        </w:rPr>
        <w:t>的</w:t>
      </w:r>
      <w:r>
        <w:rPr>
          <w:color w:val="000000"/>
          <w:highlight w:val="none"/>
        </w:rPr>
        <w:t>投标文件</w:t>
      </w:r>
      <w:r>
        <w:rPr>
          <w:rFonts w:hint="eastAsia"/>
          <w:color w:val="000000"/>
          <w:highlight w:val="none"/>
        </w:rPr>
        <w:t>不得</w:t>
      </w:r>
      <w:r>
        <w:rPr>
          <w:color w:val="000000"/>
          <w:highlight w:val="none"/>
        </w:rPr>
        <w:t>修改、撤回和撤销</w:t>
      </w:r>
      <w:r>
        <w:rPr>
          <w:color w:val="000000"/>
          <w:highlight w:val="none"/>
        </w:rPr>
        <w:tab/>
      </w:r>
      <w:r>
        <w:rPr>
          <w:color w:val="000000"/>
          <w:highlight w:val="none"/>
        </w:rPr>
        <w:fldChar w:fldCharType="begin"/>
      </w:r>
      <w:r>
        <w:rPr>
          <w:color w:val="000000"/>
          <w:highlight w:val="none"/>
        </w:rPr>
        <w:instrText xml:space="preserve"> PAGEREF _Toc14735 \h </w:instrText>
      </w:r>
      <w:r>
        <w:rPr>
          <w:color w:val="000000"/>
          <w:highlight w:val="none"/>
        </w:rPr>
        <w:fldChar w:fldCharType="separate"/>
      </w:r>
      <w:r>
        <w:rPr>
          <w:color w:val="000000"/>
          <w:highlight w:val="none"/>
        </w:rPr>
        <w:t>19</w:t>
      </w:r>
      <w:r>
        <w:rPr>
          <w:color w:val="000000"/>
          <w:highlight w:val="none"/>
        </w:rPr>
        <w:fldChar w:fldCharType="end"/>
      </w:r>
    </w:p>
    <w:p>
      <w:pPr>
        <w:pStyle w:val="24"/>
        <w:rPr>
          <w:color w:val="000000"/>
          <w:highlight w:val="none"/>
        </w:rPr>
      </w:pPr>
      <w:r>
        <w:rPr>
          <w:rFonts w:ascii="Times New Roman"/>
          <w:color w:val="000000"/>
          <w:highlight w:val="none"/>
        </w:rPr>
        <w:t>五、开标与评标</w:t>
      </w:r>
      <w:r>
        <w:rPr>
          <w:color w:val="000000"/>
          <w:highlight w:val="none"/>
        </w:rPr>
        <w:tab/>
      </w:r>
      <w:r>
        <w:rPr>
          <w:color w:val="000000"/>
          <w:highlight w:val="none"/>
        </w:rPr>
        <w:fldChar w:fldCharType="begin"/>
      </w:r>
      <w:r>
        <w:rPr>
          <w:color w:val="000000"/>
          <w:highlight w:val="none"/>
        </w:rPr>
        <w:instrText xml:space="preserve"> PAGEREF _Toc6945 \h </w:instrText>
      </w:r>
      <w:r>
        <w:rPr>
          <w:color w:val="000000"/>
          <w:highlight w:val="none"/>
        </w:rPr>
        <w:fldChar w:fldCharType="separate"/>
      </w:r>
      <w:r>
        <w:rPr>
          <w:color w:val="000000"/>
          <w:highlight w:val="none"/>
        </w:rPr>
        <w:t>19</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23 </w:t>
      </w:r>
      <w:r>
        <w:rPr>
          <w:color w:val="000000"/>
          <w:highlight w:val="none"/>
        </w:rPr>
        <w:t>开标</w:t>
      </w:r>
      <w:r>
        <w:rPr>
          <w:color w:val="000000"/>
          <w:highlight w:val="none"/>
        </w:rPr>
        <w:tab/>
      </w:r>
      <w:r>
        <w:rPr>
          <w:color w:val="000000"/>
          <w:highlight w:val="none"/>
        </w:rPr>
        <w:fldChar w:fldCharType="begin"/>
      </w:r>
      <w:r>
        <w:rPr>
          <w:color w:val="000000"/>
          <w:highlight w:val="none"/>
        </w:rPr>
        <w:instrText xml:space="preserve"> PAGEREF _Toc5722 \h </w:instrText>
      </w:r>
      <w:r>
        <w:rPr>
          <w:color w:val="000000"/>
          <w:highlight w:val="none"/>
        </w:rPr>
        <w:fldChar w:fldCharType="separate"/>
      </w:r>
      <w:r>
        <w:rPr>
          <w:color w:val="000000"/>
          <w:highlight w:val="none"/>
        </w:rPr>
        <w:t>19</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24 </w:t>
      </w:r>
      <w:r>
        <w:rPr>
          <w:color w:val="000000"/>
          <w:highlight w:val="none"/>
        </w:rPr>
        <w:t>资格审查</w:t>
      </w:r>
      <w:r>
        <w:rPr>
          <w:color w:val="000000"/>
          <w:highlight w:val="none"/>
        </w:rPr>
        <w:tab/>
      </w:r>
      <w:r>
        <w:rPr>
          <w:color w:val="000000"/>
          <w:highlight w:val="none"/>
        </w:rPr>
        <w:fldChar w:fldCharType="begin"/>
      </w:r>
      <w:r>
        <w:rPr>
          <w:color w:val="000000"/>
          <w:highlight w:val="none"/>
        </w:rPr>
        <w:instrText xml:space="preserve"> PAGEREF _Toc11923 \h </w:instrText>
      </w:r>
      <w:r>
        <w:rPr>
          <w:color w:val="000000"/>
          <w:highlight w:val="none"/>
        </w:rPr>
        <w:fldChar w:fldCharType="separate"/>
      </w:r>
      <w:r>
        <w:rPr>
          <w:color w:val="000000"/>
          <w:highlight w:val="none"/>
        </w:rPr>
        <w:t>19</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25 </w:t>
      </w:r>
      <w:r>
        <w:rPr>
          <w:color w:val="000000"/>
          <w:highlight w:val="none"/>
        </w:rPr>
        <w:t>评标过程的保密性</w:t>
      </w:r>
      <w:r>
        <w:rPr>
          <w:color w:val="000000"/>
          <w:highlight w:val="none"/>
        </w:rPr>
        <w:tab/>
      </w:r>
      <w:r>
        <w:rPr>
          <w:color w:val="000000"/>
          <w:highlight w:val="none"/>
        </w:rPr>
        <w:fldChar w:fldCharType="begin"/>
      </w:r>
      <w:r>
        <w:rPr>
          <w:color w:val="000000"/>
          <w:highlight w:val="none"/>
        </w:rPr>
        <w:instrText xml:space="preserve"> PAGEREF _Toc19243 \h </w:instrText>
      </w:r>
      <w:r>
        <w:rPr>
          <w:color w:val="000000"/>
          <w:highlight w:val="none"/>
        </w:rPr>
        <w:fldChar w:fldCharType="separate"/>
      </w:r>
      <w:r>
        <w:rPr>
          <w:color w:val="000000"/>
          <w:highlight w:val="none"/>
        </w:rPr>
        <w:t>20</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26 </w:t>
      </w:r>
      <w:r>
        <w:rPr>
          <w:color w:val="000000"/>
          <w:highlight w:val="none"/>
        </w:rPr>
        <w:t>投标文件的澄清</w:t>
      </w:r>
      <w:r>
        <w:rPr>
          <w:color w:val="000000"/>
          <w:highlight w:val="none"/>
        </w:rPr>
        <w:tab/>
      </w:r>
      <w:r>
        <w:rPr>
          <w:color w:val="000000"/>
          <w:highlight w:val="none"/>
        </w:rPr>
        <w:fldChar w:fldCharType="begin"/>
      </w:r>
      <w:r>
        <w:rPr>
          <w:color w:val="000000"/>
          <w:highlight w:val="none"/>
        </w:rPr>
        <w:instrText xml:space="preserve"> PAGEREF _Toc31944 \h </w:instrText>
      </w:r>
      <w:r>
        <w:rPr>
          <w:color w:val="000000"/>
          <w:highlight w:val="none"/>
        </w:rPr>
        <w:fldChar w:fldCharType="separate"/>
      </w:r>
      <w:r>
        <w:rPr>
          <w:color w:val="000000"/>
          <w:highlight w:val="none"/>
        </w:rPr>
        <w:t>20</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27 </w:t>
      </w:r>
      <w:r>
        <w:rPr>
          <w:color w:val="000000"/>
          <w:highlight w:val="none"/>
        </w:rPr>
        <w:t>评标办法</w:t>
      </w:r>
      <w:r>
        <w:rPr>
          <w:color w:val="000000"/>
          <w:highlight w:val="none"/>
        </w:rPr>
        <w:tab/>
      </w:r>
      <w:r>
        <w:rPr>
          <w:color w:val="000000"/>
          <w:highlight w:val="none"/>
        </w:rPr>
        <w:fldChar w:fldCharType="begin"/>
      </w:r>
      <w:r>
        <w:rPr>
          <w:color w:val="000000"/>
          <w:highlight w:val="none"/>
        </w:rPr>
        <w:instrText xml:space="preserve"> PAGEREF _Toc27700 \h </w:instrText>
      </w:r>
      <w:r>
        <w:rPr>
          <w:color w:val="000000"/>
          <w:highlight w:val="none"/>
        </w:rPr>
        <w:fldChar w:fldCharType="separate"/>
      </w:r>
      <w:r>
        <w:rPr>
          <w:color w:val="000000"/>
          <w:highlight w:val="none"/>
        </w:rPr>
        <w:t>21</w:t>
      </w:r>
      <w:r>
        <w:rPr>
          <w:color w:val="000000"/>
          <w:highlight w:val="none"/>
        </w:rPr>
        <w:fldChar w:fldCharType="end"/>
      </w:r>
    </w:p>
    <w:p>
      <w:pPr>
        <w:pStyle w:val="24"/>
        <w:rPr>
          <w:color w:val="000000"/>
          <w:highlight w:val="none"/>
        </w:rPr>
      </w:pPr>
      <w:r>
        <w:rPr>
          <w:rFonts w:ascii="Times New Roman"/>
          <w:color w:val="000000"/>
          <w:highlight w:val="none"/>
        </w:rPr>
        <w:t>六、授予合同</w:t>
      </w:r>
      <w:r>
        <w:rPr>
          <w:color w:val="000000"/>
          <w:highlight w:val="none"/>
        </w:rPr>
        <w:tab/>
      </w:r>
      <w:r>
        <w:rPr>
          <w:color w:val="000000"/>
          <w:highlight w:val="none"/>
        </w:rPr>
        <w:fldChar w:fldCharType="begin"/>
      </w:r>
      <w:r>
        <w:rPr>
          <w:color w:val="000000"/>
          <w:highlight w:val="none"/>
        </w:rPr>
        <w:instrText xml:space="preserve"> PAGEREF _Toc468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28 </w:t>
      </w:r>
      <w:r>
        <w:rPr>
          <w:color w:val="000000"/>
          <w:highlight w:val="none"/>
        </w:rPr>
        <w:t>合同授予标准</w:t>
      </w:r>
      <w:r>
        <w:rPr>
          <w:color w:val="000000"/>
          <w:highlight w:val="none"/>
        </w:rPr>
        <w:tab/>
      </w:r>
      <w:r>
        <w:rPr>
          <w:color w:val="000000"/>
          <w:highlight w:val="none"/>
        </w:rPr>
        <w:fldChar w:fldCharType="begin"/>
      </w:r>
      <w:r>
        <w:rPr>
          <w:color w:val="000000"/>
          <w:highlight w:val="none"/>
        </w:rPr>
        <w:instrText xml:space="preserve"> PAGEREF _Toc829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29 </w:t>
      </w:r>
      <w:r>
        <w:rPr>
          <w:color w:val="000000"/>
          <w:highlight w:val="none"/>
        </w:rPr>
        <w:t>资格复审</w:t>
      </w:r>
      <w:r>
        <w:rPr>
          <w:color w:val="000000"/>
          <w:highlight w:val="none"/>
        </w:rPr>
        <w:tab/>
      </w:r>
      <w:r>
        <w:rPr>
          <w:color w:val="000000"/>
          <w:highlight w:val="none"/>
        </w:rPr>
        <w:fldChar w:fldCharType="begin"/>
      </w:r>
      <w:r>
        <w:rPr>
          <w:color w:val="000000"/>
          <w:highlight w:val="none"/>
        </w:rPr>
        <w:instrText xml:space="preserve"> PAGEREF _Toc11865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30 </w:t>
      </w:r>
      <w:r>
        <w:rPr>
          <w:color w:val="000000"/>
          <w:highlight w:val="none"/>
        </w:rPr>
        <w:t>招标人接受和拒绝任一或所有投标的权利</w:t>
      </w:r>
      <w:r>
        <w:rPr>
          <w:color w:val="000000"/>
          <w:highlight w:val="none"/>
        </w:rPr>
        <w:tab/>
      </w:r>
      <w:r>
        <w:rPr>
          <w:color w:val="000000"/>
          <w:highlight w:val="none"/>
        </w:rPr>
        <w:fldChar w:fldCharType="begin"/>
      </w:r>
      <w:r>
        <w:rPr>
          <w:color w:val="000000"/>
          <w:highlight w:val="none"/>
        </w:rPr>
        <w:instrText xml:space="preserve"> PAGEREF _Toc31850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31 </w:t>
      </w:r>
      <w:r>
        <w:rPr>
          <w:color w:val="000000"/>
          <w:highlight w:val="none"/>
        </w:rPr>
        <w:t>中标通知书</w:t>
      </w:r>
      <w:r>
        <w:rPr>
          <w:color w:val="000000"/>
          <w:highlight w:val="none"/>
        </w:rPr>
        <w:tab/>
      </w:r>
      <w:r>
        <w:rPr>
          <w:color w:val="000000"/>
          <w:highlight w:val="none"/>
        </w:rPr>
        <w:fldChar w:fldCharType="begin"/>
      </w:r>
      <w:r>
        <w:rPr>
          <w:color w:val="000000"/>
          <w:highlight w:val="none"/>
        </w:rPr>
        <w:instrText xml:space="preserve"> PAGEREF _Toc19381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32 </w:t>
      </w:r>
      <w:r>
        <w:rPr>
          <w:color w:val="000000"/>
          <w:highlight w:val="none"/>
        </w:rPr>
        <w:t>签订合同</w:t>
      </w:r>
      <w:r>
        <w:rPr>
          <w:color w:val="000000"/>
          <w:highlight w:val="none"/>
        </w:rPr>
        <w:tab/>
      </w:r>
      <w:r>
        <w:rPr>
          <w:color w:val="000000"/>
          <w:highlight w:val="none"/>
        </w:rPr>
        <w:fldChar w:fldCharType="begin"/>
      </w:r>
      <w:r>
        <w:rPr>
          <w:color w:val="000000"/>
          <w:highlight w:val="none"/>
        </w:rPr>
        <w:instrText xml:space="preserve"> PAGEREF _Toc31308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33 </w:t>
      </w:r>
      <w:r>
        <w:rPr>
          <w:color w:val="000000"/>
          <w:highlight w:val="none"/>
        </w:rPr>
        <w:t>履约保证金（若合同条款有约定）</w:t>
      </w:r>
      <w:r>
        <w:rPr>
          <w:color w:val="000000"/>
          <w:highlight w:val="none"/>
        </w:rPr>
        <w:tab/>
      </w:r>
      <w:r>
        <w:rPr>
          <w:color w:val="000000"/>
          <w:highlight w:val="none"/>
        </w:rPr>
        <w:fldChar w:fldCharType="begin"/>
      </w:r>
      <w:r>
        <w:rPr>
          <w:color w:val="000000"/>
          <w:highlight w:val="none"/>
        </w:rPr>
        <w:instrText xml:space="preserve"> PAGEREF _Toc32336 \h </w:instrText>
      </w:r>
      <w:r>
        <w:rPr>
          <w:color w:val="000000"/>
          <w:highlight w:val="none"/>
        </w:rPr>
        <w:fldChar w:fldCharType="separate"/>
      </w:r>
      <w:r>
        <w:rPr>
          <w:color w:val="000000"/>
          <w:highlight w:val="none"/>
        </w:rPr>
        <w:t>22</w:t>
      </w:r>
      <w:r>
        <w:rPr>
          <w:color w:val="000000"/>
          <w:highlight w:val="none"/>
        </w:rPr>
        <w:fldChar w:fldCharType="end"/>
      </w:r>
    </w:p>
    <w:p>
      <w:pPr>
        <w:pStyle w:val="29"/>
        <w:rPr>
          <w:color w:val="000000"/>
          <w:highlight w:val="none"/>
        </w:rPr>
      </w:pPr>
      <w:r>
        <w:rPr>
          <w:rFonts w:hint="eastAsia" w:ascii="黑体" w:eastAsia="黑体"/>
          <w:color w:val="000000"/>
          <w:highlight w:val="none"/>
        </w:rPr>
        <w:t xml:space="preserve">34 </w:t>
      </w:r>
      <w:r>
        <w:rPr>
          <w:color w:val="000000"/>
          <w:highlight w:val="none"/>
        </w:rPr>
        <w:t>招标代理咨询服务费</w:t>
      </w:r>
      <w:r>
        <w:rPr>
          <w:color w:val="000000"/>
          <w:highlight w:val="none"/>
        </w:rPr>
        <w:tab/>
      </w:r>
      <w:r>
        <w:rPr>
          <w:color w:val="000000"/>
          <w:highlight w:val="none"/>
        </w:rPr>
        <w:fldChar w:fldCharType="begin"/>
      </w:r>
      <w:r>
        <w:rPr>
          <w:color w:val="000000"/>
          <w:highlight w:val="none"/>
        </w:rPr>
        <w:instrText xml:space="preserve"> PAGEREF _Toc21337 \h </w:instrText>
      </w:r>
      <w:r>
        <w:rPr>
          <w:color w:val="000000"/>
          <w:highlight w:val="none"/>
        </w:rPr>
        <w:fldChar w:fldCharType="separate"/>
      </w:r>
      <w:r>
        <w:rPr>
          <w:color w:val="000000"/>
          <w:highlight w:val="none"/>
        </w:rPr>
        <w:t>23</w:t>
      </w:r>
      <w:r>
        <w:rPr>
          <w:color w:val="000000"/>
          <w:highlight w:val="none"/>
        </w:rPr>
        <w:fldChar w:fldCharType="end"/>
      </w:r>
    </w:p>
    <w:p>
      <w:pPr>
        <w:pStyle w:val="24"/>
        <w:rPr>
          <w:color w:val="000000"/>
          <w:highlight w:val="none"/>
        </w:rPr>
      </w:pPr>
      <w:r>
        <w:rPr>
          <w:rFonts w:hint="eastAsia" w:ascii="Times New Roman"/>
          <w:color w:val="000000"/>
          <w:highlight w:val="none"/>
        </w:rPr>
        <w:t>附件1 上海银鑫建设咨询有限公司</w:t>
      </w:r>
      <w:r>
        <w:rPr>
          <w:rFonts w:ascii="Times New Roman"/>
          <w:color w:val="000000"/>
          <w:highlight w:val="none"/>
        </w:rPr>
        <w:t>投标保证金提交和退还操作须知</w:t>
      </w:r>
      <w:r>
        <w:rPr>
          <w:color w:val="000000"/>
          <w:highlight w:val="none"/>
        </w:rPr>
        <w:tab/>
      </w:r>
      <w:r>
        <w:rPr>
          <w:color w:val="000000"/>
          <w:highlight w:val="none"/>
        </w:rPr>
        <w:fldChar w:fldCharType="begin"/>
      </w:r>
      <w:r>
        <w:rPr>
          <w:color w:val="000000"/>
          <w:highlight w:val="none"/>
        </w:rPr>
        <w:instrText xml:space="preserve"> PAGEREF _Toc16305 \h </w:instrText>
      </w:r>
      <w:r>
        <w:rPr>
          <w:color w:val="000000"/>
          <w:highlight w:val="none"/>
        </w:rPr>
        <w:fldChar w:fldCharType="separate"/>
      </w:r>
      <w:r>
        <w:rPr>
          <w:color w:val="000000"/>
          <w:highlight w:val="none"/>
        </w:rPr>
        <w:t>24</w:t>
      </w:r>
      <w:r>
        <w:rPr>
          <w:color w:val="000000"/>
          <w:highlight w:val="none"/>
        </w:rPr>
        <w:fldChar w:fldCharType="end"/>
      </w:r>
    </w:p>
    <w:p>
      <w:pPr>
        <w:pStyle w:val="24"/>
        <w:rPr>
          <w:color w:val="000000"/>
          <w:highlight w:val="none"/>
        </w:rPr>
      </w:pPr>
      <w:r>
        <w:rPr>
          <w:rFonts w:hint="eastAsia" w:ascii="Times New Roman"/>
          <w:color w:val="000000"/>
          <w:highlight w:val="none"/>
        </w:rPr>
        <w:t>附件2 招标代理机构</w:t>
      </w:r>
      <w:r>
        <w:rPr>
          <w:rFonts w:ascii="Times New Roman"/>
          <w:color w:val="000000"/>
          <w:highlight w:val="none"/>
        </w:rPr>
        <w:t>从业人员廉洁自律承诺</w:t>
      </w:r>
      <w:r>
        <w:rPr>
          <w:color w:val="000000"/>
          <w:highlight w:val="none"/>
        </w:rPr>
        <w:tab/>
      </w:r>
      <w:r>
        <w:rPr>
          <w:color w:val="000000"/>
          <w:highlight w:val="none"/>
        </w:rPr>
        <w:fldChar w:fldCharType="begin"/>
      </w:r>
      <w:r>
        <w:rPr>
          <w:color w:val="000000"/>
          <w:highlight w:val="none"/>
        </w:rPr>
        <w:instrText xml:space="preserve"> PAGEREF _Toc19517 \h </w:instrText>
      </w:r>
      <w:r>
        <w:rPr>
          <w:color w:val="000000"/>
          <w:highlight w:val="none"/>
        </w:rPr>
        <w:fldChar w:fldCharType="separate"/>
      </w:r>
      <w:r>
        <w:rPr>
          <w:color w:val="000000"/>
          <w:highlight w:val="none"/>
        </w:rPr>
        <w:t>27</w:t>
      </w:r>
      <w:r>
        <w:rPr>
          <w:color w:val="000000"/>
          <w:highlight w:val="none"/>
        </w:rPr>
        <w:fldChar w:fldCharType="end"/>
      </w:r>
    </w:p>
    <w:p>
      <w:pPr>
        <w:tabs>
          <w:tab w:val="center" w:pos="4153"/>
          <w:tab w:val="right" w:pos="8306"/>
        </w:tabs>
        <w:spacing w:before="320" w:after="160" w:line="240" w:lineRule="atLeast"/>
        <w:jc w:val="center"/>
        <w:rPr>
          <w:color w:val="000000"/>
          <w:highlight w:val="none"/>
        </w:rPr>
      </w:pPr>
      <w:r>
        <w:rPr>
          <w:color w:val="000000"/>
          <w:highlight w:val="none"/>
        </w:rPr>
        <w:fldChar w:fldCharType="end"/>
      </w:r>
    </w:p>
    <w:p>
      <w:pPr>
        <w:pStyle w:val="82"/>
        <w:rPr>
          <w:rFonts w:ascii="Times New Roman"/>
          <w:color w:val="000000"/>
          <w:highlight w:val="none"/>
        </w:rPr>
      </w:pPr>
      <w:r>
        <w:rPr>
          <w:rFonts w:ascii="Times New Roman"/>
          <w:color w:val="000000"/>
          <w:highlight w:val="none"/>
        </w:rPr>
        <w:br w:type="page"/>
      </w:r>
      <w:bookmarkStart w:id="28" w:name="_Toc389465254"/>
      <w:bookmarkStart w:id="29" w:name="_Toc2063805"/>
      <w:bookmarkStart w:id="30" w:name="_Toc2063968"/>
      <w:bookmarkStart w:id="31" w:name="_Toc2063680"/>
      <w:bookmarkStart w:id="32" w:name="_Toc491700916"/>
      <w:bookmarkStart w:id="33" w:name="_Toc302374122"/>
      <w:bookmarkStart w:id="34" w:name="_Toc8343682"/>
      <w:bookmarkStart w:id="35" w:name="_Toc495406849"/>
      <w:bookmarkStart w:id="36" w:name="_Toc503130719"/>
      <w:bookmarkStart w:id="37" w:name="_Toc2063936"/>
      <w:bookmarkStart w:id="38" w:name="_Toc301765378"/>
      <w:bookmarkStart w:id="39" w:name="_Toc495398046"/>
      <w:bookmarkStart w:id="40" w:name="_Toc495397996"/>
      <w:bookmarkStart w:id="41" w:name="_Toc2803"/>
      <w:bookmarkStart w:id="42" w:name="_Toc503130780"/>
      <w:r>
        <w:rPr>
          <w:rFonts w:ascii="Times New Roman"/>
          <w:color w:val="000000"/>
          <w:highlight w:val="none"/>
        </w:rPr>
        <w:t>投标人须知前附表</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pStyle w:val="12"/>
        <w:ind w:firstLine="0"/>
        <w:rPr>
          <w:color w:val="000000"/>
          <w:highlight w:val="none"/>
        </w:rPr>
      </w:pPr>
      <w:bookmarkStart w:id="43" w:name="_Toc390444275"/>
      <w:bookmarkStart w:id="44" w:name="_Toc394324183"/>
      <w:bookmarkStart w:id="45" w:name="_Toc393275582"/>
      <w:bookmarkStart w:id="46" w:name="_Toc393275719"/>
      <w:bookmarkStart w:id="47" w:name="_Toc390266013"/>
      <w:bookmarkStart w:id="48" w:name="_Toc479109358"/>
      <w:bookmarkStart w:id="49" w:name="_Toc390339876"/>
      <w:bookmarkStart w:id="50" w:name="_Toc390339752"/>
      <w:bookmarkStart w:id="51" w:name="_Toc390266134"/>
      <w:bookmarkStart w:id="52" w:name="_Toc462676738"/>
      <w:bookmarkStart w:id="53" w:name="_Toc390265522"/>
      <w:bookmarkStart w:id="54" w:name="_Toc390339816"/>
      <w:bookmarkStart w:id="55" w:name="_Toc393272125"/>
      <w:bookmarkStart w:id="56" w:name="_Toc393272263"/>
      <w:bookmarkStart w:id="57" w:name="_Toc479109510"/>
      <w:r>
        <w:rPr>
          <w:color w:val="000000"/>
          <w:sz w:val="21"/>
          <w:szCs w:val="21"/>
          <w:highlight w:val="none"/>
        </w:rPr>
        <w:t>注：本表是对投标人须知的具体补充和修改，如有矛盾，应以本表为准。</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tbl>
      <w:tblPr>
        <w:tblStyle w:val="33"/>
        <w:tblW w:w="9534"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820"/>
        <w:gridCol w:w="1220"/>
        <w:gridCol w:w="74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blHeader/>
        </w:trPr>
        <w:tc>
          <w:tcPr>
            <w:tcW w:w="820" w:type="dxa"/>
            <w:tcBorders>
              <w:top w:val="single" w:color="auto" w:sz="12" w:space="0"/>
              <w:bottom w:val="double" w:color="auto" w:sz="6" w:space="0"/>
            </w:tcBorders>
            <w:noWrap w:val="0"/>
            <w:vAlign w:val="center"/>
          </w:tcPr>
          <w:p>
            <w:pPr>
              <w:pStyle w:val="16"/>
              <w:rPr>
                <w:rFonts w:eastAsia="黑体"/>
                <w:color w:val="000000"/>
                <w:highlight w:val="none"/>
              </w:rPr>
            </w:pPr>
            <w:r>
              <w:rPr>
                <w:rFonts w:eastAsia="黑体"/>
                <w:color w:val="000000"/>
                <w:highlight w:val="none"/>
              </w:rPr>
              <w:t>序号</w:t>
            </w:r>
          </w:p>
        </w:tc>
        <w:tc>
          <w:tcPr>
            <w:tcW w:w="1220" w:type="dxa"/>
            <w:tcBorders>
              <w:top w:val="single" w:color="auto" w:sz="12" w:space="0"/>
              <w:bottom w:val="double" w:color="auto" w:sz="6" w:space="0"/>
            </w:tcBorders>
            <w:noWrap w:val="0"/>
            <w:vAlign w:val="center"/>
          </w:tcPr>
          <w:p>
            <w:pPr>
              <w:pStyle w:val="16"/>
              <w:rPr>
                <w:rFonts w:eastAsia="黑体"/>
                <w:color w:val="000000"/>
                <w:highlight w:val="none"/>
              </w:rPr>
            </w:pPr>
            <w:r>
              <w:rPr>
                <w:rFonts w:eastAsia="黑体"/>
                <w:color w:val="000000"/>
                <w:highlight w:val="none"/>
              </w:rPr>
              <w:t>条款号</w:t>
            </w:r>
          </w:p>
        </w:tc>
        <w:tc>
          <w:tcPr>
            <w:tcW w:w="7494" w:type="dxa"/>
            <w:tcBorders>
              <w:top w:val="single" w:color="auto" w:sz="12" w:space="0"/>
              <w:bottom w:val="double" w:color="auto" w:sz="6" w:space="0"/>
            </w:tcBorders>
            <w:noWrap w:val="0"/>
            <w:vAlign w:val="center"/>
          </w:tcPr>
          <w:p>
            <w:pPr>
              <w:pStyle w:val="16"/>
              <w:spacing w:after="0" w:line="320" w:lineRule="atLeast"/>
              <w:rPr>
                <w:rFonts w:eastAsia="黑体"/>
                <w:color w:val="000000"/>
                <w:highlight w:val="none"/>
              </w:rPr>
            </w:pPr>
            <w:r>
              <w:rPr>
                <w:rFonts w:eastAsia="黑体"/>
                <w:color w:val="000000"/>
                <w:highlight w:val="none"/>
              </w:rPr>
              <w:t>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tcBorders>
              <w:top w:val="nil"/>
            </w:tcBorders>
            <w:noWrap w:val="0"/>
            <w:vAlign w:val="center"/>
          </w:tcPr>
          <w:p>
            <w:pPr>
              <w:pStyle w:val="16"/>
              <w:numPr>
                <w:ilvl w:val="0"/>
                <w:numId w:val="6"/>
              </w:numPr>
              <w:rPr>
                <w:color w:val="000000"/>
                <w:highlight w:val="none"/>
              </w:rPr>
            </w:pPr>
            <w:bookmarkStart w:id="58" w:name="_Ref389721031"/>
          </w:p>
          <w:bookmarkEnd w:id="58"/>
        </w:tc>
        <w:tc>
          <w:tcPr>
            <w:tcW w:w="1220" w:type="dxa"/>
            <w:tcBorders>
              <w:top w:val="nil"/>
            </w:tcBorders>
            <w:noWrap w:val="0"/>
            <w:vAlign w:val="center"/>
          </w:tcPr>
          <w:p>
            <w:pPr>
              <w:pStyle w:val="16"/>
              <w:rPr>
                <w:color w:val="000000"/>
                <w:highlight w:val="none"/>
              </w:rPr>
            </w:pPr>
            <w:bookmarkStart w:id="59" w:name="_Hlt503130461"/>
            <w:r>
              <w:rPr>
                <w:color w:val="000000"/>
                <w:highlight w:val="none"/>
              </w:rPr>
              <w:fldChar w:fldCharType="begin"/>
            </w:r>
            <w:r>
              <w:rPr>
                <w:color w:val="000000"/>
                <w:highlight w:val="none"/>
              </w:rPr>
              <w:instrText xml:space="preserve"> REF _Ref389453949 \r \h  \* MERGEFORMAT </w:instrText>
            </w:r>
            <w:r>
              <w:rPr>
                <w:color w:val="000000"/>
                <w:highlight w:val="none"/>
              </w:rPr>
              <w:fldChar w:fldCharType="separate"/>
            </w:r>
            <w:r>
              <w:rPr>
                <w:color w:val="000000"/>
                <w:highlight w:val="none"/>
              </w:rPr>
              <w:t>1</w:t>
            </w:r>
            <w:r>
              <w:rPr>
                <w:color w:val="000000"/>
                <w:highlight w:val="none"/>
              </w:rPr>
              <w:fldChar w:fldCharType="end"/>
            </w:r>
            <w:bookmarkEnd w:id="59"/>
          </w:p>
        </w:tc>
        <w:tc>
          <w:tcPr>
            <w:tcW w:w="7494" w:type="dxa"/>
            <w:tcBorders>
              <w:top w:val="nil"/>
            </w:tcBorders>
            <w:noWrap w:val="0"/>
            <w:vAlign w:val="center"/>
          </w:tcPr>
          <w:p>
            <w:pPr>
              <w:pStyle w:val="16"/>
              <w:spacing w:after="0" w:line="320" w:lineRule="atLeast"/>
              <w:ind w:left="1204" w:leftChars="50" w:right="120" w:rightChars="50" w:hanging="1084" w:hangingChars="514"/>
              <w:jc w:val="both"/>
              <w:rPr>
                <w:rFonts w:hint="eastAsia"/>
                <w:color w:val="000000"/>
                <w:highlight w:val="none"/>
              </w:rPr>
            </w:pPr>
            <w:r>
              <w:rPr>
                <w:b/>
                <w:color w:val="000000"/>
                <w:highlight w:val="none"/>
              </w:rPr>
              <w:t>项目名称：</w:t>
            </w:r>
            <w:r>
              <w:rPr>
                <w:rFonts w:hint="eastAsia"/>
                <w:color w:val="000000"/>
                <w:highlight w:val="none"/>
              </w:rPr>
              <w:t>复旦大学邯郸校区光学楼群遮阳系统采购</w:t>
            </w:r>
          </w:p>
          <w:p>
            <w:pPr>
              <w:pStyle w:val="16"/>
              <w:spacing w:after="0" w:line="320" w:lineRule="atLeast"/>
              <w:ind w:left="120" w:leftChars="50" w:right="120" w:rightChars="50"/>
              <w:jc w:val="both"/>
              <w:rPr>
                <w:color w:val="000000"/>
                <w:highlight w:val="none"/>
              </w:rPr>
            </w:pPr>
            <w:r>
              <w:rPr>
                <w:rFonts w:hint="eastAsia"/>
                <w:b/>
                <w:color w:val="000000"/>
                <w:highlight w:val="none"/>
              </w:rPr>
              <w:t>公布媒体：</w:t>
            </w:r>
            <w:r>
              <w:rPr>
                <w:rFonts w:hint="eastAsia" w:ascii="宋体" w:hAnsi="宋体" w:cs="宋体"/>
                <w:color w:val="000000"/>
                <w:highlight w:val="none"/>
              </w:rPr>
              <w:t>中国政府采购网、复旦大学信息公开网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0" w:name="_Ref389721040"/>
          </w:p>
          <w:bookmarkEnd w:id="60"/>
        </w:tc>
        <w:tc>
          <w:tcPr>
            <w:tcW w:w="1220" w:type="dxa"/>
            <w:noWrap w:val="0"/>
            <w:vAlign w:val="center"/>
          </w:tcPr>
          <w:p>
            <w:pPr>
              <w:pStyle w:val="16"/>
              <w:rPr>
                <w:color w:val="000000"/>
                <w:highlight w:val="none"/>
              </w:rPr>
            </w:pPr>
            <w:bookmarkStart w:id="61" w:name="_Hlt503130462"/>
            <w:r>
              <w:rPr>
                <w:color w:val="000000"/>
                <w:highlight w:val="none"/>
              </w:rPr>
              <w:fldChar w:fldCharType="begin"/>
            </w:r>
            <w:r>
              <w:rPr>
                <w:color w:val="000000"/>
                <w:highlight w:val="none"/>
              </w:rPr>
              <w:instrText xml:space="preserve"> REF _Ref389454069 \r \h  \* MERGEFORMAT </w:instrText>
            </w:r>
            <w:r>
              <w:rPr>
                <w:color w:val="000000"/>
                <w:highlight w:val="none"/>
              </w:rPr>
              <w:fldChar w:fldCharType="separate"/>
            </w:r>
            <w:r>
              <w:rPr>
                <w:color w:val="000000"/>
                <w:highlight w:val="none"/>
              </w:rPr>
              <w:t>2</w:t>
            </w:r>
            <w:r>
              <w:rPr>
                <w:color w:val="000000"/>
                <w:highlight w:val="none"/>
              </w:rPr>
              <w:fldChar w:fldCharType="end"/>
            </w:r>
            <w:bookmarkEnd w:id="61"/>
          </w:p>
        </w:tc>
        <w:tc>
          <w:tcPr>
            <w:tcW w:w="7494" w:type="dxa"/>
            <w:noWrap w:val="0"/>
            <w:vAlign w:val="center"/>
          </w:tcPr>
          <w:p>
            <w:pPr>
              <w:pStyle w:val="56"/>
              <w:spacing w:line="320" w:lineRule="atLeast"/>
              <w:ind w:left="120" w:leftChars="50" w:right="120" w:rightChars="50"/>
              <w:rPr>
                <w:color w:val="000000"/>
                <w:highlight w:val="none"/>
              </w:rPr>
            </w:pPr>
            <w:r>
              <w:rPr>
                <w:b/>
                <w:color w:val="000000"/>
                <w:highlight w:val="none"/>
              </w:rPr>
              <w:t>招标人名称：</w:t>
            </w:r>
            <w:r>
              <w:rPr>
                <w:color w:val="000000"/>
                <w:highlight w:val="none"/>
              </w:rPr>
              <w:t>复旦大学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2" w:name="_Ref389721049"/>
          </w:p>
          <w:bookmarkEnd w:id="62"/>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_Ref389454069 \r \h  \* MERGEFORMAT </w:instrText>
            </w:r>
            <w:r>
              <w:rPr>
                <w:color w:val="000000"/>
                <w:highlight w:val="none"/>
              </w:rPr>
              <w:fldChar w:fldCharType="separate"/>
            </w:r>
            <w:r>
              <w:rPr>
                <w:color w:val="000000"/>
                <w:highlight w:val="none"/>
              </w:rPr>
              <w:t>2</w:t>
            </w:r>
            <w:r>
              <w:rPr>
                <w:color w:val="000000"/>
                <w:highlight w:val="none"/>
              </w:rPr>
              <w:fldChar w:fldCharType="end"/>
            </w:r>
          </w:p>
        </w:tc>
        <w:tc>
          <w:tcPr>
            <w:tcW w:w="7494" w:type="dxa"/>
            <w:noWrap w:val="0"/>
            <w:vAlign w:val="center"/>
          </w:tcPr>
          <w:p>
            <w:pPr>
              <w:pStyle w:val="56"/>
              <w:spacing w:line="320" w:lineRule="atLeast"/>
              <w:ind w:left="120" w:leftChars="50" w:right="120" w:rightChars="50"/>
              <w:rPr>
                <w:color w:val="000000"/>
                <w:highlight w:val="none"/>
              </w:rPr>
            </w:pPr>
            <w:r>
              <w:rPr>
                <w:b/>
                <w:color w:val="000000"/>
                <w:highlight w:val="none"/>
              </w:rPr>
              <w:t>招标</w:t>
            </w:r>
            <w:r>
              <w:rPr>
                <w:rFonts w:hint="eastAsia"/>
                <w:b/>
                <w:color w:val="000000"/>
                <w:highlight w:val="none"/>
              </w:rPr>
              <w:t>代理</w:t>
            </w:r>
            <w:r>
              <w:rPr>
                <w:b/>
                <w:color w:val="000000"/>
                <w:highlight w:val="none"/>
              </w:rPr>
              <w:t>机构名称：</w:t>
            </w:r>
            <w:r>
              <w:rPr>
                <w:rFonts w:hint="eastAsia"/>
                <w:b/>
                <w:color w:val="000000"/>
                <w:highlight w:val="none"/>
              </w:rPr>
              <w:t>上海银鑫建设咨询有限公司</w:t>
            </w:r>
          </w:p>
          <w:p>
            <w:pPr>
              <w:pStyle w:val="56"/>
              <w:spacing w:line="320" w:lineRule="atLeast"/>
              <w:ind w:left="120" w:leftChars="50" w:right="120" w:rightChars="50"/>
              <w:rPr>
                <w:color w:val="000000"/>
                <w:highlight w:val="none"/>
              </w:rPr>
            </w:pPr>
            <w:r>
              <w:rPr>
                <w:b/>
                <w:color w:val="000000"/>
                <w:highlight w:val="none"/>
              </w:rPr>
              <w:t>地址：</w:t>
            </w:r>
            <w:r>
              <w:rPr>
                <w:rFonts w:hint="eastAsia"/>
                <w:b/>
                <w:color w:val="000000"/>
                <w:highlight w:val="none"/>
              </w:rPr>
              <w:t>上海市徐汇区零陵路583号海洋石油大厦1216室</w:t>
            </w:r>
          </w:p>
          <w:p>
            <w:pPr>
              <w:pStyle w:val="56"/>
              <w:spacing w:line="320" w:lineRule="atLeast"/>
              <w:ind w:left="120" w:leftChars="50" w:right="120" w:rightChars="50"/>
              <w:rPr>
                <w:color w:val="000000"/>
                <w:highlight w:val="none"/>
              </w:rPr>
            </w:pPr>
            <w:r>
              <w:rPr>
                <w:b/>
                <w:color w:val="000000"/>
                <w:highlight w:val="none"/>
              </w:rPr>
              <w:t>邮编：</w:t>
            </w:r>
            <w:r>
              <w:rPr>
                <w:rFonts w:hint="eastAsia"/>
                <w:b/>
                <w:color w:val="000000"/>
                <w:highlight w:val="none"/>
              </w:rPr>
              <w:t>200030</w:t>
            </w:r>
          </w:p>
          <w:p>
            <w:pPr>
              <w:pStyle w:val="56"/>
              <w:spacing w:line="320" w:lineRule="atLeast"/>
              <w:ind w:left="120" w:leftChars="50" w:right="120" w:rightChars="50"/>
              <w:rPr>
                <w:color w:val="000000"/>
                <w:highlight w:val="none"/>
              </w:rPr>
            </w:pPr>
            <w:r>
              <w:rPr>
                <w:b/>
                <w:color w:val="000000"/>
                <w:highlight w:val="none"/>
              </w:rPr>
              <w:t>联系人：</w:t>
            </w:r>
            <w:r>
              <w:rPr>
                <w:rFonts w:hint="eastAsia"/>
                <w:b/>
                <w:color w:val="000000"/>
                <w:highlight w:val="none"/>
              </w:rPr>
              <w:t>吴佳</w:t>
            </w:r>
          </w:p>
          <w:p>
            <w:pPr>
              <w:pStyle w:val="56"/>
              <w:spacing w:line="320" w:lineRule="atLeast"/>
              <w:ind w:left="120" w:leftChars="50" w:right="120" w:rightChars="50"/>
              <w:rPr>
                <w:color w:val="000000"/>
                <w:highlight w:val="none"/>
              </w:rPr>
            </w:pPr>
            <w:r>
              <w:rPr>
                <w:b/>
                <w:color w:val="000000"/>
                <w:highlight w:val="none"/>
              </w:rPr>
              <w:t>电话：</w:t>
            </w:r>
            <w:r>
              <w:rPr>
                <w:rFonts w:hint="eastAsia"/>
                <w:b/>
                <w:color w:val="000000"/>
                <w:highlight w:val="none"/>
              </w:rPr>
              <w:t>021-33312773*802</w:t>
            </w:r>
          </w:p>
          <w:p>
            <w:pPr>
              <w:pStyle w:val="56"/>
              <w:spacing w:line="320" w:lineRule="atLeast"/>
              <w:ind w:left="120" w:leftChars="50" w:right="120" w:rightChars="50"/>
              <w:rPr>
                <w:color w:val="000000"/>
                <w:highlight w:val="none"/>
              </w:rPr>
            </w:pPr>
            <w:r>
              <w:rPr>
                <w:b/>
                <w:color w:val="000000"/>
                <w:highlight w:val="none"/>
              </w:rPr>
              <w:t>传真：</w:t>
            </w:r>
            <w:r>
              <w:rPr>
                <w:rFonts w:hint="eastAsia"/>
                <w:b/>
                <w:color w:val="000000"/>
                <w:highlight w:val="none"/>
              </w:rPr>
              <w:t>021-33312773*809</w:t>
            </w:r>
          </w:p>
          <w:p>
            <w:pPr>
              <w:pStyle w:val="56"/>
              <w:spacing w:line="320" w:lineRule="atLeast"/>
              <w:ind w:left="120" w:leftChars="50" w:right="120" w:rightChars="50"/>
              <w:rPr>
                <w:rFonts w:hint="eastAsia"/>
                <w:color w:val="000000"/>
                <w:highlight w:val="none"/>
              </w:rPr>
            </w:pPr>
            <w:r>
              <w:rPr>
                <w:b/>
                <w:color w:val="000000"/>
                <w:highlight w:val="none"/>
              </w:rPr>
              <w:t>邮箱：</w:t>
            </w:r>
            <w:r>
              <w:rPr>
                <w:rFonts w:hint="eastAsia"/>
                <w:b/>
                <w:color w:val="000000"/>
                <w:highlight w:val="none"/>
              </w:rPr>
              <w:t>344605699@qq.com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3" w:name="_Ref389721068"/>
          </w:p>
          <w:bookmarkEnd w:id="63"/>
        </w:tc>
        <w:tc>
          <w:tcPr>
            <w:tcW w:w="1220" w:type="dxa"/>
            <w:noWrap w:val="0"/>
            <w:vAlign w:val="center"/>
          </w:tcPr>
          <w:p>
            <w:pPr>
              <w:pStyle w:val="16"/>
              <w:rPr>
                <w:color w:val="000000"/>
                <w:highlight w:val="none"/>
              </w:rPr>
            </w:pPr>
            <w:bookmarkStart w:id="64" w:name="_Hlt503130463"/>
            <w:r>
              <w:rPr>
                <w:color w:val="000000"/>
                <w:highlight w:val="none"/>
              </w:rPr>
              <w:fldChar w:fldCharType="begin"/>
            </w:r>
            <w:r>
              <w:rPr>
                <w:color w:val="000000"/>
                <w:highlight w:val="none"/>
              </w:rPr>
              <w:instrText xml:space="preserve"> REF _Ref389489040 \r \h  \* MERGEFORMAT </w:instrText>
            </w:r>
            <w:r>
              <w:rPr>
                <w:color w:val="000000"/>
                <w:highlight w:val="none"/>
              </w:rPr>
              <w:fldChar w:fldCharType="separate"/>
            </w:r>
            <w:r>
              <w:rPr>
                <w:color w:val="000000"/>
                <w:highlight w:val="none"/>
              </w:rPr>
              <w:t>7</w:t>
            </w:r>
            <w:r>
              <w:rPr>
                <w:color w:val="000000"/>
                <w:highlight w:val="none"/>
              </w:rPr>
              <w:fldChar w:fldCharType="end"/>
            </w:r>
            <w:bookmarkEnd w:id="64"/>
          </w:p>
        </w:tc>
        <w:tc>
          <w:tcPr>
            <w:tcW w:w="7494" w:type="dxa"/>
            <w:noWrap w:val="0"/>
            <w:vAlign w:val="center"/>
          </w:tcPr>
          <w:p>
            <w:pPr>
              <w:pStyle w:val="16"/>
              <w:spacing w:after="0" w:line="320" w:lineRule="atLeast"/>
              <w:ind w:left="120" w:leftChars="50" w:right="120" w:rightChars="50"/>
              <w:jc w:val="both"/>
              <w:rPr>
                <w:color w:val="000000"/>
                <w:highlight w:val="none"/>
              </w:rPr>
            </w:pPr>
            <w:r>
              <w:rPr>
                <w:b/>
                <w:color w:val="000000"/>
                <w:highlight w:val="none"/>
              </w:rPr>
              <w:t>对招标文件提出澄清问题的截止时间：</w:t>
            </w:r>
            <w:r>
              <w:rPr>
                <w:rFonts w:hint="eastAsia"/>
                <w:color w:val="000000"/>
                <w:highlight w:val="none"/>
                <w:lang w:eastAsia="zh-CN"/>
              </w:rPr>
              <w:t>2021年9月9日</w:t>
            </w:r>
            <w:r>
              <w:rPr>
                <w:color w:val="000000"/>
                <w:highlight w:val="none"/>
              </w:rPr>
              <w:t>1</w:t>
            </w:r>
            <w:r>
              <w:rPr>
                <w:rFonts w:hint="eastAsia"/>
                <w:color w:val="000000"/>
                <w:highlight w:val="none"/>
              </w:rPr>
              <w:t>7</w:t>
            </w:r>
            <w:r>
              <w:rPr>
                <w:color w:val="000000"/>
                <w:highlight w:val="none"/>
              </w:rPr>
              <w:t>:00时（北京时间）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5" w:name="_Ref389721082"/>
          </w:p>
          <w:bookmarkEnd w:id="65"/>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_Ref452638131 \r \h  \* MERGEFORMAT </w:instrText>
            </w:r>
            <w:r>
              <w:rPr>
                <w:color w:val="000000"/>
                <w:highlight w:val="none"/>
              </w:rPr>
              <w:fldChar w:fldCharType="separate"/>
            </w:r>
            <w:r>
              <w:rPr>
                <w:color w:val="000000"/>
                <w:highlight w:val="none"/>
              </w:rPr>
              <w:t>16.1</w:t>
            </w:r>
            <w:r>
              <w:rPr>
                <w:color w:val="000000"/>
                <w:highlight w:val="none"/>
              </w:rPr>
              <w:fldChar w:fldCharType="end"/>
            </w:r>
          </w:p>
        </w:tc>
        <w:tc>
          <w:tcPr>
            <w:tcW w:w="7494" w:type="dxa"/>
            <w:noWrap w:val="0"/>
            <w:vAlign w:val="center"/>
          </w:tcPr>
          <w:p>
            <w:pPr>
              <w:pStyle w:val="56"/>
              <w:spacing w:line="320" w:lineRule="atLeast"/>
              <w:ind w:left="120" w:leftChars="50" w:right="120" w:rightChars="50"/>
              <w:rPr>
                <w:rFonts w:hint="eastAsia"/>
                <w:color w:val="000000"/>
                <w:highlight w:val="none"/>
              </w:rPr>
            </w:pPr>
            <w:r>
              <w:rPr>
                <w:b/>
                <w:color w:val="000000"/>
                <w:highlight w:val="none"/>
              </w:rPr>
              <w:t>投标保证金：</w:t>
            </w:r>
            <w:r>
              <w:rPr>
                <w:rFonts w:hint="eastAsia"/>
                <w:b/>
                <w:color w:val="000000"/>
                <w:highlight w:val="none"/>
              </w:rPr>
              <w:t>4200</w:t>
            </w:r>
            <w:r>
              <w:rPr>
                <w:rFonts w:hint="eastAsia"/>
                <w:color w:val="000000"/>
                <w:highlight w:val="none"/>
              </w:rPr>
              <w:t>元</w:t>
            </w:r>
            <w:r>
              <w:rPr>
                <w:color w:val="000000"/>
                <w:highlight w:val="none"/>
              </w:rPr>
              <w:t>；</w:t>
            </w:r>
            <w:r>
              <w:rPr>
                <w:rFonts w:hint="eastAsia"/>
                <w:color w:val="000000"/>
                <w:highlight w:val="none"/>
              </w:rPr>
              <w:t>投标保证金有效期应至少能履盖投标有效期（即投标保证金有效期的起始时间应不晚于投标截止日，其有效期的届满日应不早于投标有效期的届满之日）</w:t>
            </w:r>
            <w:r>
              <w:rPr>
                <w:color w:val="000000"/>
                <w:highlight w:val="none"/>
              </w:rPr>
              <w:t>；</w:t>
            </w:r>
            <w:r>
              <w:rPr>
                <w:rFonts w:hint="eastAsia"/>
                <w:color w:val="000000"/>
                <w:highlight w:val="none"/>
              </w:rPr>
              <w:t>投标保证金</w:t>
            </w:r>
            <w:r>
              <w:rPr>
                <w:color w:val="000000"/>
                <w:highlight w:val="none"/>
              </w:rPr>
              <w:t>收退规定见</w:t>
            </w:r>
            <w:r>
              <w:rPr>
                <w:rStyle w:val="66"/>
                <w:rFonts w:ascii="Times New Roman"/>
                <w:color w:val="000000"/>
                <w:highlight w:val="none"/>
              </w:rPr>
              <w:t>投标人须知</w:t>
            </w:r>
            <w:r>
              <w:rPr>
                <w:color w:val="000000"/>
                <w:highlight w:val="none"/>
              </w:rPr>
              <w:t>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6" w:name="_Ref389721096"/>
          </w:p>
          <w:bookmarkEnd w:id="66"/>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_Ref452638201 \r \h  \* MERGEFORMAT </w:instrText>
            </w:r>
            <w:r>
              <w:rPr>
                <w:color w:val="000000"/>
                <w:highlight w:val="none"/>
              </w:rPr>
              <w:fldChar w:fldCharType="separate"/>
            </w:r>
            <w:r>
              <w:rPr>
                <w:color w:val="000000"/>
                <w:highlight w:val="none"/>
              </w:rPr>
              <w:t>17.1</w:t>
            </w:r>
            <w:r>
              <w:rPr>
                <w:color w:val="000000"/>
                <w:highlight w:val="none"/>
              </w:rPr>
              <w:fldChar w:fldCharType="end"/>
            </w:r>
          </w:p>
        </w:tc>
        <w:tc>
          <w:tcPr>
            <w:tcW w:w="7494" w:type="dxa"/>
            <w:noWrap w:val="0"/>
            <w:vAlign w:val="center"/>
          </w:tcPr>
          <w:p>
            <w:pPr>
              <w:pStyle w:val="16"/>
              <w:spacing w:after="0" w:line="320" w:lineRule="atLeast"/>
              <w:ind w:left="120" w:leftChars="50" w:right="120" w:rightChars="50"/>
              <w:jc w:val="both"/>
              <w:rPr>
                <w:color w:val="000000"/>
                <w:highlight w:val="none"/>
              </w:rPr>
            </w:pPr>
            <w:r>
              <w:rPr>
                <w:b/>
                <w:color w:val="000000"/>
                <w:highlight w:val="none"/>
              </w:rPr>
              <w:t>投标有效期：</w:t>
            </w:r>
            <w:r>
              <w:rPr>
                <w:color w:val="000000"/>
                <w:highlight w:val="none"/>
              </w:rPr>
              <w:t>开标后90天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7" w:name="_Ref389721111"/>
          </w:p>
          <w:bookmarkEnd w:id="67"/>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_Ref452638371 \r \h  \* MERGEFORMAT </w:instrText>
            </w:r>
            <w:r>
              <w:rPr>
                <w:color w:val="000000"/>
                <w:highlight w:val="none"/>
              </w:rPr>
              <w:fldChar w:fldCharType="separate"/>
            </w:r>
            <w:r>
              <w:rPr>
                <w:color w:val="000000"/>
                <w:highlight w:val="none"/>
              </w:rPr>
              <w:t>18.1</w:t>
            </w:r>
            <w:r>
              <w:rPr>
                <w:color w:val="000000"/>
                <w:highlight w:val="none"/>
              </w:rPr>
              <w:fldChar w:fldCharType="end"/>
            </w:r>
          </w:p>
        </w:tc>
        <w:tc>
          <w:tcPr>
            <w:tcW w:w="7494" w:type="dxa"/>
            <w:noWrap w:val="0"/>
            <w:vAlign w:val="center"/>
          </w:tcPr>
          <w:p>
            <w:pPr>
              <w:pStyle w:val="56"/>
              <w:spacing w:line="320" w:lineRule="atLeast"/>
              <w:ind w:left="120" w:leftChars="50" w:right="120" w:rightChars="50"/>
              <w:rPr>
                <w:b/>
                <w:color w:val="000000"/>
                <w:highlight w:val="none"/>
              </w:rPr>
            </w:pPr>
            <w:r>
              <w:rPr>
                <w:b/>
                <w:color w:val="000000"/>
                <w:highlight w:val="none"/>
              </w:rPr>
              <w:t>投标文件的</w:t>
            </w:r>
            <w:r>
              <w:rPr>
                <w:rFonts w:hint="eastAsia"/>
                <w:b/>
                <w:color w:val="000000"/>
                <w:highlight w:val="none"/>
              </w:rPr>
              <w:t>组成</w:t>
            </w:r>
            <w:r>
              <w:rPr>
                <w:b/>
                <w:color w:val="000000"/>
                <w:highlight w:val="none"/>
              </w:rPr>
              <w:t>：</w:t>
            </w:r>
            <w:r>
              <w:rPr>
                <w:rFonts w:hint="eastAsia"/>
                <w:bCs/>
                <w:color w:val="000000"/>
                <w:highlight w:val="none"/>
              </w:rPr>
              <w:t>电子文档1套。纸质投标文件正本一份、副本一份。投标文件纸质版仅用于归档。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8" w:name="_Ref389721133"/>
          </w:p>
          <w:bookmarkEnd w:id="68"/>
        </w:tc>
        <w:tc>
          <w:tcPr>
            <w:tcW w:w="1220" w:type="dxa"/>
            <w:noWrap w:val="0"/>
            <w:vAlign w:val="center"/>
          </w:tcPr>
          <w:p>
            <w:pPr>
              <w:pStyle w:val="16"/>
              <w:rPr>
                <w:color w:val="000000"/>
                <w:highlight w:val="none"/>
              </w:rPr>
            </w:pPr>
          </w:p>
        </w:tc>
        <w:tc>
          <w:tcPr>
            <w:tcW w:w="7494" w:type="dxa"/>
            <w:noWrap w:val="0"/>
            <w:vAlign w:val="center"/>
          </w:tcPr>
          <w:p>
            <w:pPr>
              <w:pStyle w:val="56"/>
              <w:spacing w:line="320" w:lineRule="atLeast"/>
              <w:ind w:left="120" w:leftChars="50" w:right="120" w:rightChars="50"/>
              <w:rPr>
                <w:rFonts w:hint="eastAsia"/>
                <w:b/>
                <w:color w:val="000000"/>
                <w:highlight w:val="none"/>
              </w:rPr>
            </w:pPr>
            <w:r>
              <w:rPr>
                <w:rFonts w:hint="eastAsia"/>
                <w:b/>
                <w:color w:val="000000"/>
                <w:highlight w:val="none"/>
              </w:rPr>
              <w:t>投标文件的递交：</w:t>
            </w:r>
          </w:p>
          <w:p>
            <w:pPr>
              <w:spacing w:line="320" w:lineRule="atLeast"/>
              <w:ind w:left="120" w:leftChars="50" w:right="120" w:rightChars="50"/>
              <w:rPr>
                <w:rFonts w:ascii="宋体" w:hAnsi="宋体"/>
                <w:color w:val="000000"/>
                <w:sz w:val="21"/>
                <w:highlight w:val="none"/>
              </w:rPr>
            </w:pPr>
            <w:r>
              <w:rPr>
                <w:rFonts w:ascii="宋体" w:hAnsi="宋体"/>
                <w:color w:val="000000"/>
                <w:sz w:val="21"/>
                <w:highlight w:val="none"/>
              </w:rPr>
              <w:t>1</w:t>
            </w:r>
            <w:r>
              <w:rPr>
                <w:rFonts w:hint="eastAsia" w:ascii="宋体" w:hAnsi="宋体"/>
                <w:color w:val="000000"/>
                <w:sz w:val="21"/>
                <w:highlight w:val="none"/>
              </w:rPr>
              <w:t>．电子投标文件递交：通过复旦大学招采进宝电子招投标系统递交电子投标文件。</w:t>
            </w:r>
          </w:p>
          <w:p>
            <w:pPr>
              <w:spacing w:line="320" w:lineRule="atLeast"/>
              <w:ind w:left="120" w:leftChars="50" w:right="120" w:rightChars="50"/>
              <w:rPr>
                <w:rFonts w:ascii="宋体" w:hAnsi="宋体"/>
                <w:color w:val="000000"/>
                <w:sz w:val="21"/>
                <w:highlight w:val="none"/>
              </w:rPr>
            </w:pPr>
            <w:r>
              <w:rPr>
                <w:rFonts w:hint="eastAsia" w:ascii="宋体" w:hAnsi="宋体"/>
                <w:color w:val="000000"/>
                <w:sz w:val="21"/>
                <w:highlight w:val="none"/>
              </w:rPr>
              <w:t>2．投标人递交投标文件需缴纳平台技术服务费，平台收费标准为200元/包件，详询技术支持电话400-019-2166转4。</w:t>
            </w:r>
          </w:p>
          <w:p>
            <w:pPr>
              <w:pStyle w:val="56"/>
              <w:spacing w:line="320" w:lineRule="atLeast"/>
              <w:ind w:left="120" w:leftChars="50" w:right="120" w:rightChars="50"/>
              <w:rPr>
                <w:color w:val="000000"/>
                <w:highlight w:val="none"/>
              </w:rPr>
            </w:pPr>
            <w:r>
              <w:rPr>
                <w:rFonts w:hint="eastAsia"/>
                <w:color w:val="000000"/>
                <w:highlight w:val="none"/>
              </w:rPr>
              <w:t>3.</w:t>
            </w:r>
            <w:r>
              <w:rPr>
                <w:color w:val="000000"/>
                <w:highlight w:val="none"/>
              </w:rPr>
              <w:t xml:space="preserve"> </w:t>
            </w:r>
            <w:r>
              <w:rPr>
                <w:rFonts w:hint="eastAsia"/>
                <w:color w:val="000000"/>
                <w:highlight w:val="none"/>
                <w:lang w:val="zh-CN"/>
              </w:rPr>
              <w:t>开标结束后，投标人应向招标代理机构邮寄1正</w:t>
            </w:r>
            <w:r>
              <w:rPr>
                <w:rFonts w:hint="eastAsia"/>
                <w:color w:val="000000"/>
                <w:highlight w:val="none"/>
              </w:rPr>
              <w:t>1</w:t>
            </w:r>
            <w:r>
              <w:rPr>
                <w:rFonts w:hint="eastAsia"/>
                <w:color w:val="000000"/>
                <w:highlight w:val="none"/>
                <w:lang w:val="zh-CN"/>
              </w:rPr>
              <w:t>副，共计</w:t>
            </w:r>
            <w:r>
              <w:rPr>
                <w:rFonts w:hint="eastAsia"/>
                <w:color w:val="000000"/>
                <w:highlight w:val="none"/>
              </w:rPr>
              <w:t>2</w:t>
            </w:r>
            <w:r>
              <w:rPr>
                <w:rFonts w:hint="eastAsia"/>
                <w:color w:val="000000"/>
                <w:highlight w:val="none"/>
                <w:lang w:val="zh-CN"/>
              </w:rPr>
              <w:t>份投标文件纸质版。</w:t>
            </w:r>
            <w:r>
              <w:rPr>
                <w:rFonts w:hint="eastAsia"/>
                <w:b/>
                <w:color w:val="000000"/>
                <w:szCs w:val="21"/>
                <w:highlight w:val="none"/>
              </w:rPr>
              <w:t>投标文件纸质版仅用于归档。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69" w:name="_Ref389721167"/>
          </w:p>
          <w:bookmarkEnd w:id="69"/>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_Ref1964100 \r \h  \* MERGEFORMAT </w:instrText>
            </w:r>
            <w:r>
              <w:rPr>
                <w:color w:val="000000"/>
                <w:highlight w:val="none"/>
              </w:rPr>
              <w:fldChar w:fldCharType="separate"/>
            </w:r>
            <w:r>
              <w:rPr>
                <w:color w:val="000000"/>
                <w:highlight w:val="none"/>
              </w:rPr>
              <w:t>20.1</w:t>
            </w:r>
            <w:r>
              <w:rPr>
                <w:color w:val="000000"/>
                <w:highlight w:val="none"/>
              </w:rPr>
              <w:fldChar w:fldCharType="end"/>
            </w:r>
          </w:p>
        </w:tc>
        <w:tc>
          <w:tcPr>
            <w:tcW w:w="7494" w:type="dxa"/>
            <w:noWrap w:val="0"/>
            <w:vAlign w:val="center"/>
          </w:tcPr>
          <w:p>
            <w:pPr>
              <w:pStyle w:val="56"/>
              <w:spacing w:line="320" w:lineRule="atLeast"/>
              <w:ind w:left="120" w:leftChars="50" w:right="120" w:rightChars="50"/>
              <w:rPr>
                <w:color w:val="000000"/>
                <w:highlight w:val="none"/>
              </w:rPr>
            </w:pPr>
            <w:r>
              <w:rPr>
                <w:b/>
                <w:color w:val="000000"/>
                <w:highlight w:val="none"/>
              </w:rPr>
              <w:t>投标截止时间：</w:t>
            </w:r>
            <w:r>
              <w:rPr>
                <w:rFonts w:hint="eastAsia"/>
                <w:b/>
                <w:color w:val="000000"/>
                <w:highlight w:val="none"/>
                <w:lang w:eastAsia="zh-CN"/>
              </w:rPr>
              <w:t>2021年9月23日</w:t>
            </w:r>
            <w:r>
              <w:rPr>
                <w:rFonts w:hint="eastAsia"/>
                <w:b/>
                <w:color w:val="000000"/>
                <w:highlight w:val="none"/>
              </w:rPr>
              <w:t>9</w:t>
            </w:r>
            <w:r>
              <w:rPr>
                <w:b/>
                <w:color w:val="000000"/>
                <w:highlight w:val="none"/>
              </w:rPr>
              <w:t>:</w:t>
            </w:r>
            <w:r>
              <w:rPr>
                <w:rFonts w:hint="eastAsia"/>
                <w:b/>
                <w:color w:val="000000"/>
                <w:highlight w:val="none"/>
              </w:rPr>
              <w:t>30</w:t>
            </w:r>
            <w:r>
              <w:rPr>
                <w:b/>
                <w:color w:val="000000"/>
                <w:highlight w:val="none"/>
              </w:rPr>
              <w:t>时</w:t>
            </w:r>
            <w:r>
              <w:rPr>
                <w:color w:val="000000"/>
                <w:highlight w:val="none"/>
              </w:rPr>
              <w:t>（北京时间）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70" w:name="_Ref389721180"/>
          </w:p>
          <w:bookmarkEnd w:id="70"/>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_Ref389455348 \r \h  \* MERGEFORMAT </w:instrText>
            </w:r>
            <w:r>
              <w:rPr>
                <w:color w:val="000000"/>
                <w:highlight w:val="none"/>
              </w:rPr>
              <w:fldChar w:fldCharType="separate"/>
            </w:r>
            <w:r>
              <w:rPr>
                <w:color w:val="000000"/>
                <w:highlight w:val="none"/>
              </w:rPr>
              <w:t>23.1</w:t>
            </w:r>
            <w:r>
              <w:rPr>
                <w:color w:val="000000"/>
                <w:highlight w:val="none"/>
              </w:rPr>
              <w:fldChar w:fldCharType="end"/>
            </w:r>
          </w:p>
        </w:tc>
        <w:tc>
          <w:tcPr>
            <w:tcW w:w="7494" w:type="dxa"/>
            <w:noWrap w:val="0"/>
            <w:vAlign w:val="center"/>
          </w:tcPr>
          <w:p>
            <w:pPr>
              <w:pStyle w:val="16"/>
              <w:spacing w:line="320" w:lineRule="atLeast"/>
              <w:ind w:left="120" w:leftChars="50" w:right="120" w:rightChars="50"/>
              <w:jc w:val="left"/>
              <w:rPr>
                <w:rFonts w:hint="eastAsia"/>
                <w:color w:val="000000"/>
                <w:highlight w:val="none"/>
              </w:rPr>
            </w:pPr>
            <w:r>
              <w:rPr>
                <w:rFonts w:hint="eastAsia"/>
                <w:color w:val="000000"/>
                <w:highlight w:val="none"/>
              </w:rPr>
              <w:t>1．开标和投标截止时间：</w:t>
            </w:r>
            <w:r>
              <w:rPr>
                <w:rFonts w:hint="eastAsia"/>
                <w:color w:val="000000"/>
                <w:highlight w:val="none"/>
                <w:lang w:eastAsia="zh-CN"/>
              </w:rPr>
              <w:t>2021年9月23日</w:t>
            </w:r>
            <w:r>
              <w:rPr>
                <w:rFonts w:hint="eastAsia"/>
                <w:color w:val="000000"/>
                <w:highlight w:val="none"/>
              </w:rPr>
              <w:t>9:30时，迟交或不符合规定的投标文件恕不接受。</w:t>
            </w:r>
          </w:p>
          <w:p>
            <w:pPr>
              <w:spacing w:after="60" w:line="320" w:lineRule="atLeast"/>
              <w:ind w:left="120" w:leftChars="50" w:right="120" w:rightChars="50"/>
              <w:jc w:val="left"/>
              <w:rPr>
                <w:rFonts w:ascii="宋体" w:hAnsi="宋体"/>
                <w:color w:val="000000"/>
                <w:sz w:val="21"/>
                <w:highlight w:val="none"/>
              </w:rPr>
            </w:pPr>
            <w:r>
              <w:rPr>
                <w:rFonts w:hint="eastAsia" w:ascii="宋体" w:hAnsi="宋体"/>
                <w:color w:val="000000"/>
                <w:sz w:val="21"/>
                <w:highlight w:val="none"/>
              </w:rPr>
              <w:t>2．开标形式（</w:t>
            </w:r>
            <w:r>
              <w:rPr>
                <w:rFonts w:hint="eastAsia" w:ascii="宋体" w:hAnsi="宋体"/>
                <w:color w:val="000000"/>
                <w:sz w:val="21"/>
                <w:highlight w:val="none"/>
                <w:lang w:eastAsia="zh-CN"/>
              </w:rPr>
              <w:t>投标人任选其一，因疫情防控要求建议选择远程开标</w:t>
            </w:r>
            <w:r>
              <w:rPr>
                <w:rFonts w:hint="eastAsia" w:ascii="宋体" w:hAnsi="宋体"/>
                <w:color w:val="000000"/>
                <w:sz w:val="21"/>
                <w:highlight w:val="none"/>
              </w:rPr>
              <w:t>）：</w:t>
            </w:r>
          </w:p>
          <w:p>
            <w:pPr>
              <w:spacing w:after="60" w:line="320" w:lineRule="atLeast"/>
              <w:ind w:left="120" w:leftChars="50" w:right="120" w:rightChars="50"/>
              <w:jc w:val="left"/>
              <w:rPr>
                <w:rFonts w:ascii="宋体" w:hAnsi="宋体"/>
                <w:color w:val="000000"/>
                <w:sz w:val="21"/>
                <w:highlight w:val="none"/>
              </w:rPr>
            </w:pPr>
            <w:r>
              <w:rPr>
                <w:rFonts w:hint="eastAsia" w:ascii="宋体" w:hAnsi="宋体"/>
                <w:color w:val="000000"/>
                <w:sz w:val="21"/>
                <w:highlight w:val="none"/>
              </w:rPr>
              <w:t>a)</w:t>
            </w:r>
            <w:r>
              <w:rPr>
                <w:rFonts w:hint="eastAsia" w:ascii="宋体" w:hAnsi="宋体"/>
                <w:color w:val="000000"/>
                <w:sz w:val="21"/>
                <w:highlight w:val="none"/>
              </w:rPr>
              <w:tab/>
            </w:r>
            <w:r>
              <w:rPr>
                <w:rFonts w:hint="eastAsia" w:ascii="宋体" w:hAnsi="宋体"/>
                <w:color w:val="000000"/>
                <w:sz w:val="21"/>
                <w:highlight w:val="none"/>
              </w:rPr>
              <w:t>现场开标：投标人携带与制作投标文件时同一数字认证证书（CA），并自备电脑（自带移动网络），前往开标地点，进行投标文件解密。</w:t>
            </w:r>
          </w:p>
          <w:p>
            <w:pPr>
              <w:spacing w:after="60" w:line="320" w:lineRule="atLeast"/>
              <w:ind w:left="120" w:leftChars="50" w:right="120" w:rightChars="50"/>
              <w:jc w:val="left"/>
              <w:rPr>
                <w:rFonts w:ascii="宋体" w:hAnsi="宋体"/>
                <w:color w:val="000000"/>
                <w:sz w:val="21"/>
                <w:highlight w:val="none"/>
              </w:rPr>
            </w:pPr>
            <w:r>
              <w:rPr>
                <w:rFonts w:hint="eastAsia" w:ascii="宋体" w:hAnsi="宋体"/>
                <w:color w:val="000000"/>
                <w:sz w:val="21"/>
                <w:highlight w:val="none"/>
              </w:rPr>
              <w:t>开标地点：</w:t>
            </w:r>
            <w:r>
              <w:rPr>
                <w:rFonts w:hint="eastAsia" w:ascii="宋体" w:hAnsi="宋体"/>
                <w:color w:val="000000"/>
                <w:sz w:val="21"/>
                <w:highlight w:val="none"/>
                <w:lang w:eastAsia="zh-CN"/>
              </w:rPr>
              <w:t>上海市徐汇区零陵路583号海洋石油大厦1206会议室</w:t>
            </w:r>
            <w:r>
              <w:rPr>
                <w:rFonts w:hint="eastAsia" w:ascii="宋体" w:hAnsi="宋体"/>
                <w:color w:val="000000"/>
                <w:sz w:val="21"/>
                <w:highlight w:val="none"/>
              </w:rPr>
              <w:t>。</w:t>
            </w:r>
          </w:p>
          <w:p>
            <w:pPr>
              <w:spacing w:after="60" w:line="320" w:lineRule="atLeast"/>
              <w:ind w:left="120" w:leftChars="50" w:right="120" w:rightChars="50"/>
              <w:jc w:val="left"/>
              <w:rPr>
                <w:rFonts w:hint="eastAsia"/>
                <w:color w:val="000000"/>
                <w:highlight w:val="none"/>
              </w:rPr>
            </w:pPr>
            <w:r>
              <w:rPr>
                <w:rFonts w:ascii="宋体" w:hAnsi="宋体"/>
                <w:color w:val="000000"/>
                <w:sz w:val="21"/>
                <w:highlight w:val="none"/>
              </w:rPr>
              <w:t>b)</w:t>
            </w:r>
            <w:r>
              <w:rPr>
                <w:rFonts w:ascii="宋体" w:hAnsi="宋体"/>
                <w:color w:val="000000"/>
                <w:sz w:val="21"/>
                <w:highlight w:val="none"/>
              </w:rPr>
              <w:tab/>
            </w:r>
            <w:r>
              <w:rPr>
                <w:rFonts w:hint="eastAsia" w:ascii="宋体" w:hAnsi="宋体"/>
                <w:color w:val="000000"/>
                <w:sz w:val="21"/>
                <w:highlight w:val="none"/>
              </w:rPr>
              <w:t>远程开标：投标人使用与制作投标文件时同一数字认证证书（</w:t>
            </w:r>
            <w:r>
              <w:rPr>
                <w:rFonts w:ascii="宋体" w:hAnsi="宋体"/>
                <w:color w:val="000000"/>
                <w:sz w:val="21"/>
                <w:highlight w:val="none"/>
              </w:rPr>
              <w:t>CA</w:t>
            </w:r>
            <w:r>
              <w:rPr>
                <w:rFonts w:hint="eastAsia" w:ascii="宋体" w:hAnsi="宋体"/>
                <w:color w:val="000000"/>
                <w:sz w:val="21"/>
                <w:highlight w:val="none"/>
              </w:rPr>
              <w:t>），远程在线进行投标文件解密。</w:t>
            </w:r>
          </w:p>
          <w:p>
            <w:pPr>
              <w:pStyle w:val="16"/>
              <w:spacing w:line="320" w:lineRule="atLeast"/>
              <w:ind w:left="120" w:leftChars="50" w:right="120" w:rightChars="50"/>
              <w:jc w:val="left"/>
              <w:rPr>
                <w:rFonts w:hint="eastAsia"/>
                <w:color w:val="000000"/>
                <w:highlight w:val="none"/>
              </w:rPr>
            </w:pPr>
            <w:r>
              <w:rPr>
                <w:rFonts w:hint="eastAsia"/>
                <w:color w:val="000000"/>
                <w:highlight w:val="none"/>
              </w:rPr>
              <w:t>3．电子投标文件解密时限：</w:t>
            </w:r>
          </w:p>
          <w:p>
            <w:pPr>
              <w:ind w:firstLine="630" w:firstLineChars="300"/>
              <w:rPr>
                <w:rFonts w:hint="eastAsia"/>
                <w:color w:val="000000"/>
                <w:highlight w:val="none"/>
              </w:rPr>
            </w:pPr>
            <w:r>
              <w:rPr>
                <w:rFonts w:hint="eastAsia"/>
                <w:color w:val="000000"/>
                <w:sz w:val="21"/>
                <w:szCs w:val="21"/>
                <w:highlight w:val="none"/>
              </w:rPr>
              <w:t>电子投标文件解密截止时间：</w:t>
            </w:r>
            <w:r>
              <w:rPr>
                <w:rFonts w:hint="eastAsia"/>
                <w:color w:val="000000"/>
                <w:sz w:val="21"/>
                <w:szCs w:val="21"/>
                <w:highlight w:val="none"/>
                <w:lang w:eastAsia="zh-CN"/>
              </w:rPr>
              <w:t>2021年9月23日</w:t>
            </w:r>
            <w:r>
              <w:rPr>
                <w:rFonts w:hint="eastAsia"/>
                <w:color w:val="000000"/>
                <w:sz w:val="21"/>
                <w:szCs w:val="21"/>
                <w:highlight w:val="none"/>
              </w:rPr>
              <w:t>10:00时（投标截止时刻后30分钟）。因投标人的原因导致电子投标文件未能成功解密的，招标人不予受理。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bookmarkStart w:id="71" w:name="_Ref389721217"/>
          </w:p>
          <w:bookmarkEnd w:id="71"/>
        </w:tc>
        <w:tc>
          <w:tcPr>
            <w:tcW w:w="1220" w:type="dxa"/>
            <w:noWrap w:val="0"/>
            <w:vAlign w:val="center"/>
          </w:tcPr>
          <w:p>
            <w:pPr>
              <w:pStyle w:val="16"/>
              <w:rPr>
                <w:color w:val="000000"/>
                <w:highlight w:val="none"/>
              </w:rPr>
            </w:pPr>
            <w:r>
              <w:rPr>
                <w:color w:val="000000"/>
                <w:highlight w:val="none"/>
              </w:rPr>
              <w:fldChar w:fldCharType="begin"/>
            </w:r>
            <w:r>
              <w:rPr>
                <w:color w:val="000000"/>
                <w:highlight w:val="none"/>
              </w:rPr>
              <w:instrText xml:space="preserve"> REF _Ref434458829 \r \h  \* MERGEFORMAT </w:instrText>
            </w:r>
            <w:r>
              <w:rPr>
                <w:color w:val="000000"/>
                <w:highlight w:val="none"/>
              </w:rPr>
              <w:fldChar w:fldCharType="separate"/>
            </w:r>
            <w:r>
              <w:rPr>
                <w:color w:val="000000"/>
                <w:highlight w:val="none"/>
              </w:rPr>
              <w:t>32.1</w:t>
            </w:r>
            <w:r>
              <w:rPr>
                <w:color w:val="000000"/>
                <w:highlight w:val="none"/>
              </w:rPr>
              <w:fldChar w:fldCharType="end"/>
            </w:r>
          </w:p>
        </w:tc>
        <w:tc>
          <w:tcPr>
            <w:tcW w:w="7494" w:type="dxa"/>
            <w:noWrap w:val="0"/>
            <w:vAlign w:val="center"/>
          </w:tcPr>
          <w:p>
            <w:pPr>
              <w:pStyle w:val="16"/>
              <w:spacing w:after="0" w:line="320" w:lineRule="atLeast"/>
              <w:ind w:left="120" w:leftChars="50" w:right="120" w:rightChars="50"/>
              <w:jc w:val="both"/>
              <w:rPr>
                <w:color w:val="000000"/>
                <w:highlight w:val="none"/>
              </w:rPr>
            </w:pPr>
            <w:r>
              <w:rPr>
                <w:b/>
                <w:color w:val="000000"/>
                <w:highlight w:val="none"/>
              </w:rPr>
              <w:t>合同签约地点：</w:t>
            </w:r>
            <w:r>
              <w:rPr>
                <w:rFonts w:hint="eastAsia"/>
                <w:color w:val="000000"/>
                <w:highlight w:val="none"/>
              </w:rPr>
              <w:t>复旦大学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p>
        </w:tc>
        <w:tc>
          <w:tcPr>
            <w:tcW w:w="1220" w:type="dxa"/>
            <w:noWrap w:val="0"/>
            <w:vAlign w:val="center"/>
          </w:tcPr>
          <w:p>
            <w:pPr>
              <w:pStyle w:val="16"/>
              <w:rPr>
                <w:color w:val="000000"/>
                <w:highlight w:val="none"/>
              </w:rPr>
            </w:pPr>
            <w:r>
              <w:rPr>
                <w:rFonts w:hint="eastAsia"/>
                <w:color w:val="000000"/>
                <w:highlight w:val="none"/>
              </w:rPr>
              <w:t>信息发布平台</w:t>
            </w:r>
          </w:p>
        </w:tc>
        <w:tc>
          <w:tcPr>
            <w:tcW w:w="7494" w:type="dxa"/>
            <w:noWrap w:val="0"/>
            <w:vAlign w:val="center"/>
          </w:tcPr>
          <w:p>
            <w:pPr>
              <w:spacing w:line="320" w:lineRule="atLeast"/>
              <w:ind w:left="120" w:leftChars="50" w:right="120" w:rightChars="50"/>
              <w:rPr>
                <w:color w:val="000000"/>
                <w:sz w:val="21"/>
                <w:highlight w:val="none"/>
              </w:rPr>
            </w:pPr>
            <w:r>
              <w:rPr>
                <w:rFonts w:hint="eastAsia"/>
                <w:color w:val="000000"/>
                <w:sz w:val="21"/>
                <w:highlight w:val="none"/>
                <w:lang w:val="zh-CN"/>
              </w:rPr>
              <w:t>本次采购信息将在</w:t>
            </w:r>
            <w:r>
              <w:rPr>
                <w:rFonts w:hint="eastAsia"/>
                <w:color w:val="000000"/>
                <w:sz w:val="21"/>
                <w:highlight w:val="none"/>
              </w:rPr>
              <w:t>：</w:t>
            </w:r>
          </w:p>
          <w:p>
            <w:pPr>
              <w:spacing w:line="320" w:lineRule="atLeast"/>
              <w:ind w:left="120" w:leftChars="50" w:right="120" w:rightChars="50"/>
              <w:rPr>
                <w:color w:val="000000"/>
                <w:sz w:val="21"/>
                <w:highlight w:val="none"/>
              </w:rPr>
            </w:pPr>
            <w:r>
              <w:rPr>
                <w:rFonts w:hint="eastAsia"/>
                <w:color w:val="000000"/>
                <w:sz w:val="21"/>
                <w:highlight w:val="none"/>
                <w:lang w:val="zh-CN"/>
              </w:rPr>
              <w:t>中国政府采购网</w:t>
            </w:r>
            <w:r>
              <w:rPr>
                <w:rFonts w:hint="eastAsia"/>
                <w:color w:val="000000"/>
                <w:sz w:val="21"/>
                <w:highlight w:val="none"/>
              </w:rPr>
              <w:t>：</w:t>
            </w:r>
            <w:r>
              <w:rPr>
                <w:color w:val="000000"/>
                <w:sz w:val="21"/>
                <w:highlight w:val="none"/>
                <w:lang w:val="zh-CN"/>
              </w:rPr>
              <w:fldChar w:fldCharType="begin"/>
            </w:r>
            <w:r>
              <w:rPr>
                <w:color w:val="000000"/>
                <w:sz w:val="21"/>
                <w:highlight w:val="none"/>
              </w:rPr>
              <w:instrText xml:space="preserve"> HYPERLINK "http://www.ccgp.gov.cn/" \t "_blank" </w:instrText>
            </w:r>
            <w:r>
              <w:rPr>
                <w:color w:val="000000"/>
                <w:sz w:val="21"/>
                <w:highlight w:val="none"/>
                <w:lang w:val="zh-CN"/>
              </w:rPr>
              <w:fldChar w:fldCharType="separate"/>
            </w:r>
            <w:r>
              <w:rPr>
                <w:rFonts w:hint="eastAsia"/>
                <w:color w:val="000000"/>
                <w:sz w:val="21"/>
                <w:highlight w:val="none"/>
              </w:rPr>
              <w:t>http://www.ccgp.gov.cn</w:t>
            </w:r>
            <w:r>
              <w:rPr>
                <w:rFonts w:hint="eastAsia"/>
                <w:color w:val="000000"/>
                <w:sz w:val="21"/>
                <w:highlight w:val="none"/>
                <w:lang w:val="zh-CN"/>
              </w:rPr>
              <w:fldChar w:fldCharType="end"/>
            </w:r>
          </w:p>
          <w:p>
            <w:pPr>
              <w:pStyle w:val="16"/>
              <w:spacing w:after="0" w:line="320" w:lineRule="atLeast"/>
              <w:ind w:left="120" w:leftChars="50" w:right="120" w:rightChars="50"/>
              <w:jc w:val="both"/>
              <w:rPr>
                <w:b/>
                <w:color w:val="000000"/>
                <w:highlight w:val="none"/>
              </w:rPr>
            </w:pPr>
            <w:r>
              <w:rPr>
                <w:rFonts w:hint="eastAsia"/>
                <w:color w:val="000000"/>
                <w:highlight w:val="none"/>
                <w:lang w:val="zh-CN"/>
              </w:rPr>
              <w:t>复旦大学信息公开网</w:t>
            </w:r>
            <w:r>
              <w:rPr>
                <w:rFonts w:hint="eastAsia"/>
                <w:color w:val="000000"/>
                <w:highlight w:val="none"/>
              </w:rPr>
              <w:t>：</w:t>
            </w:r>
            <w:r>
              <w:rPr>
                <w:color w:val="000000"/>
                <w:highlight w:val="none"/>
                <w:lang w:val="zh-CN"/>
              </w:rPr>
              <w:fldChar w:fldCharType="begin"/>
            </w:r>
            <w:r>
              <w:rPr>
                <w:color w:val="000000"/>
                <w:highlight w:val="none"/>
              </w:rPr>
              <w:instrText xml:space="preserve"> HYPERLINK "http://www.xxgk.fudan.edu.cn" </w:instrText>
            </w:r>
            <w:r>
              <w:rPr>
                <w:color w:val="000000"/>
                <w:highlight w:val="none"/>
                <w:lang w:val="zh-CN"/>
              </w:rPr>
              <w:fldChar w:fldCharType="separate"/>
            </w:r>
            <w:r>
              <w:rPr>
                <w:rFonts w:hint="eastAsia"/>
                <w:color w:val="000000"/>
                <w:highlight w:val="none"/>
              </w:rPr>
              <w:t>http://www.xxgk.fudan.edu.cn</w:t>
            </w:r>
            <w:r>
              <w:rPr>
                <w:rFonts w:hint="eastAsia"/>
                <w:color w:val="000000"/>
                <w:highlight w:val="none"/>
                <w:lang w:val="zh-CN"/>
              </w:rPr>
              <w:fldChar w:fldCharType="end"/>
            </w:r>
            <w:r>
              <w:rPr>
                <w:rFonts w:hint="eastAsia"/>
                <w:color w:val="000000"/>
                <w:highlight w:val="none"/>
                <w:lang w:val="zh-CN"/>
              </w:rPr>
              <w:t>同步发布。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820" w:type="dxa"/>
            <w:noWrap w:val="0"/>
            <w:vAlign w:val="center"/>
          </w:tcPr>
          <w:p>
            <w:pPr>
              <w:pStyle w:val="16"/>
              <w:numPr>
                <w:ilvl w:val="0"/>
                <w:numId w:val="6"/>
              </w:numPr>
              <w:rPr>
                <w:color w:val="000000"/>
                <w:highlight w:val="none"/>
              </w:rPr>
            </w:pPr>
          </w:p>
        </w:tc>
        <w:tc>
          <w:tcPr>
            <w:tcW w:w="1220" w:type="dxa"/>
            <w:noWrap w:val="0"/>
            <w:vAlign w:val="center"/>
          </w:tcPr>
          <w:p>
            <w:pPr>
              <w:pStyle w:val="16"/>
              <w:rPr>
                <w:rFonts w:hint="eastAsia"/>
                <w:color w:val="000000"/>
                <w:highlight w:val="none"/>
              </w:rPr>
            </w:pPr>
          </w:p>
        </w:tc>
        <w:tc>
          <w:tcPr>
            <w:tcW w:w="7494" w:type="dxa"/>
            <w:noWrap w:val="0"/>
            <w:vAlign w:val="center"/>
          </w:tcPr>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疫情期间现场开标管理规定：</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原则上投标人无需委派代表参加现场开标会。如投标人有意委派授权代表参加现场开标会的，应在开标时间之前48小时与招标代理机构的联系人联系，并按要求提交疫情期间现场开标报备材料：</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1）姓名、身份证号、手机号；</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2）随申码绿码截屏、通信大数据行程卡绿码截屏；</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3）承诺书：现场开标人员及同住人最近14天内未到过（或途径）国务院颁布的中、高风险地区（承诺书格式自拟，须列明各风险地区并签名，以图片形式提交）</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注：</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需参加现场开标的，应预留足够时间提前到达开标室，并现场出示“随申码”、“通信大数据行程卡”，由于获取“随申码”或“通信大数据行程卡”时出现卡顿、“随申码”或“通信大数据行程卡”信息显示不全，或者排队等候而无法及时完成确认不能进入开标室，以致不能及时参加现场开标的后果由投标人承担。</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有下列情形之一的新型冠状病毒传染风险的人员，不得进入开标场所：</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1）最近14天接触过新型冠状病毒感染的肺炎疑似或确诊患者的；</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2）来自或途经重点地区的来沪、返沪人员，在沪隔离观察（留验）未满14天的；</w:t>
            </w:r>
          </w:p>
          <w:p>
            <w:pPr>
              <w:pStyle w:val="16"/>
              <w:spacing w:after="0" w:line="320" w:lineRule="atLeast"/>
              <w:ind w:left="120" w:leftChars="50" w:right="120" w:rightChars="50"/>
              <w:jc w:val="both"/>
              <w:rPr>
                <w:rFonts w:hint="eastAsia"/>
                <w:color w:val="000000"/>
                <w:highlight w:val="none"/>
              </w:rPr>
            </w:pPr>
            <w:r>
              <w:rPr>
                <w:rFonts w:hint="eastAsia"/>
                <w:color w:val="000000"/>
                <w:highlight w:val="none"/>
              </w:rPr>
              <w:t>3）近期有发热、乏力、干咳、气促等新型冠状病毒感染可疑症状的；</w:t>
            </w:r>
          </w:p>
          <w:p>
            <w:pPr>
              <w:pStyle w:val="16"/>
              <w:spacing w:after="0" w:line="320" w:lineRule="atLeast"/>
              <w:ind w:left="120" w:leftChars="50" w:right="120" w:rightChars="50"/>
              <w:jc w:val="both"/>
              <w:rPr>
                <w:rFonts w:hint="eastAsia"/>
                <w:color w:val="000000"/>
                <w:highlight w:val="none"/>
                <w:lang w:val="zh-CN"/>
              </w:rPr>
            </w:pPr>
            <w:r>
              <w:rPr>
                <w:rFonts w:hint="eastAsia"/>
                <w:color w:val="000000"/>
                <w:highlight w:val="none"/>
              </w:rPr>
              <w:t>4）无法提供随申码、通信大数据行程卡、未佩戴口罩或现场测量体（额）温超过37.3°C的。</w:t>
            </w:r>
          </w:p>
        </w:tc>
      </w:tr>
    </w:tbl>
    <w:p>
      <w:pPr>
        <w:pStyle w:val="82"/>
        <w:rPr>
          <w:rFonts w:ascii="Times New Roman"/>
          <w:color w:val="000000"/>
          <w:highlight w:val="none"/>
        </w:rPr>
      </w:pPr>
      <w:r>
        <w:rPr>
          <w:rFonts w:ascii="Times New Roman"/>
          <w:color w:val="000000"/>
          <w:highlight w:val="none"/>
        </w:rPr>
        <w:br w:type="page"/>
      </w:r>
      <w:bookmarkStart w:id="72" w:name="_Toc2063681"/>
      <w:bookmarkStart w:id="73" w:name="_Toc495406850"/>
      <w:bookmarkStart w:id="74" w:name="_Toc2063969"/>
      <w:bookmarkStart w:id="75" w:name="_Toc8343683"/>
      <w:bookmarkStart w:id="76" w:name="_Toc503130781"/>
      <w:bookmarkStart w:id="77" w:name="_Toc2063937"/>
      <w:bookmarkStart w:id="78" w:name="_Toc389465255"/>
      <w:bookmarkStart w:id="79" w:name="_Toc1967"/>
      <w:bookmarkStart w:id="80" w:name="_Toc301765379"/>
      <w:bookmarkStart w:id="81" w:name="_Toc2063806"/>
      <w:bookmarkStart w:id="82" w:name="_Toc495398047"/>
      <w:bookmarkStart w:id="83" w:name="_Toc495397997"/>
      <w:bookmarkStart w:id="84" w:name="_Toc491700917"/>
      <w:bookmarkStart w:id="85" w:name="_Toc503130720"/>
      <w:bookmarkStart w:id="86" w:name="_Toc302374123"/>
      <w:r>
        <w:rPr>
          <w:rFonts w:ascii="Times New Roman"/>
          <w:color w:val="000000"/>
          <w:highlight w:val="none"/>
        </w:rPr>
        <w:t>投标人须知</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pPr>
        <w:pStyle w:val="83"/>
        <w:spacing w:before="120"/>
        <w:rPr>
          <w:rFonts w:ascii="Times New Roman"/>
          <w:color w:val="000000"/>
          <w:highlight w:val="none"/>
        </w:rPr>
      </w:pPr>
      <w:bookmarkStart w:id="87" w:name="_Toc8343684"/>
      <w:bookmarkStart w:id="88" w:name="_Toc503130782"/>
      <w:bookmarkStart w:id="89" w:name="_Toc495406851"/>
      <w:bookmarkStart w:id="90" w:name="_Toc495397998"/>
      <w:bookmarkStart w:id="91" w:name="_Toc491700918"/>
      <w:bookmarkStart w:id="92" w:name="_Toc389465256"/>
      <w:bookmarkStart w:id="93" w:name="_Toc9078"/>
      <w:bookmarkStart w:id="94" w:name="_Toc301765380"/>
      <w:bookmarkStart w:id="95" w:name="_Toc495398048"/>
      <w:bookmarkStart w:id="96" w:name="_Toc2063938"/>
      <w:bookmarkStart w:id="97" w:name="_Toc503130721"/>
      <w:bookmarkStart w:id="98" w:name="_Toc2063970"/>
      <w:bookmarkStart w:id="99" w:name="_Toc2063807"/>
      <w:r>
        <w:rPr>
          <w:rFonts w:ascii="Times New Roman"/>
          <w:color w:val="000000"/>
          <w:highlight w:val="none"/>
        </w:rPr>
        <w:t>一、总则</w:t>
      </w:r>
      <w:bookmarkEnd w:id="87"/>
      <w:bookmarkEnd w:id="88"/>
      <w:bookmarkEnd w:id="89"/>
      <w:bookmarkEnd w:id="90"/>
      <w:bookmarkEnd w:id="91"/>
      <w:bookmarkEnd w:id="92"/>
      <w:bookmarkEnd w:id="93"/>
      <w:bookmarkEnd w:id="94"/>
      <w:bookmarkEnd w:id="95"/>
      <w:bookmarkEnd w:id="96"/>
      <w:bookmarkEnd w:id="97"/>
      <w:bookmarkEnd w:id="98"/>
      <w:bookmarkEnd w:id="99"/>
    </w:p>
    <w:p>
      <w:pPr>
        <w:pStyle w:val="2"/>
        <w:rPr>
          <w:rFonts w:ascii="Times New Roman"/>
          <w:color w:val="000000"/>
          <w:highlight w:val="none"/>
        </w:rPr>
      </w:pPr>
      <w:bookmarkStart w:id="100" w:name="_Toc441975316"/>
      <w:bookmarkStart w:id="101" w:name="_Toc28698"/>
      <w:bookmarkStart w:id="102" w:name="_Toc2063682"/>
      <w:bookmarkStart w:id="103" w:name="_Toc441204424"/>
      <w:bookmarkStart w:id="104" w:name="_Toc8343685"/>
      <w:bookmarkStart w:id="105" w:name="_Toc2063808"/>
      <w:bookmarkStart w:id="106" w:name="_Ref389453949"/>
      <w:bookmarkStart w:id="107" w:name="_Toc452726934"/>
      <w:bookmarkStart w:id="108" w:name="_Toc302374124"/>
      <w:bookmarkStart w:id="109" w:name="_Toc452800679"/>
      <w:bookmarkStart w:id="110" w:name="_Ref452637671"/>
      <w:bookmarkStart w:id="111" w:name="_Ref452633195"/>
      <w:bookmarkStart w:id="112" w:name="_Toc452306092"/>
      <w:bookmarkStart w:id="113" w:name="_Toc452727294"/>
      <w:bookmarkStart w:id="114" w:name="_Toc434462175"/>
      <w:bookmarkStart w:id="115" w:name="_Toc434462786"/>
      <w:bookmarkStart w:id="116" w:name="_Toc434897289"/>
      <w:r>
        <w:rPr>
          <w:rFonts w:ascii="Times New Roman"/>
          <w:color w:val="000000"/>
          <w:highlight w:val="none"/>
        </w:rPr>
        <w:t>适用范围</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pStyle w:val="12"/>
        <w:rPr>
          <w:color w:val="000000"/>
          <w:highlight w:val="none"/>
        </w:rPr>
      </w:pPr>
      <w:r>
        <w:rPr>
          <w:color w:val="000000"/>
          <w:highlight w:val="none"/>
        </w:rPr>
        <w:t>本招标文件适用于</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_Ref389721031 \r \h  \* MERGEFORMAT </w:instrText>
      </w:r>
      <w:r>
        <w:rPr>
          <w:color w:val="000000"/>
          <w:highlight w:val="none"/>
        </w:rPr>
        <w:fldChar w:fldCharType="separate"/>
      </w:r>
      <w:r>
        <w:rPr>
          <w:color w:val="000000"/>
          <w:highlight w:val="none"/>
        </w:rPr>
        <w:t>1</w:t>
      </w:r>
      <w:r>
        <w:rPr>
          <w:color w:val="000000"/>
          <w:highlight w:val="none"/>
        </w:rPr>
        <w:fldChar w:fldCharType="end"/>
      </w:r>
      <w:r>
        <w:rPr>
          <w:color w:val="000000"/>
          <w:highlight w:val="none"/>
        </w:rPr>
        <w:t>项所列项目及货物的采购。</w:t>
      </w:r>
    </w:p>
    <w:p>
      <w:pPr>
        <w:pStyle w:val="2"/>
        <w:rPr>
          <w:rFonts w:ascii="Times New Roman"/>
          <w:color w:val="000000"/>
          <w:highlight w:val="none"/>
        </w:rPr>
      </w:pPr>
      <w:bookmarkStart w:id="117" w:name="_Ref389454069"/>
      <w:bookmarkStart w:id="118" w:name="_Toc26737"/>
      <w:r>
        <w:rPr>
          <w:rFonts w:ascii="Times New Roman"/>
          <w:color w:val="000000"/>
          <w:highlight w:val="none"/>
        </w:rPr>
        <w:t>招标人和招标代理机构</w:t>
      </w:r>
      <w:bookmarkEnd w:id="117"/>
      <w:bookmarkEnd w:id="118"/>
    </w:p>
    <w:p>
      <w:pPr>
        <w:pStyle w:val="12"/>
        <w:rPr>
          <w:color w:val="000000"/>
          <w:highlight w:val="none"/>
        </w:rPr>
      </w:pPr>
      <w:r>
        <w:rPr>
          <w:color w:val="000000"/>
          <w:highlight w:val="none"/>
        </w:rPr>
        <w:t>本次招标的招标人和招标代理机构见</w:t>
      </w:r>
      <w:r>
        <w:rPr>
          <w:rStyle w:val="41"/>
          <w:rFonts w:ascii="Times New Roman"/>
          <w:color w:val="000000"/>
          <w:highlight w:val="none"/>
        </w:rPr>
        <w:t>本须知前附表</w:t>
      </w:r>
      <w:r>
        <w:rPr>
          <w:rStyle w:val="44"/>
          <w:color w:val="000000"/>
          <w:highlight w:val="none"/>
        </w:rPr>
        <w:t>第</w:t>
      </w:r>
      <w:r>
        <w:rPr>
          <w:color w:val="000000"/>
          <w:highlight w:val="none"/>
        </w:rPr>
        <w:fldChar w:fldCharType="begin"/>
      </w:r>
      <w:r>
        <w:rPr>
          <w:rStyle w:val="44"/>
          <w:color w:val="000000"/>
          <w:highlight w:val="none"/>
        </w:rPr>
        <w:instrText xml:space="preserve"> REF _Ref389721040 \r \h </w:instrText>
      </w:r>
      <w:r>
        <w:rPr>
          <w:color w:val="000000"/>
          <w:highlight w:val="none"/>
        </w:rPr>
        <w:instrText xml:space="preserve"> \* MERGEFORMAT </w:instrText>
      </w:r>
      <w:r>
        <w:rPr>
          <w:color w:val="000000"/>
          <w:highlight w:val="none"/>
        </w:rPr>
        <w:fldChar w:fldCharType="separate"/>
      </w:r>
      <w:r>
        <w:rPr>
          <w:rStyle w:val="44"/>
          <w:color w:val="000000"/>
          <w:highlight w:val="none"/>
        </w:rPr>
        <w:t>2</w:t>
      </w:r>
      <w:r>
        <w:rPr>
          <w:color w:val="000000"/>
          <w:highlight w:val="none"/>
        </w:rPr>
        <w:fldChar w:fldCharType="end"/>
      </w:r>
      <w:r>
        <w:rPr>
          <w:rStyle w:val="44"/>
          <w:color w:val="000000"/>
          <w:highlight w:val="none"/>
        </w:rPr>
        <w:t>项和第</w:t>
      </w:r>
      <w:r>
        <w:rPr>
          <w:color w:val="000000"/>
          <w:highlight w:val="none"/>
        </w:rPr>
        <w:fldChar w:fldCharType="begin"/>
      </w:r>
      <w:r>
        <w:rPr>
          <w:rStyle w:val="44"/>
          <w:color w:val="000000"/>
          <w:highlight w:val="none"/>
        </w:rPr>
        <w:instrText xml:space="preserve"> REF _Ref389721049 \r \h </w:instrText>
      </w:r>
      <w:r>
        <w:rPr>
          <w:color w:val="000000"/>
          <w:highlight w:val="none"/>
        </w:rPr>
        <w:instrText xml:space="preserve"> \* MERGEFORMAT </w:instrText>
      </w:r>
      <w:r>
        <w:rPr>
          <w:color w:val="000000"/>
          <w:highlight w:val="none"/>
        </w:rPr>
        <w:fldChar w:fldCharType="separate"/>
      </w:r>
      <w:r>
        <w:rPr>
          <w:rStyle w:val="44"/>
          <w:color w:val="000000"/>
          <w:highlight w:val="none"/>
        </w:rPr>
        <w:t>3</w:t>
      </w:r>
      <w:r>
        <w:rPr>
          <w:color w:val="000000"/>
          <w:highlight w:val="none"/>
        </w:rPr>
        <w:fldChar w:fldCharType="end"/>
      </w:r>
      <w:r>
        <w:rPr>
          <w:rStyle w:val="44"/>
          <w:color w:val="000000"/>
          <w:highlight w:val="none"/>
        </w:rPr>
        <w:t>项。</w:t>
      </w:r>
    </w:p>
    <w:p>
      <w:pPr>
        <w:pStyle w:val="2"/>
        <w:rPr>
          <w:rFonts w:ascii="Times New Roman"/>
          <w:color w:val="000000"/>
          <w:highlight w:val="none"/>
        </w:rPr>
      </w:pPr>
      <w:bookmarkStart w:id="119" w:name="_Toc452726935"/>
      <w:bookmarkStart w:id="120" w:name="_Toc8343686"/>
      <w:bookmarkStart w:id="121" w:name="_Toc302374125"/>
      <w:bookmarkStart w:id="122" w:name="_Toc452306093"/>
      <w:bookmarkStart w:id="123" w:name="_Toc2063809"/>
      <w:bookmarkStart w:id="124" w:name="_Toc452727295"/>
      <w:bookmarkStart w:id="125" w:name="_Toc27158"/>
      <w:bookmarkStart w:id="126" w:name="_Toc2063683"/>
      <w:bookmarkStart w:id="127" w:name="_Toc452800680"/>
      <w:r>
        <w:rPr>
          <w:rFonts w:ascii="Times New Roman"/>
          <w:color w:val="000000"/>
          <w:highlight w:val="none"/>
        </w:rPr>
        <w:t>合格的投标人</w:t>
      </w:r>
      <w:bookmarkEnd w:id="114"/>
      <w:bookmarkEnd w:id="115"/>
      <w:bookmarkEnd w:id="116"/>
      <w:bookmarkEnd w:id="119"/>
      <w:bookmarkEnd w:id="120"/>
      <w:bookmarkEnd w:id="121"/>
      <w:bookmarkEnd w:id="122"/>
      <w:bookmarkEnd w:id="123"/>
      <w:bookmarkEnd w:id="124"/>
      <w:bookmarkEnd w:id="125"/>
      <w:bookmarkEnd w:id="126"/>
      <w:bookmarkEnd w:id="127"/>
    </w:p>
    <w:p>
      <w:pPr>
        <w:pStyle w:val="3"/>
        <w:rPr>
          <w:color w:val="000000"/>
          <w:highlight w:val="none"/>
        </w:rPr>
      </w:pPr>
      <w:bookmarkStart w:id="128" w:name="_Ref521600821"/>
      <w:bookmarkStart w:id="129" w:name="_Ref452637774"/>
      <w:r>
        <w:rPr>
          <w:color w:val="000000"/>
          <w:highlight w:val="none"/>
        </w:rPr>
        <w:t>单位负责人为同一人或者存在直接控股</w:t>
      </w:r>
      <w:r>
        <w:rPr>
          <w:rFonts w:hint="eastAsia"/>
          <w:color w:val="000000"/>
          <w:highlight w:val="none"/>
        </w:rPr>
        <w:t>或</w:t>
      </w:r>
      <w:r>
        <w:rPr>
          <w:color w:val="000000"/>
          <w:highlight w:val="none"/>
        </w:rPr>
        <w:t>管理关系的不同单位，不得参加同一</w:t>
      </w:r>
      <w:r>
        <w:rPr>
          <w:rFonts w:hint="eastAsia"/>
          <w:color w:val="000000"/>
          <w:highlight w:val="none"/>
        </w:rPr>
        <w:t>合同项下的政府采购项目</w:t>
      </w:r>
      <w:r>
        <w:rPr>
          <w:color w:val="000000"/>
          <w:highlight w:val="none"/>
        </w:rPr>
        <w:t>。</w:t>
      </w:r>
      <w:bookmarkEnd w:id="128"/>
    </w:p>
    <w:bookmarkEnd w:id="129"/>
    <w:p>
      <w:pPr>
        <w:pStyle w:val="3"/>
        <w:rPr>
          <w:color w:val="000000"/>
          <w:highlight w:val="none"/>
        </w:rPr>
      </w:pPr>
      <w:bookmarkStart w:id="130" w:name="_Ref521600828"/>
      <w:r>
        <w:rPr>
          <w:color w:val="000000"/>
          <w:highlight w:val="none"/>
        </w:rPr>
        <w:t>投标人应未曾为招标人在本招标合同项下拟采购的货物提供设计、编制</w:t>
      </w:r>
      <w:r>
        <w:rPr>
          <w:rStyle w:val="41"/>
          <w:rFonts w:ascii="Times New Roman"/>
          <w:color w:val="000000"/>
          <w:highlight w:val="none"/>
        </w:rPr>
        <w:t>技术规格</w:t>
      </w:r>
      <w:r>
        <w:rPr>
          <w:color w:val="000000"/>
          <w:highlight w:val="none"/>
        </w:rPr>
        <w:t>或者提供项目管理、监理、检测等服务。</w:t>
      </w:r>
      <w:bookmarkEnd w:id="130"/>
    </w:p>
    <w:p>
      <w:pPr>
        <w:pStyle w:val="3"/>
        <w:rPr>
          <w:color w:val="000000"/>
          <w:highlight w:val="none"/>
        </w:rPr>
      </w:pPr>
      <w:r>
        <w:rPr>
          <w:color w:val="000000"/>
          <w:highlight w:val="none"/>
        </w:rPr>
        <w:t>投标人应满足</w:t>
      </w:r>
      <w:r>
        <w:rPr>
          <w:rStyle w:val="41"/>
          <w:rFonts w:ascii="Times New Roman"/>
          <w:color w:val="000000"/>
          <w:highlight w:val="none"/>
        </w:rPr>
        <w:t>投标邀请书</w:t>
      </w:r>
      <w:r>
        <w:rPr>
          <w:color w:val="000000"/>
          <w:highlight w:val="none"/>
        </w:rPr>
        <w:t>中规定的合格投标人的各项资格要求。</w:t>
      </w:r>
    </w:p>
    <w:p>
      <w:pPr>
        <w:pStyle w:val="3"/>
        <w:rPr>
          <w:rFonts w:hint="eastAsia"/>
          <w:color w:val="000000"/>
          <w:highlight w:val="none"/>
        </w:rPr>
      </w:pPr>
      <w:r>
        <w:rPr>
          <w:color w:val="000000"/>
          <w:highlight w:val="none"/>
        </w:rPr>
        <w:t>本次招标</w:t>
      </w:r>
      <w:r>
        <w:rPr>
          <w:rFonts w:hint="eastAsia"/>
          <w:color w:val="000000"/>
          <w:highlight w:val="none"/>
        </w:rPr>
        <w:t>所称中小企业，是指在中华人民共和国境内依法设立，依据《关于印发中小企业划型标准规定的通知》（工信部联企业〔2011〕300号）的中小企业划分标准确定的中型企业、小型企业和微型企业。</w:t>
      </w:r>
    </w:p>
    <w:p>
      <w:pPr>
        <w:pStyle w:val="3"/>
        <w:rPr>
          <w:color w:val="000000"/>
          <w:highlight w:val="none"/>
        </w:rPr>
      </w:pPr>
      <w:r>
        <w:rPr>
          <w:color w:val="000000"/>
          <w:highlight w:val="none"/>
        </w:rPr>
        <w:t>如果本次招标允许两个或两个以上单位组成投标联合体参与投标，则整个投标联合体将被视为一个投标人，且组成投标联合体的牵头人及各成员应满足</w:t>
      </w:r>
      <w:r>
        <w:rPr>
          <w:rStyle w:val="41"/>
          <w:rFonts w:ascii="Times New Roman"/>
          <w:color w:val="000000"/>
          <w:highlight w:val="none"/>
        </w:rPr>
        <w:t>投标邀请书</w:t>
      </w:r>
      <w:r>
        <w:rPr>
          <w:color w:val="000000"/>
          <w:highlight w:val="none"/>
        </w:rPr>
        <w:t>中所列明的相关资格要求。当由两个或两个以上单位组成投标联合体时，除须提交联合体各方各自的相关证明文件外，还应符合下列要求：</w:t>
      </w:r>
    </w:p>
    <w:p>
      <w:pPr>
        <w:pStyle w:val="8"/>
        <w:rPr>
          <w:color w:val="000000"/>
          <w:highlight w:val="none"/>
        </w:rPr>
      </w:pPr>
      <w:r>
        <w:rPr>
          <w:color w:val="000000"/>
          <w:highlight w:val="none"/>
        </w:rPr>
        <w:t>应随投标文件一起提交一份“共同投标协议”，该协议中应明确指定联合体的牵头人，阐明联合体各方的职责和分工，声明联合体各方在合同执行过程中将承担各自独立和相互连带的责任；</w:t>
      </w:r>
    </w:p>
    <w:p>
      <w:pPr>
        <w:pStyle w:val="8"/>
        <w:rPr>
          <w:color w:val="000000"/>
          <w:highlight w:val="none"/>
        </w:rPr>
      </w:pPr>
      <w:r>
        <w:rPr>
          <w:color w:val="000000"/>
          <w:highlight w:val="none"/>
        </w:rPr>
        <w:t>联合体各方的职责和分工应与各自的特长、专业工作经验和资质等级允许承担的工作范围（若有时）相适应；</w:t>
      </w:r>
    </w:p>
    <w:p>
      <w:pPr>
        <w:pStyle w:val="8"/>
        <w:rPr>
          <w:color w:val="000000"/>
          <w:highlight w:val="none"/>
        </w:rPr>
      </w:pPr>
      <w:r>
        <w:rPr>
          <w:color w:val="000000"/>
          <w:highlight w:val="none"/>
        </w:rPr>
        <w:t>投标人的投标文件及中标后签署的合同文件，对联合体的每一成员均具有法律约束力；</w:t>
      </w:r>
    </w:p>
    <w:p>
      <w:pPr>
        <w:pStyle w:val="8"/>
        <w:rPr>
          <w:color w:val="000000"/>
          <w:highlight w:val="none"/>
        </w:rPr>
      </w:pPr>
      <w:r>
        <w:rPr>
          <w:color w:val="000000"/>
          <w:highlight w:val="none"/>
        </w:rPr>
        <w:t>除牵头人之外的联合体其他各方的单位负责人应签署并提交一份授权书，以证明联合体牵头人的资格；</w:t>
      </w:r>
    </w:p>
    <w:p>
      <w:pPr>
        <w:pStyle w:val="8"/>
        <w:rPr>
          <w:color w:val="000000"/>
          <w:highlight w:val="none"/>
        </w:rPr>
      </w:pPr>
      <w:r>
        <w:rPr>
          <w:color w:val="000000"/>
          <w:highlight w:val="none"/>
        </w:rPr>
        <w:t>联合体牵头人应被授权代表所有联合体成员承担责任和接受指令，并且由联合体牵头人负责整个合同的全面实施；</w:t>
      </w:r>
    </w:p>
    <w:p>
      <w:pPr>
        <w:pStyle w:val="8"/>
        <w:rPr>
          <w:color w:val="000000"/>
          <w:highlight w:val="none"/>
        </w:rPr>
      </w:pPr>
      <w:r>
        <w:rPr>
          <w:color w:val="000000"/>
          <w:highlight w:val="none"/>
        </w:rPr>
        <w:t>联合体的各成员不得再以自己名义单独参加本次投标，也不得同时加入两个或两个以上联合体参加本次投标，如有违反将取消全部相关投标人的投标资格；</w:t>
      </w:r>
    </w:p>
    <w:p>
      <w:pPr>
        <w:pStyle w:val="8"/>
        <w:rPr>
          <w:color w:val="000000"/>
          <w:highlight w:val="none"/>
        </w:rPr>
      </w:pPr>
      <w:r>
        <w:rPr>
          <w:color w:val="000000"/>
          <w:highlight w:val="none"/>
        </w:rPr>
        <w:t>由同一专业的单位组成的联合体，按照“共同投标协议”中分工承担该专业工作的资质等级较低的成员确定整个联合体该专业的资质等级。</w:t>
      </w:r>
    </w:p>
    <w:p>
      <w:pPr>
        <w:numPr>
          <w:ilvl w:val="1"/>
          <w:numId w:val="1"/>
        </w:numPr>
        <w:outlineLvl w:val="1"/>
        <w:rPr>
          <w:color w:val="000000"/>
          <w:highlight w:val="none"/>
        </w:rPr>
      </w:pPr>
      <w:r>
        <w:rPr>
          <w:color w:val="000000"/>
          <w:highlight w:val="none"/>
        </w:rPr>
        <w:t>如果本次招标允许</w:t>
      </w:r>
      <w:r>
        <w:rPr>
          <w:rFonts w:hint="eastAsia"/>
          <w:color w:val="000000"/>
          <w:highlight w:val="none"/>
        </w:rPr>
        <w:t>合同分包履行的</w:t>
      </w:r>
      <w:r>
        <w:rPr>
          <w:color w:val="000000"/>
          <w:highlight w:val="none"/>
        </w:rPr>
        <w:t>，则</w:t>
      </w:r>
      <w:r>
        <w:rPr>
          <w:rFonts w:hint="eastAsia"/>
          <w:color w:val="000000"/>
          <w:highlight w:val="none"/>
        </w:rPr>
        <w:t>投标人应当在投标文件中载明分包承担的供应商，分包供应商均</w:t>
      </w:r>
      <w:r>
        <w:rPr>
          <w:color w:val="000000"/>
          <w:highlight w:val="none"/>
        </w:rPr>
        <w:t>应满足</w:t>
      </w:r>
      <w:r>
        <w:rPr>
          <w:rFonts w:eastAsia="黑体"/>
          <w:color w:val="000000"/>
          <w:kern w:val="44"/>
          <w:highlight w:val="none"/>
        </w:rPr>
        <w:t>投标邀请书</w:t>
      </w:r>
      <w:r>
        <w:rPr>
          <w:color w:val="000000"/>
          <w:highlight w:val="none"/>
        </w:rPr>
        <w:t>中所列明的相关资格要求</w:t>
      </w:r>
      <w:r>
        <w:rPr>
          <w:rFonts w:hint="eastAsia"/>
          <w:color w:val="000000"/>
          <w:highlight w:val="none"/>
        </w:rPr>
        <w:t>且不得再次分包。投标人和分包供应商</w:t>
      </w:r>
      <w:r>
        <w:rPr>
          <w:color w:val="000000"/>
          <w:highlight w:val="none"/>
        </w:rPr>
        <w:t>除须提交各方各自的相关证明文件外，还应符合下列要求：</w:t>
      </w:r>
    </w:p>
    <w:p>
      <w:pPr>
        <w:pStyle w:val="8"/>
        <w:rPr>
          <w:color w:val="000000"/>
          <w:highlight w:val="none"/>
        </w:rPr>
      </w:pPr>
      <w:r>
        <w:rPr>
          <w:color w:val="000000"/>
          <w:highlight w:val="none"/>
        </w:rPr>
        <w:t>应随投标文件一起提交一份“</w:t>
      </w:r>
      <w:r>
        <w:rPr>
          <w:rFonts w:hint="eastAsia"/>
          <w:color w:val="000000"/>
          <w:highlight w:val="none"/>
        </w:rPr>
        <w:t>分包意向协议</w:t>
      </w:r>
      <w:r>
        <w:rPr>
          <w:color w:val="000000"/>
          <w:highlight w:val="none"/>
        </w:rPr>
        <w:t>”</w:t>
      </w:r>
      <w:r>
        <w:rPr>
          <w:rFonts w:hint="eastAsia"/>
          <w:color w:val="000000"/>
          <w:highlight w:val="none"/>
        </w:rPr>
        <w:t>。</w:t>
      </w:r>
      <w:r>
        <w:rPr>
          <w:color w:val="000000"/>
          <w:highlight w:val="none"/>
        </w:rPr>
        <w:t>该协议中应明确</w:t>
      </w:r>
      <w:r>
        <w:rPr>
          <w:rFonts w:hint="eastAsia"/>
          <w:color w:val="000000"/>
          <w:highlight w:val="none"/>
        </w:rPr>
        <w:t>分包供应商；</w:t>
      </w:r>
      <w:r>
        <w:rPr>
          <w:color w:val="000000"/>
          <w:highlight w:val="none"/>
        </w:rPr>
        <w:t>阐明</w:t>
      </w:r>
      <w:r>
        <w:rPr>
          <w:rFonts w:hint="eastAsia"/>
          <w:color w:val="000000"/>
          <w:highlight w:val="none"/>
        </w:rPr>
        <w:t>分包供应商的职责和工作内容；</w:t>
      </w:r>
      <w:r>
        <w:rPr>
          <w:color w:val="000000"/>
          <w:highlight w:val="none"/>
        </w:rPr>
        <w:t>声明在合同执行过程中</w:t>
      </w:r>
      <w:r>
        <w:rPr>
          <w:rFonts w:hint="eastAsia"/>
          <w:color w:val="000000"/>
          <w:highlight w:val="none"/>
        </w:rPr>
        <w:t>由中标人就采购项目和分包项目向招标人负责，分包供应商就分包项目承担责任。</w:t>
      </w:r>
    </w:p>
    <w:p>
      <w:pPr>
        <w:pStyle w:val="8"/>
        <w:rPr>
          <w:color w:val="000000"/>
          <w:highlight w:val="none"/>
        </w:rPr>
      </w:pPr>
      <w:r>
        <w:rPr>
          <w:rFonts w:hint="eastAsia"/>
          <w:color w:val="000000"/>
          <w:highlight w:val="none"/>
        </w:rPr>
        <w:t>分包供应商</w:t>
      </w:r>
      <w:r>
        <w:rPr>
          <w:color w:val="000000"/>
          <w:highlight w:val="none"/>
        </w:rPr>
        <w:t>不得再以自己名义单独参加本次投标，也不得同时</w:t>
      </w:r>
      <w:r>
        <w:rPr>
          <w:rFonts w:hint="eastAsia"/>
          <w:color w:val="000000"/>
          <w:highlight w:val="none"/>
        </w:rPr>
        <w:t>作为</w:t>
      </w:r>
      <w:r>
        <w:rPr>
          <w:color w:val="000000"/>
          <w:highlight w:val="none"/>
        </w:rPr>
        <w:t>两个或两个以上</w:t>
      </w:r>
      <w:r>
        <w:rPr>
          <w:rFonts w:hint="eastAsia"/>
          <w:color w:val="000000"/>
          <w:highlight w:val="none"/>
        </w:rPr>
        <w:t>投标人的分包供应商</w:t>
      </w:r>
      <w:r>
        <w:rPr>
          <w:color w:val="000000"/>
          <w:highlight w:val="none"/>
        </w:rPr>
        <w:t>，如有违反将取消全部相关投标人的投标资格；</w:t>
      </w:r>
    </w:p>
    <w:p>
      <w:pPr>
        <w:pStyle w:val="2"/>
        <w:rPr>
          <w:rFonts w:ascii="Times New Roman"/>
          <w:color w:val="000000"/>
          <w:highlight w:val="none"/>
        </w:rPr>
      </w:pPr>
      <w:bookmarkStart w:id="131" w:name="_Toc2063684"/>
      <w:bookmarkStart w:id="132" w:name="_Toc434462176"/>
      <w:bookmarkStart w:id="133" w:name="_Toc8343687"/>
      <w:bookmarkStart w:id="134" w:name="_Toc452306094"/>
      <w:bookmarkStart w:id="135" w:name="_Toc2063810"/>
      <w:bookmarkStart w:id="136" w:name="_Toc452727296"/>
      <w:bookmarkStart w:id="137" w:name="_Toc302374126"/>
      <w:bookmarkStart w:id="138" w:name="_Toc452726936"/>
      <w:bookmarkStart w:id="139" w:name="_Toc434897290"/>
      <w:bookmarkStart w:id="140" w:name="_Toc434462787"/>
      <w:bookmarkStart w:id="141" w:name="_Toc21726"/>
      <w:bookmarkStart w:id="142" w:name="_Toc452800681"/>
      <w:r>
        <w:rPr>
          <w:rFonts w:ascii="Times New Roman"/>
          <w:color w:val="000000"/>
          <w:highlight w:val="none"/>
        </w:rPr>
        <w:t>投标费用</w:t>
      </w:r>
      <w:bookmarkEnd w:id="131"/>
      <w:bookmarkEnd w:id="132"/>
      <w:bookmarkEnd w:id="133"/>
      <w:bookmarkEnd w:id="134"/>
      <w:bookmarkEnd w:id="135"/>
      <w:bookmarkEnd w:id="136"/>
      <w:bookmarkEnd w:id="137"/>
      <w:bookmarkEnd w:id="138"/>
      <w:bookmarkEnd w:id="139"/>
      <w:bookmarkEnd w:id="140"/>
      <w:bookmarkEnd w:id="141"/>
      <w:bookmarkEnd w:id="142"/>
    </w:p>
    <w:p>
      <w:pPr>
        <w:pStyle w:val="12"/>
        <w:rPr>
          <w:color w:val="000000"/>
          <w:highlight w:val="none"/>
        </w:rPr>
      </w:pPr>
      <w:r>
        <w:rPr>
          <w:color w:val="000000"/>
          <w:highlight w:val="none"/>
        </w:rPr>
        <w:t>投标人应承担所有与编写和提交投标文件的所有费用，不论投标的结果如何，招标人和招标代理机构在任何情况下均无义务和责任承担这些费用。</w:t>
      </w:r>
    </w:p>
    <w:p>
      <w:pPr>
        <w:pStyle w:val="2"/>
        <w:rPr>
          <w:rFonts w:ascii="Times New Roman"/>
          <w:color w:val="000000"/>
          <w:highlight w:val="none"/>
        </w:rPr>
      </w:pPr>
      <w:bookmarkStart w:id="143" w:name="_Toc30288"/>
      <w:bookmarkStart w:id="144" w:name="_Toc502733734"/>
      <w:r>
        <w:rPr>
          <w:rFonts w:ascii="Times New Roman"/>
          <w:color w:val="000000"/>
          <w:highlight w:val="none"/>
        </w:rPr>
        <w:t>质疑</w:t>
      </w:r>
      <w:bookmarkEnd w:id="143"/>
      <w:bookmarkEnd w:id="144"/>
    </w:p>
    <w:p>
      <w:pPr>
        <w:pStyle w:val="3"/>
        <w:rPr>
          <w:rFonts w:hint="eastAsia"/>
          <w:color w:val="000000"/>
          <w:szCs w:val="22"/>
          <w:highlight w:val="none"/>
        </w:rPr>
      </w:pPr>
      <w:r>
        <w:rPr>
          <w:rFonts w:hint="eastAsia"/>
          <w:color w:val="000000"/>
          <w:szCs w:val="22"/>
          <w:highlight w:val="none"/>
        </w:rPr>
        <w:t>投标人对招标活动事项有疑问的，可以向招标人提出询问。询问可以采取电话、电子邮件、当面或书面等形式。对投标人的询问，招标人将依法及时作出答复，但答复的内容不涉及商业秘密或者依法应当保密的内容。投标人书面询问需在投标截止日十日前向招标人提出，超过该时间的书面询问将不予回答。</w:t>
      </w:r>
    </w:p>
    <w:p>
      <w:pPr>
        <w:pStyle w:val="3"/>
        <w:rPr>
          <w:rFonts w:hint="eastAsia"/>
          <w:color w:val="000000"/>
          <w:szCs w:val="22"/>
          <w:highlight w:val="none"/>
        </w:rPr>
      </w:pPr>
      <w:r>
        <w:rPr>
          <w:rFonts w:hint="eastAsia"/>
          <w:color w:val="000000"/>
          <w:szCs w:val="22"/>
          <w:highlight w:val="none"/>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pPr>
        <w:pStyle w:val="12"/>
        <w:ind w:firstLine="720"/>
        <w:rPr>
          <w:rFonts w:hint="eastAsia"/>
          <w:color w:val="000000"/>
          <w:highlight w:val="none"/>
        </w:rPr>
      </w:pPr>
      <w:r>
        <w:rPr>
          <w:rFonts w:hint="eastAsia"/>
          <w:color w:val="000000"/>
          <w:highlight w:val="none"/>
        </w:rPr>
        <w:t>投标人应当在法定质疑期内一次性提出针对同一采购程序环节的质疑，超过次数的质疑将不予受理。以联合体形式参加政府采购活动的，其质疑应当由组成联合体的所有供应商共同提出。</w:t>
      </w:r>
    </w:p>
    <w:p>
      <w:pPr>
        <w:pStyle w:val="3"/>
        <w:rPr>
          <w:rFonts w:hint="eastAsia"/>
          <w:color w:val="000000"/>
          <w:szCs w:val="22"/>
          <w:highlight w:val="none"/>
        </w:rPr>
      </w:pPr>
      <w:r>
        <w:rPr>
          <w:rFonts w:hint="eastAsia"/>
          <w:color w:val="000000"/>
          <w:szCs w:val="22"/>
          <w:highlight w:val="none"/>
        </w:rPr>
        <w:t>投标人可以委托代理人进行质疑。代理人提出质疑应当提交投标人签署的授权委托书，并提供相应的身份证明。授权委托书应当载明代理人的姓名或者名称、代理事项、具体权限、期限和相关事项。投标人为自然人的，应当由本人签字；投标人为法人或者其他组织的，应当由法定代表人、主要负责人签字或者盖章，并加盖公章。</w:t>
      </w:r>
    </w:p>
    <w:p>
      <w:pPr>
        <w:pStyle w:val="3"/>
        <w:rPr>
          <w:rFonts w:hint="eastAsia"/>
          <w:color w:val="000000"/>
          <w:szCs w:val="22"/>
          <w:highlight w:val="none"/>
        </w:rPr>
      </w:pPr>
      <w:r>
        <w:rPr>
          <w:rFonts w:hint="eastAsia"/>
          <w:color w:val="000000"/>
          <w:szCs w:val="22"/>
          <w:highlight w:val="none"/>
        </w:rPr>
        <w:t>质疑应明确阐述招标文件、招标过程或中标结果中使自己合法权益受到损害的实质性内容，提供相关事实、依据和证据及其来源或线索，以便于有关单位调查、答复和处理。</w:t>
      </w:r>
    </w:p>
    <w:p>
      <w:pPr>
        <w:pStyle w:val="12"/>
        <w:rPr>
          <w:rFonts w:hint="eastAsia"/>
          <w:color w:val="000000"/>
          <w:highlight w:val="none"/>
        </w:rPr>
      </w:pPr>
      <w:r>
        <w:rPr>
          <w:rFonts w:hint="eastAsia"/>
          <w:color w:val="000000"/>
          <w:highlight w:val="none"/>
        </w:rPr>
        <w:t>投标人提出质疑应当提交质疑函和必要的证明材料。质疑函应当包括下列内容：</w:t>
      </w:r>
    </w:p>
    <w:p>
      <w:pPr>
        <w:pStyle w:val="8"/>
        <w:rPr>
          <w:rFonts w:hint="eastAsia"/>
          <w:color w:val="000000"/>
          <w:szCs w:val="22"/>
          <w:highlight w:val="none"/>
        </w:rPr>
      </w:pPr>
      <w:r>
        <w:rPr>
          <w:rFonts w:hint="eastAsia"/>
          <w:color w:val="000000"/>
          <w:szCs w:val="22"/>
          <w:highlight w:val="none"/>
        </w:rPr>
        <w:t>供应商的姓名或者名称、地址、邮编、联系人及联系电话</w:t>
      </w:r>
    </w:p>
    <w:p>
      <w:pPr>
        <w:pStyle w:val="8"/>
        <w:rPr>
          <w:rFonts w:hint="eastAsia"/>
          <w:color w:val="000000"/>
          <w:szCs w:val="22"/>
          <w:highlight w:val="none"/>
        </w:rPr>
      </w:pPr>
      <w:r>
        <w:rPr>
          <w:rFonts w:hint="eastAsia"/>
          <w:color w:val="000000"/>
          <w:szCs w:val="22"/>
          <w:highlight w:val="none"/>
        </w:rPr>
        <w:t>质疑项目的名称、编号</w:t>
      </w:r>
    </w:p>
    <w:p>
      <w:pPr>
        <w:pStyle w:val="8"/>
        <w:rPr>
          <w:rFonts w:hint="eastAsia"/>
          <w:color w:val="000000"/>
          <w:szCs w:val="22"/>
          <w:highlight w:val="none"/>
        </w:rPr>
      </w:pPr>
      <w:r>
        <w:rPr>
          <w:rFonts w:hint="eastAsia"/>
          <w:color w:val="000000"/>
          <w:szCs w:val="22"/>
          <w:highlight w:val="none"/>
        </w:rPr>
        <w:t>具体、明确的质疑事项和与质疑事项相关的请求</w:t>
      </w:r>
    </w:p>
    <w:p>
      <w:pPr>
        <w:pStyle w:val="8"/>
        <w:rPr>
          <w:rFonts w:hint="eastAsia"/>
          <w:color w:val="000000"/>
          <w:szCs w:val="22"/>
          <w:highlight w:val="none"/>
        </w:rPr>
      </w:pPr>
      <w:r>
        <w:rPr>
          <w:rFonts w:hint="eastAsia"/>
          <w:color w:val="000000"/>
          <w:szCs w:val="22"/>
          <w:highlight w:val="none"/>
        </w:rPr>
        <w:t>事实依据</w:t>
      </w:r>
    </w:p>
    <w:p>
      <w:pPr>
        <w:pStyle w:val="8"/>
        <w:rPr>
          <w:rFonts w:hint="eastAsia"/>
          <w:color w:val="000000"/>
          <w:szCs w:val="22"/>
          <w:highlight w:val="none"/>
        </w:rPr>
      </w:pPr>
      <w:r>
        <w:rPr>
          <w:rFonts w:hint="eastAsia"/>
          <w:color w:val="000000"/>
          <w:szCs w:val="22"/>
          <w:highlight w:val="none"/>
        </w:rPr>
        <w:t>必要的法律依据</w:t>
      </w:r>
    </w:p>
    <w:p>
      <w:pPr>
        <w:pStyle w:val="8"/>
        <w:rPr>
          <w:rFonts w:hint="eastAsia"/>
          <w:color w:val="000000"/>
          <w:szCs w:val="22"/>
          <w:highlight w:val="none"/>
        </w:rPr>
      </w:pPr>
      <w:r>
        <w:rPr>
          <w:rFonts w:hint="eastAsia"/>
          <w:color w:val="000000"/>
          <w:szCs w:val="22"/>
          <w:highlight w:val="none"/>
        </w:rPr>
        <w:t>提出质疑的日期</w:t>
      </w:r>
    </w:p>
    <w:p>
      <w:pPr>
        <w:pStyle w:val="12"/>
        <w:rPr>
          <w:rFonts w:hint="eastAsia"/>
          <w:color w:val="000000"/>
          <w:highlight w:val="none"/>
        </w:rPr>
      </w:pPr>
      <w:r>
        <w:rPr>
          <w:rFonts w:hint="eastAsia"/>
          <w:color w:val="000000"/>
          <w:highlight w:val="none"/>
        </w:rPr>
        <w:t>投标人为自然人的，应当由本人签字；投标人为法人或者其他组织的，应当由法定代表人、主要负责人，或者其授权代表签字或者盖章，并加盖公章。</w:t>
      </w:r>
    </w:p>
    <w:p>
      <w:pPr>
        <w:pStyle w:val="12"/>
        <w:rPr>
          <w:rFonts w:hint="eastAsia"/>
          <w:color w:val="000000"/>
          <w:highlight w:val="none"/>
        </w:rPr>
      </w:pPr>
      <w:r>
        <w:rPr>
          <w:rFonts w:hint="eastAsia"/>
          <w:color w:val="000000"/>
          <w:highlight w:val="none"/>
        </w:rPr>
        <w:t>质疑函应当按照财政部制定的范本填写，范本格式可通过中国政府采购网（http:// www.ccgp.gov.cn ）右侧的“下载专区”下载。</w:t>
      </w:r>
    </w:p>
    <w:p>
      <w:pPr>
        <w:pStyle w:val="3"/>
        <w:rPr>
          <w:rFonts w:hint="eastAsia"/>
          <w:color w:val="000000"/>
          <w:szCs w:val="22"/>
          <w:highlight w:val="none"/>
        </w:rPr>
      </w:pPr>
      <w:r>
        <w:rPr>
          <w:rFonts w:hint="eastAsia"/>
          <w:color w:val="000000"/>
          <w:szCs w:val="22"/>
          <w:highlight w:val="none"/>
        </w:rPr>
        <w:t>投标人提起询问和质疑，应当按照《政府采购质疑和投诉办法》（财政部令第94号）的规定办理。质疑函或授权委托书的内容不符合《投标人须知》第7.3条和第7.4条规定的，招标人将当场一次性告知投标人需要补正的事项，投标人超过法定质疑期未按要求补正并重新提交的，视为放弃质疑。</w:t>
      </w:r>
    </w:p>
    <w:p>
      <w:pPr>
        <w:pStyle w:val="12"/>
        <w:rPr>
          <w:rFonts w:hint="eastAsia"/>
          <w:color w:val="000000"/>
          <w:highlight w:val="none"/>
        </w:rPr>
      </w:pPr>
      <w:r>
        <w:rPr>
          <w:rFonts w:hint="eastAsia"/>
          <w:color w:val="000000"/>
          <w:highlight w:val="none"/>
        </w:rPr>
        <w:t>质疑函的递交应当采取当面递交形式，质疑递交地址：上海市徐汇区零陵路583号海洋石油大厦1216室，联系电话：33312773。</w:t>
      </w:r>
    </w:p>
    <w:p>
      <w:pPr>
        <w:pStyle w:val="3"/>
        <w:rPr>
          <w:rFonts w:hint="eastAsia"/>
          <w:color w:val="000000"/>
          <w:szCs w:val="22"/>
          <w:highlight w:val="none"/>
        </w:rPr>
      </w:pPr>
      <w:r>
        <w:rPr>
          <w:rFonts w:hint="eastAsia"/>
          <w:color w:val="000000"/>
          <w:szCs w:val="22"/>
          <w:highlight w:val="none"/>
        </w:rPr>
        <w:t>招标人将在收到投标人的书面质疑后七个工作日内作出答复，并以书面形式通知提出质疑的投标人和其他有关投标人，但答复的内容不涉及商业秘密或者依法应当保密的内容。</w:t>
      </w:r>
    </w:p>
    <w:p>
      <w:pPr>
        <w:pStyle w:val="3"/>
        <w:rPr>
          <w:color w:val="000000"/>
          <w:szCs w:val="22"/>
          <w:highlight w:val="none"/>
        </w:rPr>
      </w:pPr>
      <w:r>
        <w:rPr>
          <w:rFonts w:hint="eastAsia"/>
          <w:color w:val="000000"/>
          <w:szCs w:val="22"/>
          <w:highlight w:val="none"/>
        </w:rPr>
        <w:t>对投标人询问或质疑的答复将导致招标文件变更或者影响招标活动继续进行的，招标人将通知提出询问或质疑的投标人，并在原招标公告发布媒体上发布变更公告。</w:t>
      </w:r>
    </w:p>
    <w:p>
      <w:pPr>
        <w:pStyle w:val="83"/>
        <w:rPr>
          <w:rFonts w:ascii="Times New Roman"/>
          <w:color w:val="000000"/>
          <w:highlight w:val="none"/>
        </w:rPr>
      </w:pPr>
      <w:bookmarkStart w:id="145" w:name="_Toc301765381"/>
      <w:bookmarkStart w:id="146" w:name="_Toc503130783"/>
      <w:bookmarkStart w:id="147" w:name="_Toc495398049"/>
      <w:bookmarkStart w:id="148" w:name="_Toc491700919"/>
      <w:bookmarkStart w:id="149" w:name="_Toc8343688"/>
      <w:bookmarkStart w:id="150" w:name="_Toc2063971"/>
      <w:bookmarkStart w:id="151" w:name="_Toc2063811"/>
      <w:bookmarkStart w:id="152" w:name="_Toc6606"/>
      <w:bookmarkStart w:id="153" w:name="_Toc389465257"/>
      <w:bookmarkStart w:id="154" w:name="_Toc503130722"/>
      <w:bookmarkStart w:id="155" w:name="_Toc2063939"/>
      <w:bookmarkStart w:id="156" w:name="_Toc495397999"/>
      <w:bookmarkStart w:id="157" w:name="_Toc495406852"/>
      <w:r>
        <w:rPr>
          <w:rFonts w:ascii="Times New Roman"/>
          <w:color w:val="000000"/>
          <w:highlight w:val="none"/>
        </w:rPr>
        <w:t>二、招标文件</w:t>
      </w:r>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2"/>
        <w:rPr>
          <w:rFonts w:ascii="Times New Roman"/>
          <w:color w:val="000000"/>
          <w:highlight w:val="none"/>
        </w:rPr>
      </w:pPr>
      <w:bookmarkStart w:id="158" w:name="_Toc8343689"/>
      <w:bookmarkStart w:id="159" w:name="_Toc452727297"/>
      <w:bookmarkStart w:id="160" w:name="_Toc20553"/>
      <w:bookmarkStart w:id="161" w:name="_Toc302374127"/>
      <w:bookmarkStart w:id="162" w:name="_Toc452306095"/>
      <w:bookmarkStart w:id="163" w:name="_Toc434462788"/>
      <w:bookmarkStart w:id="164" w:name="_Toc2063812"/>
      <w:bookmarkStart w:id="165" w:name="_Toc452726937"/>
      <w:bookmarkStart w:id="166" w:name="_Toc2063685"/>
      <w:bookmarkStart w:id="167" w:name="_Toc434897291"/>
      <w:bookmarkStart w:id="168" w:name="_Toc452800682"/>
      <w:bookmarkStart w:id="169" w:name="_Toc434462177"/>
      <w:r>
        <w:rPr>
          <w:rFonts w:ascii="Times New Roman"/>
          <w:color w:val="000000"/>
          <w:highlight w:val="none"/>
        </w:rPr>
        <w:t>招标文件的构成</w:t>
      </w:r>
      <w:bookmarkEnd w:id="158"/>
      <w:bookmarkEnd w:id="159"/>
      <w:bookmarkEnd w:id="160"/>
      <w:bookmarkEnd w:id="161"/>
      <w:bookmarkEnd w:id="162"/>
      <w:bookmarkEnd w:id="163"/>
      <w:bookmarkEnd w:id="164"/>
      <w:bookmarkEnd w:id="165"/>
      <w:bookmarkEnd w:id="166"/>
      <w:bookmarkEnd w:id="167"/>
      <w:bookmarkEnd w:id="168"/>
      <w:bookmarkEnd w:id="169"/>
    </w:p>
    <w:p>
      <w:pPr>
        <w:pStyle w:val="3"/>
        <w:rPr>
          <w:color w:val="000000"/>
          <w:highlight w:val="none"/>
        </w:rPr>
      </w:pPr>
      <w:r>
        <w:rPr>
          <w:color w:val="000000"/>
          <w:highlight w:val="none"/>
        </w:rPr>
        <w:t>招标文件包括：</w:t>
      </w:r>
    </w:p>
    <w:p>
      <w:pPr>
        <w:pStyle w:val="12"/>
        <w:tabs>
          <w:tab w:val="left" w:pos="2060"/>
        </w:tabs>
        <w:ind w:firstLine="560"/>
        <w:rPr>
          <w:color w:val="000000"/>
          <w:highlight w:val="none"/>
        </w:rPr>
      </w:pPr>
      <w:r>
        <w:rPr>
          <w:color w:val="000000"/>
          <w:highlight w:val="none"/>
        </w:rPr>
        <w:t>章节</w:t>
      </w:r>
      <w:r>
        <w:rPr>
          <w:color w:val="000000"/>
          <w:highlight w:val="none"/>
        </w:rPr>
        <w:tab/>
      </w:r>
      <w:r>
        <w:rPr>
          <w:color w:val="000000"/>
          <w:highlight w:val="none"/>
        </w:rPr>
        <w:t>名称</w:t>
      </w:r>
    </w:p>
    <w:p>
      <w:pPr>
        <w:autoSpaceDE w:val="0"/>
        <w:autoSpaceDN w:val="0"/>
        <w:ind w:firstLine="2060"/>
        <w:textAlignment w:val="bottom"/>
        <w:rPr>
          <w:color w:val="000000"/>
          <w:highlight w:val="none"/>
        </w:rPr>
      </w:pPr>
      <w:r>
        <w:rPr>
          <w:color w:val="000000"/>
          <w:highlight w:val="none"/>
        </w:rPr>
        <w:t>投标邀请书</w:t>
      </w:r>
    </w:p>
    <w:p>
      <w:pPr>
        <w:tabs>
          <w:tab w:val="left" w:pos="2060"/>
        </w:tabs>
        <w:autoSpaceDE w:val="0"/>
        <w:autoSpaceDN w:val="0"/>
        <w:ind w:firstLine="680"/>
        <w:textAlignment w:val="bottom"/>
        <w:rPr>
          <w:color w:val="000000"/>
          <w:highlight w:val="none"/>
        </w:rPr>
      </w:pPr>
      <w:r>
        <w:rPr>
          <w:color w:val="000000"/>
          <w:highlight w:val="none"/>
        </w:rPr>
        <w:t>一</w:t>
      </w:r>
      <w:r>
        <w:rPr>
          <w:color w:val="000000"/>
          <w:highlight w:val="none"/>
        </w:rPr>
        <w:tab/>
      </w:r>
      <w:r>
        <w:rPr>
          <w:color w:val="000000"/>
          <w:highlight w:val="none"/>
        </w:rPr>
        <w:t>投标人须知及前附表</w:t>
      </w:r>
    </w:p>
    <w:p>
      <w:pPr>
        <w:tabs>
          <w:tab w:val="left" w:pos="2060"/>
        </w:tabs>
        <w:autoSpaceDE w:val="0"/>
        <w:autoSpaceDN w:val="0"/>
        <w:ind w:firstLine="680"/>
        <w:textAlignment w:val="bottom"/>
        <w:rPr>
          <w:color w:val="000000"/>
          <w:highlight w:val="none"/>
        </w:rPr>
      </w:pPr>
      <w:r>
        <w:rPr>
          <w:color w:val="000000"/>
          <w:highlight w:val="none"/>
        </w:rPr>
        <w:t>二</w:t>
      </w:r>
      <w:r>
        <w:rPr>
          <w:color w:val="000000"/>
          <w:highlight w:val="none"/>
        </w:rPr>
        <w:tab/>
      </w:r>
      <w:r>
        <w:rPr>
          <w:color w:val="000000"/>
          <w:highlight w:val="none"/>
        </w:rPr>
        <w:t>货物需求一览表</w:t>
      </w:r>
    </w:p>
    <w:p>
      <w:pPr>
        <w:tabs>
          <w:tab w:val="left" w:pos="2060"/>
        </w:tabs>
        <w:autoSpaceDE w:val="0"/>
        <w:autoSpaceDN w:val="0"/>
        <w:ind w:firstLine="680"/>
        <w:textAlignment w:val="bottom"/>
        <w:rPr>
          <w:color w:val="000000"/>
          <w:highlight w:val="none"/>
        </w:rPr>
      </w:pPr>
      <w:r>
        <w:rPr>
          <w:color w:val="000000"/>
          <w:highlight w:val="none"/>
        </w:rPr>
        <w:t>三</w:t>
      </w:r>
      <w:r>
        <w:rPr>
          <w:color w:val="000000"/>
          <w:highlight w:val="none"/>
        </w:rPr>
        <w:tab/>
      </w:r>
      <w:r>
        <w:rPr>
          <w:rStyle w:val="44"/>
          <w:color w:val="000000"/>
          <w:highlight w:val="none"/>
        </w:rPr>
        <w:t>技术规格</w:t>
      </w:r>
    </w:p>
    <w:p>
      <w:pPr>
        <w:tabs>
          <w:tab w:val="left" w:pos="2060"/>
        </w:tabs>
        <w:autoSpaceDE w:val="0"/>
        <w:autoSpaceDN w:val="0"/>
        <w:ind w:firstLine="680"/>
        <w:textAlignment w:val="bottom"/>
        <w:rPr>
          <w:color w:val="000000"/>
          <w:highlight w:val="none"/>
        </w:rPr>
      </w:pPr>
      <w:r>
        <w:rPr>
          <w:color w:val="000000"/>
          <w:highlight w:val="none"/>
        </w:rPr>
        <w:t>四</w:t>
      </w:r>
      <w:r>
        <w:rPr>
          <w:color w:val="000000"/>
          <w:highlight w:val="none"/>
        </w:rPr>
        <w:tab/>
      </w:r>
      <w:r>
        <w:rPr>
          <w:color w:val="000000"/>
          <w:highlight w:val="none"/>
        </w:rPr>
        <w:t>合同条款</w:t>
      </w:r>
    </w:p>
    <w:p>
      <w:pPr>
        <w:tabs>
          <w:tab w:val="left" w:pos="2060"/>
        </w:tabs>
        <w:autoSpaceDE w:val="0"/>
        <w:autoSpaceDN w:val="0"/>
        <w:ind w:firstLine="680"/>
        <w:textAlignment w:val="bottom"/>
        <w:rPr>
          <w:color w:val="000000"/>
          <w:highlight w:val="none"/>
        </w:rPr>
      </w:pPr>
      <w:r>
        <w:rPr>
          <w:color w:val="000000"/>
          <w:highlight w:val="none"/>
        </w:rPr>
        <w:t>五</w:t>
      </w:r>
      <w:r>
        <w:rPr>
          <w:color w:val="000000"/>
          <w:highlight w:val="none"/>
        </w:rPr>
        <w:tab/>
      </w:r>
      <w:r>
        <w:rPr>
          <w:color w:val="000000"/>
          <w:highlight w:val="none"/>
        </w:rPr>
        <w:t>各种格式</w:t>
      </w:r>
    </w:p>
    <w:p>
      <w:pPr>
        <w:tabs>
          <w:tab w:val="left" w:pos="2060"/>
        </w:tabs>
        <w:autoSpaceDE w:val="0"/>
        <w:autoSpaceDN w:val="0"/>
        <w:ind w:firstLine="680"/>
        <w:textAlignment w:val="bottom"/>
        <w:rPr>
          <w:color w:val="000000"/>
          <w:highlight w:val="none"/>
        </w:rPr>
      </w:pPr>
      <w:r>
        <w:rPr>
          <w:color w:val="000000"/>
          <w:highlight w:val="none"/>
        </w:rPr>
        <w:t>六</w:t>
      </w:r>
      <w:r>
        <w:rPr>
          <w:color w:val="000000"/>
          <w:highlight w:val="none"/>
        </w:rPr>
        <w:tab/>
      </w:r>
      <w:r>
        <w:rPr>
          <w:color w:val="000000"/>
          <w:highlight w:val="none"/>
        </w:rPr>
        <w:t>资格证明文件格式</w:t>
      </w:r>
    </w:p>
    <w:p>
      <w:pPr>
        <w:tabs>
          <w:tab w:val="left" w:pos="2060"/>
        </w:tabs>
        <w:autoSpaceDE w:val="0"/>
        <w:autoSpaceDN w:val="0"/>
        <w:ind w:firstLine="680"/>
        <w:textAlignment w:val="bottom"/>
        <w:rPr>
          <w:color w:val="000000"/>
          <w:highlight w:val="none"/>
        </w:rPr>
      </w:pPr>
      <w:r>
        <w:rPr>
          <w:color w:val="000000"/>
          <w:highlight w:val="none"/>
        </w:rPr>
        <w:t>七</w:t>
      </w:r>
      <w:r>
        <w:rPr>
          <w:color w:val="000000"/>
          <w:highlight w:val="none"/>
        </w:rPr>
        <w:tab/>
      </w:r>
      <w:r>
        <w:rPr>
          <w:color w:val="000000"/>
          <w:highlight w:val="none"/>
        </w:rPr>
        <w:t>评标办法</w:t>
      </w:r>
    </w:p>
    <w:p>
      <w:pPr>
        <w:pStyle w:val="3"/>
        <w:rPr>
          <w:color w:val="000000"/>
          <w:highlight w:val="none"/>
        </w:rPr>
      </w:pPr>
      <w:r>
        <w:rPr>
          <w:color w:val="000000"/>
          <w:highlight w:val="none"/>
        </w:rPr>
        <w:t>投标人应认真阅读招标文件中所有的章节、条款、格式、图样、附表和附件。如果投标人没有按照招标文件的要求提交全部资料，或者投标文件没有对招标文件在各方面都作出实质性响应，属于投标人的风险。根据</w:t>
      </w:r>
      <w:r>
        <w:rPr>
          <w:rStyle w:val="41"/>
          <w:rFonts w:ascii="Times New Roman"/>
          <w:color w:val="000000"/>
          <w:highlight w:val="none"/>
        </w:rPr>
        <w:t>评标办法</w:t>
      </w:r>
      <w:r>
        <w:rPr>
          <w:color w:val="000000"/>
          <w:highlight w:val="none"/>
        </w:rPr>
        <w:t>的规定，没有实质上响应招标文件要求的投标将被否决。</w:t>
      </w:r>
    </w:p>
    <w:p>
      <w:pPr>
        <w:numPr>
          <w:ilvl w:val="1"/>
          <w:numId w:val="1"/>
        </w:numPr>
        <w:outlineLvl w:val="1"/>
        <w:rPr>
          <w:color w:val="000000"/>
          <w:highlight w:val="none"/>
        </w:rPr>
      </w:pPr>
      <w:r>
        <w:rPr>
          <w:color w:val="000000"/>
          <w:highlight w:val="none"/>
        </w:rPr>
        <w:t>如果招标人在</w:t>
      </w:r>
      <w:r>
        <w:rPr>
          <w:rFonts w:eastAsia="黑体"/>
          <w:color w:val="000000"/>
          <w:kern w:val="44"/>
          <w:highlight w:val="none"/>
        </w:rPr>
        <w:t>技术规格</w:t>
      </w:r>
      <w:r>
        <w:rPr>
          <w:color w:val="000000"/>
          <w:highlight w:val="none"/>
        </w:rPr>
        <w:t>中给出了的工艺、材料和设备的标准或者参照的品牌及型号，则它们仅仅起说明作用，并没有任何限制性，投标人在其投标文件中可以选用替代的标准、品牌和（或）型号，但这种替代要实质上优于或相当于</w:t>
      </w:r>
      <w:r>
        <w:rPr>
          <w:rFonts w:eastAsia="黑体"/>
          <w:color w:val="000000"/>
          <w:kern w:val="44"/>
          <w:highlight w:val="none"/>
        </w:rPr>
        <w:t>技术规格</w:t>
      </w:r>
      <w:r>
        <w:rPr>
          <w:color w:val="000000"/>
          <w:highlight w:val="none"/>
        </w:rPr>
        <w:t>中的相关要求，并能使招标人满意。</w:t>
      </w:r>
    </w:p>
    <w:p>
      <w:pPr>
        <w:pStyle w:val="2"/>
        <w:rPr>
          <w:rFonts w:ascii="Times New Roman"/>
          <w:color w:val="000000"/>
          <w:highlight w:val="none"/>
        </w:rPr>
      </w:pPr>
      <w:bookmarkStart w:id="170" w:name="_Toc8343690"/>
      <w:bookmarkStart w:id="171" w:name="_Toc24740"/>
      <w:bookmarkStart w:id="172" w:name="_Toc434897292"/>
      <w:bookmarkStart w:id="173" w:name="_Toc452306096"/>
      <w:bookmarkStart w:id="174" w:name="_Toc302374128"/>
      <w:bookmarkStart w:id="175" w:name="_Toc434462178"/>
      <w:bookmarkStart w:id="176" w:name="_Toc2063686"/>
      <w:bookmarkStart w:id="177" w:name="_Ref389489040"/>
      <w:bookmarkStart w:id="178" w:name="_Toc452800683"/>
      <w:bookmarkStart w:id="179" w:name="_Toc434462789"/>
      <w:bookmarkStart w:id="180" w:name="_Toc452726938"/>
      <w:bookmarkStart w:id="181" w:name="_Toc452727298"/>
      <w:bookmarkStart w:id="182" w:name="_Toc2063813"/>
      <w:r>
        <w:rPr>
          <w:rFonts w:ascii="Times New Roman"/>
          <w:color w:val="000000"/>
          <w:highlight w:val="none"/>
        </w:rPr>
        <w:t>招标文件的澄清</w:t>
      </w:r>
      <w:bookmarkEnd w:id="170"/>
      <w:bookmarkEnd w:id="171"/>
      <w:bookmarkEnd w:id="172"/>
      <w:bookmarkEnd w:id="173"/>
      <w:bookmarkEnd w:id="174"/>
      <w:bookmarkEnd w:id="175"/>
      <w:bookmarkEnd w:id="176"/>
      <w:bookmarkEnd w:id="177"/>
      <w:bookmarkEnd w:id="178"/>
      <w:bookmarkEnd w:id="179"/>
      <w:bookmarkEnd w:id="180"/>
      <w:bookmarkEnd w:id="181"/>
      <w:bookmarkEnd w:id="182"/>
    </w:p>
    <w:p>
      <w:pPr>
        <w:pStyle w:val="12"/>
        <w:rPr>
          <w:color w:val="000000"/>
          <w:highlight w:val="none"/>
        </w:rPr>
      </w:pPr>
      <w:bookmarkStart w:id="183" w:name="_Toc452727299"/>
      <w:bookmarkStart w:id="184" w:name="_Toc302374129"/>
      <w:bookmarkStart w:id="185" w:name="_Toc2063687"/>
      <w:bookmarkStart w:id="186" w:name="_Toc434897293"/>
      <w:bookmarkStart w:id="187" w:name="_Toc452800684"/>
      <w:bookmarkStart w:id="188" w:name="_Toc8343691"/>
      <w:bookmarkStart w:id="189" w:name="_Toc2063814"/>
      <w:bookmarkStart w:id="190" w:name="_Toc434462179"/>
      <w:bookmarkStart w:id="191" w:name="_Toc452306097"/>
      <w:bookmarkStart w:id="192" w:name="_Toc434462790"/>
      <w:bookmarkStart w:id="193" w:name="_Ref434457554"/>
      <w:bookmarkStart w:id="194" w:name="_Toc452726939"/>
      <w:r>
        <w:rPr>
          <w:color w:val="000000"/>
          <w:highlight w:val="none"/>
        </w:rPr>
        <w:t>任何要求对招标文件进行澄清的投标人，均应在规定的截止时间前按</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_Ref389721049 \r \h  \* MERGEFORMAT </w:instrText>
      </w:r>
      <w:r>
        <w:rPr>
          <w:color w:val="000000"/>
          <w:highlight w:val="none"/>
        </w:rPr>
        <w:fldChar w:fldCharType="separate"/>
      </w:r>
      <w:r>
        <w:rPr>
          <w:color w:val="000000"/>
          <w:highlight w:val="none"/>
        </w:rPr>
        <w:t>3</w:t>
      </w:r>
      <w:r>
        <w:rPr>
          <w:color w:val="000000"/>
          <w:highlight w:val="none"/>
        </w:rPr>
        <w:fldChar w:fldCharType="end"/>
      </w:r>
      <w:r>
        <w:rPr>
          <w:color w:val="000000"/>
          <w:highlight w:val="none"/>
        </w:rPr>
        <w:t>项规定中的通讯地址以书面形式（如信函、传真或电子邮件，下同）发给招标</w:t>
      </w:r>
      <w:r>
        <w:rPr>
          <w:rFonts w:hint="eastAsia"/>
          <w:color w:val="000000"/>
          <w:highlight w:val="none"/>
        </w:rPr>
        <w:t>代理</w:t>
      </w:r>
      <w:r>
        <w:rPr>
          <w:color w:val="000000"/>
          <w:highlight w:val="none"/>
        </w:rPr>
        <w:t>机构。招标代理机构对在该截止时间前收到的任何澄清要求将以书面形式予以答复，同时将书面答复发送给每个购买招标文件的投标人，答复中包括所问问题及答复，但不包括问题的来源。</w:t>
      </w:r>
    </w:p>
    <w:p>
      <w:pPr>
        <w:pStyle w:val="2"/>
        <w:rPr>
          <w:rFonts w:ascii="Times New Roman"/>
          <w:color w:val="000000"/>
          <w:highlight w:val="none"/>
        </w:rPr>
      </w:pPr>
      <w:bookmarkStart w:id="195" w:name="_Toc4121"/>
      <w:bookmarkStart w:id="196" w:name="_Ref389633995"/>
      <w:r>
        <w:rPr>
          <w:rFonts w:ascii="Times New Roman"/>
          <w:color w:val="000000"/>
          <w:highlight w:val="none"/>
        </w:rPr>
        <w:t>招标文件的修改</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pPr>
        <w:pStyle w:val="3"/>
        <w:rPr>
          <w:color w:val="000000"/>
          <w:szCs w:val="22"/>
          <w:highlight w:val="none"/>
        </w:rPr>
      </w:pPr>
      <w:r>
        <w:rPr>
          <w:color w:val="000000"/>
          <w:szCs w:val="22"/>
          <w:highlight w:val="none"/>
        </w:rPr>
        <w:t>在投标截止期前的任何时候，无论出于何种原因，招标人和招标代理机构可主动地或在解答投标人提出的澄清问题时对招标文件进行修改</w:t>
      </w:r>
      <w:r>
        <w:rPr>
          <w:rFonts w:hint="eastAsia"/>
          <w:color w:val="000000"/>
          <w:szCs w:val="22"/>
          <w:highlight w:val="none"/>
        </w:rPr>
        <w:t>，并在原公告发布媒体发布。</w:t>
      </w:r>
    </w:p>
    <w:p>
      <w:pPr>
        <w:pStyle w:val="3"/>
        <w:rPr>
          <w:color w:val="000000"/>
          <w:highlight w:val="none"/>
        </w:rPr>
      </w:pPr>
      <w:r>
        <w:rPr>
          <w:color w:val="000000"/>
          <w:highlight w:val="none"/>
        </w:rPr>
        <w:t>对招标文件的修改将通知所有购买招标文件的投标人，并对其具有约束力。投标人应立即确认已收到了修改通知。</w:t>
      </w:r>
    </w:p>
    <w:p>
      <w:pPr>
        <w:pStyle w:val="3"/>
        <w:rPr>
          <w:color w:val="000000"/>
          <w:highlight w:val="none"/>
        </w:rPr>
      </w:pPr>
      <w:r>
        <w:rPr>
          <w:color w:val="000000"/>
          <w:highlight w:val="none"/>
        </w:rPr>
        <w:t>为使投标人在编写投标文件时有充足的时间对招标文件的修改部分进行研究，招标人可以自行决定，酌情延后投标截止期。</w:t>
      </w:r>
    </w:p>
    <w:p>
      <w:pPr>
        <w:pStyle w:val="83"/>
        <w:rPr>
          <w:rFonts w:ascii="Times New Roman"/>
          <w:color w:val="000000"/>
          <w:highlight w:val="none"/>
        </w:rPr>
      </w:pPr>
      <w:bookmarkStart w:id="197" w:name="_Toc389465258"/>
      <w:bookmarkStart w:id="198" w:name="_Toc495398050"/>
      <w:bookmarkStart w:id="199" w:name="_Toc11355"/>
      <w:bookmarkStart w:id="200" w:name="_Toc503130784"/>
      <w:bookmarkStart w:id="201" w:name="_Toc2063815"/>
      <w:bookmarkStart w:id="202" w:name="_Toc503130723"/>
      <w:bookmarkStart w:id="203" w:name="_Toc2063972"/>
      <w:bookmarkStart w:id="204" w:name="_Toc491700920"/>
      <w:bookmarkStart w:id="205" w:name="_Toc2063940"/>
      <w:bookmarkStart w:id="206" w:name="_Toc495406853"/>
      <w:bookmarkStart w:id="207" w:name="_Toc8343692"/>
      <w:bookmarkStart w:id="208" w:name="_Toc301765382"/>
      <w:bookmarkStart w:id="209" w:name="_Toc495398000"/>
      <w:r>
        <w:rPr>
          <w:rFonts w:ascii="Times New Roman"/>
          <w:color w:val="000000"/>
          <w:highlight w:val="none"/>
        </w:rPr>
        <w:t>三、投标文件的编制</w:t>
      </w:r>
      <w:bookmarkEnd w:id="197"/>
      <w:bookmarkEnd w:id="198"/>
      <w:bookmarkEnd w:id="199"/>
      <w:bookmarkEnd w:id="200"/>
      <w:bookmarkEnd w:id="201"/>
      <w:bookmarkEnd w:id="202"/>
      <w:bookmarkEnd w:id="203"/>
      <w:bookmarkEnd w:id="204"/>
      <w:bookmarkEnd w:id="205"/>
      <w:bookmarkEnd w:id="206"/>
      <w:bookmarkEnd w:id="207"/>
      <w:bookmarkEnd w:id="208"/>
      <w:bookmarkEnd w:id="209"/>
    </w:p>
    <w:p>
      <w:pPr>
        <w:pStyle w:val="2"/>
        <w:rPr>
          <w:rFonts w:ascii="Times New Roman"/>
          <w:color w:val="000000"/>
          <w:highlight w:val="none"/>
        </w:rPr>
      </w:pPr>
      <w:bookmarkStart w:id="210" w:name="_Toc434897294"/>
      <w:bookmarkStart w:id="211" w:name="_Toc452727300"/>
      <w:bookmarkStart w:id="212" w:name="_Toc13092"/>
      <w:bookmarkStart w:id="213" w:name="_Toc452306098"/>
      <w:bookmarkStart w:id="214" w:name="_Toc434462791"/>
      <w:bookmarkStart w:id="215" w:name="_Toc8343693"/>
      <w:bookmarkStart w:id="216" w:name="_Toc434462180"/>
      <w:bookmarkStart w:id="217" w:name="_Toc2063816"/>
      <w:bookmarkStart w:id="218" w:name="_Toc2063688"/>
      <w:bookmarkStart w:id="219" w:name="_Toc452726940"/>
      <w:bookmarkStart w:id="220" w:name="_Toc452800685"/>
      <w:bookmarkStart w:id="221" w:name="_Toc302374130"/>
      <w:r>
        <w:rPr>
          <w:rFonts w:ascii="Times New Roman"/>
          <w:color w:val="000000"/>
          <w:highlight w:val="none"/>
        </w:rPr>
        <w:t>投标语言</w:t>
      </w:r>
      <w:bookmarkEnd w:id="210"/>
      <w:bookmarkEnd w:id="211"/>
      <w:bookmarkEnd w:id="212"/>
      <w:bookmarkEnd w:id="213"/>
      <w:bookmarkEnd w:id="214"/>
      <w:bookmarkEnd w:id="215"/>
      <w:bookmarkEnd w:id="216"/>
      <w:bookmarkEnd w:id="217"/>
      <w:bookmarkEnd w:id="218"/>
      <w:bookmarkEnd w:id="219"/>
      <w:bookmarkEnd w:id="220"/>
      <w:bookmarkEnd w:id="221"/>
    </w:p>
    <w:p>
      <w:pPr>
        <w:pStyle w:val="12"/>
        <w:rPr>
          <w:color w:val="000000"/>
          <w:highlight w:val="none"/>
        </w:rPr>
      </w:pPr>
      <w:r>
        <w:rPr>
          <w:color w:val="000000"/>
          <w:highlight w:val="none"/>
        </w:rPr>
        <w:t>投标人提交的投标文件以及投标人与招标代理机构就有关投标的所有来往函电均应使用中文。投标人可以提交用其他语言打印的资料，但有关的段落必须翻译成中文，在有差异和矛盾时以中文为准。</w:t>
      </w:r>
    </w:p>
    <w:p>
      <w:pPr>
        <w:pStyle w:val="2"/>
        <w:rPr>
          <w:rFonts w:ascii="Times New Roman"/>
          <w:color w:val="000000"/>
          <w:highlight w:val="none"/>
        </w:rPr>
      </w:pPr>
      <w:bookmarkStart w:id="222" w:name="_Ref434456304"/>
      <w:bookmarkStart w:id="223" w:name="_Toc2063689"/>
      <w:bookmarkStart w:id="224" w:name="_Toc434462792"/>
      <w:bookmarkStart w:id="225" w:name="_Toc434462181"/>
      <w:bookmarkStart w:id="226" w:name="_Toc452306099"/>
      <w:bookmarkStart w:id="227" w:name="_Toc2063817"/>
      <w:bookmarkStart w:id="228" w:name="_Toc14795"/>
      <w:bookmarkStart w:id="229" w:name="_Toc452800686"/>
      <w:bookmarkStart w:id="230" w:name="_Toc452726941"/>
      <w:bookmarkStart w:id="231" w:name="_Toc434897295"/>
      <w:bookmarkStart w:id="232" w:name="_Toc8343694"/>
      <w:bookmarkStart w:id="233" w:name="_Toc452727301"/>
      <w:bookmarkStart w:id="234" w:name="_Toc302374131"/>
      <w:r>
        <w:rPr>
          <w:rFonts w:ascii="Times New Roman"/>
          <w:color w:val="000000"/>
          <w:highlight w:val="none"/>
        </w:rPr>
        <w:t>投标文件的构成</w:t>
      </w:r>
      <w:bookmarkEnd w:id="222"/>
      <w:bookmarkEnd w:id="223"/>
      <w:bookmarkEnd w:id="224"/>
      <w:bookmarkEnd w:id="225"/>
      <w:bookmarkEnd w:id="226"/>
      <w:bookmarkEnd w:id="227"/>
      <w:bookmarkEnd w:id="228"/>
      <w:bookmarkEnd w:id="229"/>
      <w:bookmarkEnd w:id="230"/>
      <w:bookmarkEnd w:id="231"/>
      <w:bookmarkEnd w:id="232"/>
      <w:bookmarkEnd w:id="233"/>
      <w:bookmarkEnd w:id="234"/>
    </w:p>
    <w:p>
      <w:pPr>
        <w:pStyle w:val="12"/>
        <w:rPr>
          <w:color w:val="000000"/>
          <w:highlight w:val="none"/>
        </w:rPr>
      </w:pPr>
      <w:bookmarkStart w:id="235" w:name="_Ref434457327"/>
      <w:r>
        <w:rPr>
          <w:color w:val="000000"/>
          <w:highlight w:val="none"/>
        </w:rPr>
        <w:t>投标人编写的投标文件应包括下列部分：</w:t>
      </w:r>
      <w:bookmarkEnd w:id="235"/>
    </w:p>
    <w:p>
      <w:pPr>
        <w:pStyle w:val="8"/>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_Ref434418024 \n  \* MERGEFORMAT </w:instrText>
      </w:r>
      <w:r>
        <w:rPr>
          <w:color w:val="000000"/>
          <w:highlight w:val="none"/>
        </w:rPr>
        <w:fldChar w:fldCharType="separate"/>
      </w:r>
      <w:r>
        <w:rPr>
          <w:color w:val="000000"/>
          <w:highlight w:val="none"/>
        </w:rPr>
        <w:t>11</w:t>
      </w:r>
      <w:r>
        <w:rPr>
          <w:color w:val="000000"/>
          <w:highlight w:val="none"/>
        </w:rPr>
        <w:fldChar w:fldCharType="end"/>
      </w:r>
      <w:r>
        <w:rPr>
          <w:color w:val="000000"/>
          <w:highlight w:val="none"/>
        </w:rPr>
        <w:t>条要求填写的投标函；</w:t>
      </w:r>
    </w:p>
    <w:p>
      <w:pPr>
        <w:pStyle w:val="8"/>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_Ref434418122 \n  \* MERGEFORMAT </w:instrText>
      </w:r>
      <w:r>
        <w:rPr>
          <w:color w:val="000000"/>
          <w:highlight w:val="none"/>
        </w:rPr>
        <w:fldChar w:fldCharType="separate"/>
      </w:r>
      <w:r>
        <w:rPr>
          <w:color w:val="000000"/>
          <w:highlight w:val="none"/>
        </w:rPr>
        <w:t>12</w:t>
      </w:r>
      <w:r>
        <w:rPr>
          <w:color w:val="000000"/>
          <w:highlight w:val="none"/>
        </w:rPr>
        <w:fldChar w:fldCharType="end"/>
      </w:r>
      <w:r>
        <w:rPr>
          <w:color w:val="000000"/>
          <w:highlight w:val="none"/>
        </w:rPr>
        <w:t>条和第</w:t>
      </w:r>
      <w:r>
        <w:rPr>
          <w:color w:val="000000"/>
          <w:highlight w:val="none"/>
        </w:rPr>
        <w:fldChar w:fldCharType="begin"/>
      </w:r>
      <w:r>
        <w:rPr>
          <w:color w:val="000000"/>
          <w:highlight w:val="none"/>
        </w:rPr>
        <w:instrText xml:space="preserve"> REF _Ref434418147 \n  \* MERGEFORMAT </w:instrText>
      </w:r>
      <w:r>
        <w:rPr>
          <w:color w:val="000000"/>
          <w:highlight w:val="none"/>
        </w:rPr>
        <w:fldChar w:fldCharType="separate"/>
      </w:r>
      <w:r>
        <w:rPr>
          <w:color w:val="000000"/>
          <w:highlight w:val="none"/>
        </w:rPr>
        <w:t>13</w:t>
      </w:r>
      <w:r>
        <w:rPr>
          <w:color w:val="000000"/>
          <w:highlight w:val="none"/>
        </w:rPr>
        <w:fldChar w:fldCharType="end"/>
      </w:r>
      <w:r>
        <w:rPr>
          <w:color w:val="000000"/>
          <w:highlight w:val="none"/>
        </w:rPr>
        <w:t>条要求填写的投标报价表；</w:t>
      </w:r>
    </w:p>
    <w:p>
      <w:pPr>
        <w:pStyle w:val="8"/>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_Ref434418215 \n  \* MERGEFORMAT </w:instrText>
      </w:r>
      <w:r>
        <w:rPr>
          <w:color w:val="000000"/>
          <w:highlight w:val="none"/>
        </w:rPr>
        <w:fldChar w:fldCharType="separate"/>
      </w:r>
      <w:r>
        <w:rPr>
          <w:color w:val="000000"/>
          <w:highlight w:val="none"/>
        </w:rPr>
        <w:t>14</w:t>
      </w:r>
      <w:r>
        <w:rPr>
          <w:color w:val="000000"/>
          <w:highlight w:val="none"/>
        </w:rPr>
        <w:fldChar w:fldCharType="end"/>
      </w:r>
      <w:r>
        <w:rPr>
          <w:color w:val="000000"/>
          <w:highlight w:val="none"/>
        </w:rPr>
        <w:t>条要求出具的资格证明文件，以证明投标人是合格的，中标后有能力履行合同；</w:t>
      </w:r>
    </w:p>
    <w:p>
      <w:pPr>
        <w:pStyle w:val="8"/>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_Ref434418287 \n  \* MERGEFORMAT </w:instrText>
      </w:r>
      <w:r>
        <w:rPr>
          <w:color w:val="000000"/>
          <w:highlight w:val="none"/>
        </w:rPr>
        <w:fldChar w:fldCharType="separate"/>
      </w:r>
      <w:r>
        <w:rPr>
          <w:color w:val="000000"/>
          <w:highlight w:val="none"/>
        </w:rPr>
        <w:t>15</w:t>
      </w:r>
      <w:r>
        <w:rPr>
          <w:color w:val="000000"/>
          <w:highlight w:val="none"/>
        </w:rPr>
        <w:fldChar w:fldCharType="end"/>
      </w:r>
      <w:r>
        <w:rPr>
          <w:color w:val="000000"/>
          <w:highlight w:val="none"/>
        </w:rPr>
        <w:t>条要求出具的证明文件，证明投标人提供的货物及伴随服务是合格的货物及服务，且符合招标文件的规定；</w:t>
      </w:r>
    </w:p>
    <w:p>
      <w:pPr>
        <w:pStyle w:val="8"/>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_Ref434418309 \n  \* MERGEFORMAT </w:instrText>
      </w:r>
      <w:r>
        <w:rPr>
          <w:color w:val="000000"/>
          <w:highlight w:val="none"/>
        </w:rPr>
        <w:fldChar w:fldCharType="separate"/>
      </w:r>
      <w:r>
        <w:rPr>
          <w:color w:val="000000"/>
          <w:highlight w:val="none"/>
        </w:rPr>
        <w:t>16</w:t>
      </w:r>
      <w:r>
        <w:rPr>
          <w:color w:val="000000"/>
          <w:highlight w:val="none"/>
        </w:rPr>
        <w:fldChar w:fldCharType="end"/>
      </w:r>
      <w:r>
        <w:rPr>
          <w:color w:val="000000"/>
          <w:highlight w:val="none"/>
        </w:rPr>
        <w:t>条要求提交的投标保证金。</w:t>
      </w:r>
    </w:p>
    <w:p>
      <w:pPr>
        <w:pStyle w:val="2"/>
        <w:rPr>
          <w:rFonts w:ascii="Times New Roman"/>
          <w:color w:val="000000"/>
          <w:highlight w:val="none"/>
        </w:rPr>
      </w:pPr>
      <w:bookmarkStart w:id="236" w:name="_Toc434462182"/>
      <w:bookmarkStart w:id="237" w:name="_Toc2063818"/>
      <w:bookmarkStart w:id="238" w:name="_Toc302374132"/>
      <w:bookmarkStart w:id="239" w:name="_Toc3010"/>
      <w:bookmarkStart w:id="240" w:name="_Toc434462793"/>
      <w:bookmarkStart w:id="241" w:name="_Toc452726942"/>
      <w:bookmarkStart w:id="242" w:name="_Toc452727302"/>
      <w:bookmarkStart w:id="243" w:name="_Toc452800687"/>
      <w:bookmarkStart w:id="244" w:name="_Toc2063690"/>
      <w:bookmarkStart w:id="245" w:name="_Toc8343695"/>
      <w:bookmarkStart w:id="246" w:name="_Ref434418024"/>
      <w:bookmarkStart w:id="247" w:name="_Toc434897296"/>
      <w:bookmarkStart w:id="248" w:name="_Toc452306100"/>
      <w:r>
        <w:rPr>
          <w:rFonts w:ascii="Times New Roman"/>
          <w:color w:val="000000"/>
          <w:highlight w:val="none"/>
        </w:rPr>
        <w:t>投标函</w:t>
      </w:r>
      <w:bookmarkEnd w:id="236"/>
      <w:bookmarkEnd w:id="237"/>
      <w:bookmarkEnd w:id="238"/>
      <w:bookmarkEnd w:id="239"/>
      <w:bookmarkEnd w:id="240"/>
      <w:bookmarkEnd w:id="241"/>
      <w:bookmarkEnd w:id="242"/>
      <w:bookmarkEnd w:id="243"/>
      <w:bookmarkEnd w:id="244"/>
      <w:bookmarkEnd w:id="245"/>
      <w:bookmarkEnd w:id="246"/>
      <w:bookmarkEnd w:id="247"/>
      <w:bookmarkEnd w:id="248"/>
    </w:p>
    <w:p>
      <w:pPr>
        <w:pStyle w:val="12"/>
        <w:rPr>
          <w:color w:val="000000"/>
          <w:highlight w:val="none"/>
        </w:rPr>
      </w:pPr>
      <w:r>
        <w:rPr>
          <w:color w:val="000000"/>
          <w:highlight w:val="none"/>
        </w:rPr>
        <w:t>投标人应按照招标文件第五章中所附的“投标函格式”完整地填写投标函。</w:t>
      </w:r>
    </w:p>
    <w:p>
      <w:pPr>
        <w:pStyle w:val="2"/>
        <w:rPr>
          <w:rFonts w:ascii="Times New Roman"/>
          <w:color w:val="000000"/>
          <w:highlight w:val="none"/>
        </w:rPr>
      </w:pPr>
      <w:bookmarkStart w:id="249" w:name="_Toc434897297"/>
      <w:bookmarkStart w:id="250" w:name="_Toc452800688"/>
      <w:bookmarkStart w:id="251" w:name="_Toc302374133"/>
      <w:bookmarkStart w:id="252" w:name="_Toc452727303"/>
      <w:bookmarkStart w:id="253" w:name="_Toc434462794"/>
      <w:bookmarkStart w:id="254" w:name="_Toc32584"/>
      <w:bookmarkStart w:id="255" w:name="_Toc434462183"/>
      <w:bookmarkStart w:id="256" w:name="_Toc452306101"/>
      <w:bookmarkStart w:id="257" w:name="_Toc2063691"/>
      <w:bookmarkStart w:id="258" w:name="_Toc2063819"/>
      <w:bookmarkStart w:id="259" w:name="_Ref434418122"/>
      <w:bookmarkStart w:id="260" w:name="_Toc8343696"/>
      <w:bookmarkStart w:id="261" w:name="_Toc452726943"/>
      <w:r>
        <w:rPr>
          <w:rFonts w:ascii="Times New Roman"/>
          <w:color w:val="000000"/>
          <w:highlight w:val="none"/>
        </w:rPr>
        <w:t>投标报价</w:t>
      </w:r>
      <w:bookmarkEnd w:id="249"/>
      <w:bookmarkEnd w:id="250"/>
      <w:bookmarkEnd w:id="251"/>
      <w:bookmarkEnd w:id="252"/>
      <w:bookmarkEnd w:id="253"/>
      <w:bookmarkEnd w:id="254"/>
      <w:bookmarkEnd w:id="255"/>
      <w:bookmarkEnd w:id="256"/>
      <w:bookmarkEnd w:id="257"/>
      <w:bookmarkEnd w:id="258"/>
      <w:bookmarkEnd w:id="259"/>
      <w:bookmarkEnd w:id="260"/>
      <w:bookmarkEnd w:id="261"/>
    </w:p>
    <w:p>
      <w:pPr>
        <w:pStyle w:val="3"/>
        <w:rPr>
          <w:color w:val="000000"/>
          <w:highlight w:val="none"/>
        </w:rPr>
      </w:pPr>
      <w:r>
        <w:rPr>
          <w:color w:val="000000"/>
          <w:highlight w:val="none"/>
        </w:rPr>
        <w:t>投标人所填写的任一报价项的报价均应包括符合招标文件要求的与该报价项相关的所有费用（包括所有软硬件、服务费用、可能有的关税、增值税及其他税费等）。</w:t>
      </w:r>
    </w:p>
    <w:p>
      <w:pPr>
        <w:pStyle w:val="3"/>
        <w:rPr>
          <w:color w:val="000000"/>
          <w:highlight w:val="none"/>
        </w:rPr>
      </w:pPr>
      <w:r>
        <w:rPr>
          <w:color w:val="000000"/>
          <w:highlight w:val="none"/>
        </w:rPr>
        <w:t>投标人应按照招标文件第五章中所附的格式完整地填写投标报价表，说明所提供货物的名称、型号及规格、原产地及制造商、数量、单价和总价。每种货物只允许有一个报价，任何有选择的报价将不予接受。</w:t>
      </w:r>
    </w:p>
    <w:p>
      <w:pPr>
        <w:pStyle w:val="3"/>
        <w:rPr>
          <w:color w:val="000000"/>
          <w:highlight w:val="none"/>
        </w:rPr>
      </w:pPr>
      <w:r>
        <w:rPr>
          <w:color w:val="000000"/>
          <w:highlight w:val="none"/>
        </w:rPr>
        <w:t>投标人不得将可能影响投标产品主要功能或性能的标准配件或随机备品、备件列为选购件，否则将不予认同，在评标时仍将把这部分价格计入投标人的评标价格之中。</w:t>
      </w:r>
    </w:p>
    <w:p>
      <w:pPr>
        <w:pStyle w:val="3"/>
        <w:rPr>
          <w:color w:val="000000"/>
          <w:highlight w:val="none"/>
        </w:rPr>
      </w:pPr>
      <w:r>
        <w:rPr>
          <w:color w:val="000000"/>
          <w:highlight w:val="none"/>
        </w:rPr>
        <w:t>投标人的报价不应有缺漏项。如有缺漏项，在授标时将被认为已包含在其他已报明价格的项目中（即合同价格将不予增加），但在评标时将把其他有效标中的该项最高报价计入该投标人的评标价格之中。</w:t>
      </w:r>
    </w:p>
    <w:p>
      <w:pPr>
        <w:pStyle w:val="3"/>
        <w:rPr>
          <w:color w:val="000000"/>
          <w:highlight w:val="none"/>
        </w:rPr>
      </w:pPr>
      <w:r>
        <w:rPr>
          <w:color w:val="000000"/>
          <w:highlight w:val="none"/>
        </w:rPr>
        <w:t>投标人在其货物清单中如有超出招标文件货物需求一览表及</w:t>
      </w:r>
      <w:r>
        <w:rPr>
          <w:rStyle w:val="41"/>
          <w:rFonts w:ascii="Times New Roman"/>
          <w:color w:val="000000"/>
          <w:highlight w:val="none"/>
        </w:rPr>
        <w:t>技术规格</w:t>
      </w:r>
      <w:r>
        <w:rPr>
          <w:color w:val="000000"/>
          <w:highlight w:val="none"/>
        </w:rPr>
        <w:t>要求的附加、辅助或额外的部件、配件、装置、设备或软件，不论其是否标明分项价格，在计算评标价时一律不予扣除。除非投标人在其“投标函”和“投标报价汇总表”中对这一部分价格作出了明确申明，且在唱标时和开标记录中已扣除了这部分价格。</w:t>
      </w:r>
    </w:p>
    <w:p>
      <w:pPr>
        <w:pStyle w:val="3"/>
        <w:rPr>
          <w:color w:val="000000"/>
          <w:highlight w:val="none"/>
        </w:rPr>
      </w:pPr>
      <w:r>
        <w:rPr>
          <w:color w:val="000000"/>
          <w:highlight w:val="none"/>
        </w:rPr>
        <w:t>投标人不得将从第三方采购设备的随机备品、备件列为需要另行收费的备品、备件，否则在授予合同时将从授标对象的投标价格中扣除这部分费用，但在计算评标价时这部分费用将不予扣除。</w:t>
      </w:r>
    </w:p>
    <w:p>
      <w:pPr>
        <w:pStyle w:val="3"/>
        <w:rPr>
          <w:color w:val="000000"/>
          <w:highlight w:val="none"/>
        </w:rPr>
      </w:pPr>
      <w:bookmarkStart w:id="262" w:name="_Ref434456144"/>
      <w:r>
        <w:rPr>
          <w:color w:val="000000"/>
          <w:highlight w:val="none"/>
        </w:rPr>
        <w:t>投标报价表中的价格应按下列方式分开填写：</w:t>
      </w:r>
      <w:bookmarkEnd w:id="262"/>
    </w:p>
    <w:p>
      <w:pPr>
        <w:pStyle w:val="8"/>
        <w:rPr>
          <w:color w:val="000000"/>
          <w:highlight w:val="none"/>
        </w:rPr>
      </w:pPr>
      <w:r>
        <w:rPr>
          <w:color w:val="000000"/>
          <w:highlight w:val="none"/>
        </w:rPr>
        <w:t>对所供应的货物报完税后交货价（DDP）。该报价必须包括制造和装配货物所使用的材料、部件及货物本身已支付或将要支付的增值税、产品税、销售税和其他税费；</w:t>
      </w:r>
    </w:p>
    <w:p>
      <w:pPr>
        <w:pStyle w:val="8"/>
        <w:rPr>
          <w:color w:val="000000"/>
          <w:highlight w:val="none"/>
        </w:rPr>
      </w:pPr>
      <w:r>
        <w:rPr>
          <w:color w:val="000000"/>
          <w:highlight w:val="none"/>
        </w:rPr>
        <w:t>投标人应根据产品的技术状况列出质量保证期内标准备品、备件的清单和价格，并将该备品、备件价计入投标总价，若所提供的产品无需备品、备件，则应在投标文件中说明，否则评标时将用其他有效标中标准备品、备件的平均价计入其评标总价；</w:t>
      </w:r>
    </w:p>
    <w:p>
      <w:pPr>
        <w:pStyle w:val="8"/>
        <w:rPr>
          <w:color w:val="000000"/>
          <w:highlight w:val="none"/>
        </w:rPr>
      </w:pPr>
      <w:r>
        <w:rPr>
          <w:color w:val="000000"/>
          <w:highlight w:val="none"/>
        </w:rPr>
        <w:t>所有伴随服务的费用；</w:t>
      </w:r>
    </w:p>
    <w:p>
      <w:pPr>
        <w:pStyle w:val="3"/>
        <w:rPr>
          <w:color w:val="000000"/>
          <w:highlight w:val="none"/>
        </w:rPr>
      </w:pPr>
      <w:r>
        <w:rPr>
          <w:color w:val="000000"/>
          <w:highlight w:val="none"/>
        </w:rPr>
        <w:t>投标人应按照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_Ref434456144 \n  \* MERGEFORMAT </w:instrText>
      </w:r>
      <w:r>
        <w:rPr>
          <w:color w:val="000000"/>
          <w:highlight w:val="none"/>
        </w:rPr>
        <w:fldChar w:fldCharType="separate"/>
      </w:r>
      <w:r>
        <w:rPr>
          <w:color w:val="000000"/>
          <w:highlight w:val="none"/>
        </w:rPr>
        <w:t>12.7</w:t>
      </w:r>
      <w:r>
        <w:rPr>
          <w:color w:val="000000"/>
          <w:highlight w:val="none"/>
        </w:rPr>
        <w:fldChar w:fldCharType="end"/>
      </w:r>
      <w:r>
        <w:rPr>
          <w:color w:val="000000"/>
          <w:highlight w:val="none"/>
        </w:rPr>
        <w:t>条的要求分类报价，其目的是便于评标委员会评标。在任何情况下，分类报价方式并不限制招标人以任何条款签订合同的权利。</w:t>
      </w:r>
    </w:p>
    <w:p>
      <w:pPr>
        <w:pStyle w:val="3"/>
        <w:rPr>
          <w:color w:val="000000"/>
          <w:highlight w:val="none"/>
        </w:rPr>
      </w:pPr>
      <w:r>
        <w:rPr>
          <w:color w:val="000000"/>
          <w:highlight w:val="none"/>
        </w:rPr>
        <w:t>投标报价表中标明的价格在合同执行过程中是固定不变的，不得以任何理由予以变更，以可调整的价格提交的投标将</w:t>
      </w:r>
      <w:r>
        <w:rPr>
          <w:rFonts w:hint="eastAsia"/>
          <w:color w:val="000000"/>
          <w:highlight w:val="none"/>
        </w:rPr>
        <w:t>视为</w:t>
      </w:r>
      <w:r>
        <w:rPr>
          <w:color w:val="000000"/>
          <w:highlight w:val="none"/>
        </w:rPr>
        <w:t>非响应性投标而予以否决。</w:t>
      </w:r>
    </w:p>
    <w:p>
      <w:pPr>
        <w:pStyle w:val="2"/>
        <w:rPr>
          <w:rFonts w:ascii="Times New Roman"/>
          <w:color w:val="000000"/>
          <w:highlight w:val="none"/>
        </w:rPr>
      </w:pPr>
      <w:bookmarkStart w:id="263" w:name="_Toc452306102"/>
      <w:bookmarkStart w:id="264" w:name="_Toc452727304"/>
      <w:bookmarkStart w:id="265" w:name="_Toc22250"/>
      <w:bookmarkStart w:id="266" w:name="_Toc2063692"/>
      <w:bookmarkStart w:id="267" w:name="_Toc452800689"/>
      <w:bookmarkStart w:id="268" w:name="_Toc8343697"/>
      <w:bookmarkStart w:id="269" w:name="_Toc434462795"/>
      <w:bookmarkStart w:id="270" w:name="_Toc2063820"/>
      <w:bookmarkStart w:id="271" w:name="_Ref434418147"/>
      <w:bookmarkStart w:id="272" w:name="_Toc302374134"/>
      <w:bookmarkStart w:id="273" w:name="_Toc434462184"/>
      <w:bookmarkStart w:id="274" w:name="_Toc452726944"/>
      <w:bookmarkStart w:id="275" w:name="_Toc434897298"/>
      <w:r>
        <w:rPr>
          <w:rFonts w:ascii="Times New Roman"/>
          <w:color w:val="000000"/>
          <w:highlight w:val="none"/>
        </w:rPr>
        <w:t>投标货币</w:t>
      </w:r>
      <w:bookmarkEnd w:id="263"/>
      <w:bookmarkEnd w:id="264"/>
      <w:bookmarkEnd w:id="265"/>
      <w:bookmarkEnd w:id="266"/>
      <w:bookmarkEnd w:id="267"/>
      <w:bookmarkEnd w:id="268"/>
      <w:bookmarkEnd w:id="269"/>
      <w:bookmarkEnd w:id="270"/>
      <w:bookmarkEnd w:id="271"/>
      <w:bookmarkEnd w:id="272"/>
      <w:bookmarkEnd w:id="273"/>
      <w:bookmarkEnd w:id="274"/>
      <w:bookmarkEnd w:id="275"/>
    </w:p>
    <w:p>
      <w:pPr>
        <w:pStyle w:val="12"/>
        <w:rPr>
          <w:color w:val="000000"/>
          <w:highlight w:val="none"/>
        </w:rPr>
      </w:pPr>
      <w:r>
        <w:rPr>
          <w:color w:val="000000"/>
          <w:highlight w:val="none"/>
        </w:rPr>
        <w:t>本采购项下的投标应以人民币（RMB）报价。</w:t>
      </w:r>
    </w:p>
    <w:p>
      <w:pPr>
        <w:pStyle w:val="2"/>
        <w:rPr>
          <w:rFonts w:ascii="Times New Roman"/>
          <w:color w:val="000000"/>
          <w:highlight w:val="none"/>
        </w:rPr>
      </w:pPr>
      <w:bookmarkStart w:id="276" w:name="_Toc434462796"/>
      <w:bookmarkStart w:id="277" w:name="_Toc2063821"/>
      <w:bookmarkStart w:id="278" w:name="_Toc8343698"/>
      <w:bookmarkStart w:id="279" w:name="_Toc452726945"/>
      <w:bookmarkStart w:id="280" w:name="_Toc302374135"/>
      <w:bookmarkStart w:id="281" w:name="_Toc452727305"/>
      <w:bookmarkStart w:id="282" w:name="_Toc452306103"/>
      <w:bookmarkStart w:id="283" w:name="_Toc434897299"/>
      <w:bookmarkStart w:id="284" w:name="_Toc11795"/>
      <w:bookmarkStart w:id="285" w:name="_Ref434418215"/>
      <w:bookmarkStart w:id="286" w:name="_Toc452800690"/>
      <w:bookmarkStart w:id="287" w:name="_Toc434462185"/>
      <w:bookmarkStart w:id="288" w:name="_Toc2063693"/>
      <w:r>
        <w:rPr>
          <w:rFonts w:ascii="Times New Roman"/>
          <w:color w:val="000000"/>
          <w:highlight w:val="none"/>
        </w:rPr>
        <w:t>资格证明文件</w:t>
      </w:r>
      <w:bookmarkEnd w:id="276"/>
      <w:bookmarkEnd w:id="277"/>
      <w:bookmarkEnd w:id="278"/>
      <w:bookmarkEnd w:id="279"/>
      <w:bookmarkEnd w:id="280"/>
      <w:bookmarkEnd w:id="281"/>
      <w:bookmarkEnd w:id="282"/>
      <w:bookmarkEnd w:id="283"/>
      <w:bookmarkEnd w:id="284"/>
      <w:bookmarkEnd w:id="285"/>
      <w:bookmarkEnd w:id="286"/>
      <w:bookmarkEnd w:id="287"/>
      <w:bookmarkEnd w:id="288"/>
    </w:p>
    <w:p>
      <w:pPr>
        <w:pStyle w:val="3"/>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_Ref434456304 \n  \* MERGEFORMAT </w:instrText>
      </w:r>
      <w:r>
        <w:rPr>
          <w:color w:val="000000"/>
          <w:highlight w:val="none"/>
        </w:rPr>
        <w:fldChar w:fldCharType="separate"/>
      </w:r>
      <w:r>
        <w:rPr>
          <w:color w:val="000000"/>
          <w:highlight w:val="none"/>
        </w:rPr>
        <w:t>10</w:t>
      </w:r>
      <w:r>
        <w:rPr>
          <w:color w:val="000000"/>
          <w:highlight w:val="none"/>
        </w:rPr>
        <w:fldChar w:fldCharType="end"/>
      </w:r>
      <w:r>
        <w:rPr>
          <w:color w:val="000000"/>
          <w:highlight w:val="none"/>
        </w:rPr>
        <w:t>条的规定，投标人应提交证明其有资格参加投标和中标后有能力履行合同的文件，并作为其投标文件的一部分。</w:t>
      </w:r>
      <w:r>
        <w:rPr>
          <w:rFonts w:hint="eastAsia"/>
          <w:color w:val="000000"/>
          <w:highlight w:val="none"/>
        </w:rPr>
        <w:t>对于本项目合格投标人资格条件中提及的与单位或个人相关的资质或资格证明文件，投标人可以在投标文件文件中直接提供相关资质或资格证明文件的复印件，也可以提供可以查询到相关资质或资格信息的有关官方网站的网址（必须保证此类查询无需任何费用，也无需事先办理注册或认证等手续）；如果投标人在其投标文件既未提供上述资质或资格证明文件的复印件，也未提供可供查询的官方网站的网址，则将视为投标人未按规定提供资格证明文件。</w:t>
      </w:r>
    </w:p>
    <w:p>
      <w:pPr>
        <w:pStyle w:val="3"/>
        <w:rPr>
          <w:color w:val="000000"/>
          <w:highlight w:val="none"/>
        </w:rPr>
      </w:pPr>
      <w:r>
        <w:rPr>
          <w:color w:val="000000"/>
          <w:highlight w:val="none"/>
        </w:rPr>
        <w:t>投标人提交的证明其有资格参加投标和中标后有能力履行合同的文件应能使招标人和招标代理机构满意，并符合下列要求：</w:t>
      </w:r>
    </w:p>
    <w:p>
      <w:pPr>
        <w:pStyle w:val="8"/>
        <w:rPr>
          <w:color w:val="000000"/>
          <w:highlight w:val="none"/>
        </w:rPr>
      </w:pPr>
      <w:r>
        <w:rPr>
          <w:color w:val="000000"/>
          <w:highlight w:val="none"/>
        </w:rPr>
        <w:t>法人或者其他组织的营业执照等证明文件，自然人的身份证明；</w:t>
      </w:r>
    </w:p>
    <w:p>
      <w:pPr>
        <w:pStyle w:val="8"/>
        <w:rPr>
          <w:rFonts w:hint="eastAsia"/>
          <w:color w:val="000000"/>
          <w:highlight w:val="none"/>
        </w:rPr>
      </w:pPr>
      <w:r>
        <w:rPr>
          <w:rFonts w:hint="eastAsia"/>
          <w:color w:val="000000"/>
          <w:highlight w:val="none"/>
        </w:rPr>
        <w:t>财务状况证明（经审计的财务报告或未经审计的财务报表）</w:t>
      </w:r>
      <w:r>
        <w:rPr>
          <w:color w:val="000000"/>
          <w:highlight w:val="none"/>
        </w:rPr>
        <w:t>，依法缴纳税收和社会保障资金的相关材料；</w:t>
      </w:r>
    </w:p>
    <w:p>
      <w:pPr>
        <w:pStyle w:val="9"/>
        <w:rPr>
          <w:color w:val="000000"/>
          <w:highlight w:val="none"/>
        </w:rPr>
      </w:pPr>
      <w:r>
        <w:rPr>
          <w:rFonts w:hint="eastAsia"/>
          <w:color w:val="000000"/>
          <w:highlight w:val="none"/>
        </w:rPr>
        <w:t>财务状况证明（经审计的财务报告或未经审计的财务报表）指：投标人的资产负债表、现金流量表和利润表；</w:t>
      </w:r>
    </w:p>
    <w:p>
      <w:pPr>
        <w:pStyle w:val="9"/>
        <w:rPr>
          <w:color w:val="000000"/>
          <w:highlight w:val="none"/>
        </w:rPr>
      </w:pPr>
      <w:r>
        <w:rPr>
          <w:color w:val="000000"/>
          <w:highlight w:val="none"/>
        </w:rPr>
        <w:t>依法缴纳税收的相关材料</w:t>
      </w:r>
      <w:r>
        <w:rPr>
          <w:rFonts w:hint="eastAsia"/>
          <w:color w:val="000000"/>
          <w:highlight w:val="none"/>
        </w:rPr>
        <w:t>指：由税务机关出具的投标人依法缴纳税收的凭证或依法享受免税的证明；</w:t>
      </w:r>
    </w:p>
    <w:p>
      <w:pPr>
        <w:pStyle w:val="9"/>
        <w:rPr>
          <w:color w:val="000000"/>
          <w:highlight w:val="none"/>
        </w:rPr>
      </w:pPr>
      <w:r>
        <w:rPr>
          <w:color w:val="000000"/>
          <w:highlight w:val="none"/>
        </w:rPr>
        <w:t>依法缴纳社会保障资金的相关材料</w:t>
      </w:r>
      <w:r>
        <w:rPr>
          <w:rFonts w:hint="eastAsia"/>
          <w:color w:val="000000"/>
          <w:highlight w:val="none"/>
        </w:rPr>
        <w:t>指：由当地社保中心或类似机构出具的含有参保人数信息的投标人交纳社保资金证明材料；</w:t>
      </w:r>
    </w:p>
    <w:p>
      <w:pPr>
        <w:pStyle w:val="8"/>
        <w:rPr>
          <w:color w:val="000000"/>
          <w:highlight w:val="none"/>
        </w:rPr>
      </w:pPr>
      <w:r>
        <w:rPr>
          <w:color w:val="000000"/>
          <w:highlight w:val="none"/>
        </w:rPr>
        <w:t>具备履行合同所必需的设备和专业技术能力的证明材料；</w:t>
      </w:r>
    </w:p>
    <w:p>
      <w:pPr>
        <w:pStyle w:val="8"/>
        <w:rPr>
          <w:color w:val="000000"/>
          <w:highlight w:val="none"/>
        </w:rPr>
      </w:pPr>
      <w:r>
        <w:rPr>
          <w:color w:val="000000"/>
          <w:highlight w:val="none"/>
        </w:rPr>
        <w:t>参加政府采购活动前三年内在经营活动中没有重大违法记录的书面声明；</w:t>
      </w:r>
    </w:p>
    <w:p>
      <w:pPr>
        <w:pStyle w:val="8"/>
        <w:rPr>
          <w:color w:val="000000"/>
          <w:highlight w:val="none"/>
        </w:rPr>
      </w:pPr>
      <w:r>
        <w:rPr>
          <w:color w:val="000000"/>
          <w:highlight w:val="none"/>
        </w:rPr>
        <w:t>证明满足</w:t>
      </w:r>
      <w:r>
        <w:rPr>
          <w:rFonts w:eastAsia="黑体"/>
          <w:color w:val="000000"/>
          <w:highlight w:val="none"/>
        </w:rPr>
        <w:t>投标邀请书</w:t>
      </w:r>
      <w:r>
        <w:rPr>
          <w:color w:val="000000"/>
          <w:highlight w:val="none"/>
        </w:rPr>
        <w:t>中规定的合格投标人的其他资格要求的文件；</w:t>
      </w:r>
    </w:p>
    <w:p>
      <w:pPr>
        <w:pStyle w:val="8"/>
        <w:rPr>
          <w:color w:val="000000"/>
          <w:highlight w:val="none"/>
        </w:rPr>
      </w:pPr>
      <w:r>
        <w:rPr>
          <w:color w:val="000000"/>
          <w:highlight w:val="none"/>
        </w:rPr>
        <w:t>具备法律、行政法规规定的其他条件的证明材料。</w:t>
      </w:r>
    </w:p>
    <w:p>
      <w:pPr>
        <w:pStyle w:val="3"/>
        <w:rPr>
          <w:color w:val="000000"/>
          <w:highlight w:val="none"/>
        </w:rPr>
      </w:pPr>
      <w:r>
        <w:rPr>
          <w:color w:val="000000"/>
          <w:highlight w:val="none"/>
        </w:rPr>
        <w:t>投标人应填写并提交招标文件第六章中所附的资格证明文件。</w:t>
      </w:r>
    </w:p>
    <w:p>
      <w:pPr>
        <w:pStyle w:val="3"/>
        <w:rPr>
          <w:color w:val="000000"/>
          <w:highlight w:val="none"/>
        </w:rPr>
      </w:pPr>
      <w:r>
        <w:rPr>
          <w:color w:val="000000"/>
          <w:highlight w:val="none"/>
        </w:rPr>
        <w:t>投标人的信用情况将以招标代理机构从财政部指定的“信用中国”网站（www.credit china.gov.cn）、中国政府采购网（www.ccgp.gov.cn）等官方渠道查得的信息为准。</w:t>
      </w:r>
    </w:p>
    <w:p>
      <w:pPr>
        <w:pStyle w:val="2"/>
        <w:rPr>
          <w:rFonts w:ascii="Times New Roman"/>
          <w:color w:val="000000"/>
          <w:highlight w:val="none"/>
        </w:rPr>
      </w:pPr>
      <w:bookmarkStart w:id="289" w:name="_Toc2063694"/>
      <w:bookmarkStart w:id="290" w:name="_Toc302374136"/>
      <w:bookmarkStart w:id="291" w:name="_Toc434462186"/>
      <w:bookmarkStart w:id="292" w:name="_Toc452800691"/>
      <w:bookmarkStart w:id="293" w:name="_Toc2063822"/>
      <w:bookmarkStart w:id="294" w:name="_Toc434462797"/>
      <w:bookmarkStart w:id="295" w:name="_Toc452727306"/>
      <w:bookmarkStart w:id="296" w:name="_Toc8343699"/>
      <w:bookmarkStart w:id="297" w:name="_Toc28762"/>
      <w:bookmarkStart w:id="298" w:name="_Toc452726946"/>
      <w:bookmarkStart w:id="299" w:name="_Toc452306104"/>
      <w:bookmarkStart w:id="300" w:name="_Ref434418287"/>
      <w:bookmarkStart w:id="301" w:name="_Toc434897300"/>
      <w:r>
        <w:rPr>
          <w:rFonts w:ascii="Times New Roman"/>
          <w:color w:val="000000"/>
          <w:highlight w:val="none"/>
        </w:rPr>
        <w:t>证明货物及服务合格性的文件</w:t>
      </w:r>
      <w:bookmarkEnd w:id="289"/>
      <w:bookmarkEnd w:id="290"/>
      <w:bookmarkEnd w:id="291"/>
      <w:bookmarkEnd w:id="292"/>
      <w:bookmarkEnd w:id="293"/>
      <w:bookmarkEnd w:id="294"/>
      <w:bookmarkEnd w:id="295"/>
      <w:bookmarkEnd w:id="296"/>
      <w:bookmarkEnd w:id="297"/>
      <w:bookmarkEnd w:id="298"/>
      <w:bookmarkEnd w:id="299"/>
      <w:bookmarkEnd w:id="300"/>
      <w:bookmarkEnd w:id="301"/>
    </w:p>
    <w:p>
      <w:pPr>
        <w:pStyle w:val="3"/>
        <w:rPr>
          <w:color w:val="000000"/>
          <w:highlight w:val="none"/>
        </w:rPr>
      </w:pPr>
      <w:r>
        <w:rPr>
          <w:color w:val="000000"/>
          <w:highlight w:val="none"/>
        </w:rPr>
        <w:t>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_Ref434456304 \n  \* MERGEFORMAT </w:instrText>
      </w:r>
      <w:r>
        <w:rPr>
          <w:color w:val="000000"/>
          <w:highlight w:val="none"/>
        </w:rPr>
        <w:fldChar w:fldCharType="separate"/>
      </w:r>
      <w:r>
        <w:rPr>
          <w:color w:val="000000"/>
          <w:highlight w:val="none"/>
        </w:rPr>
        <w:t>10</w:t>
      </w:r>
      <w:r>
        <w:rPr>
          <w:color w:val="000000"/>
          <w:highlight w:val="none"/>
        </w:rPr>
        <w:fldChar w:fldCharType="end"/>
      </w:r>
      <w:r>
        <w:rPr>
          <w:color w:val="000000"/>
          <w:highlight w:val="none"/>
        </w:rPr>
        <w:t>条的规定，投标人应提交有关证明文件，证明其按合同要求提供的所有货物及伴随服务的合格性，并能满足招标文件的要求。证明文件应作为投标文件的一部分。</w:t>
      </w:r>
    </w:p>
    <w:p>
      <w:pPr>
        <w:pStyle w:val="3"/>
        <w:rPr>
          <w:color w:val="000000"/>
          <w:highlight w:val="none"/>
        </w:rPr>
      </w:pPr>
      <w:r>
        <w:rPr>
          <w:color w:val="000000"/>
          <w:highlight w:val="none"/>
        </w:rPr>
        <w:t>证明货物及伴随服务合格性的文件应包括投标报价表中对货物及伴随服务原产地的声明。</w:t>
      </w:r>
    </w:p>
    <w:p>
      <w:pPr>
        <w:pStyle w:val="3"/>
        <w:rPr>
          <w:color w:val="000000"/>
          <w:highlight w:val="none"/>
        </w:rPr>
      </w:pPr>
      <w:bookmarkStart w:id="302" w:name="_Ref434456395"/>
      <w:r>
        <w:rPr>
          <w:color w:val="000000"/>
          <w:highlight w:val="none"/>
        </w:rPr>
        <w:t>证明货物及伴随服务能够满足招标文件要求的文件可以是文字资料、图样和数据，投标人应提供：</w:t>
      </w:r>
      <w:bookmarkEnd w:id="302"/>
    </w:p>
    <w:p>
      <w:pPr>
        <w:pStyle w:val="8"/>
        <w:rPr>
          <w:color w:val="000000"/>
          <w:highlight w:val="none"/>
        </w:rPr>
      </w:pPr>
      <w:r>
        <w:rPr>
          <w:color w:val="000000"/>
          <w:highlight w:val="none"/>
        </w:rPr>
        <w:t>货物主要技术指标和运行性能的详细说明，设计方案等；</w:t>
      </w:r>
    </w:p>
    <w:p>
      <w:pPr>
        <w:pStyle w:val="8"/>
        <w:rPr>
          <w:color w:val="000000"/>
          <w:highlight w:val="none"/>
        </w:rPr>
      </w:pPr>
      <w:r>
        <w:rPr>
          <w:color w:val="000000"/>
          <w:highlight w:val="none"/>
        </w:rPr>
        <w:t>项目实施计划（包括供货、安装、调试、培训等）；</w:t>
      </w:r>
    </w:p>
    <w:p>
      <w:pPr>
        <w:pStyle w:val="8"/>
        <w:rPr>
          <w:color w:val="000000"/>
          <w:highlight w:val="none"/>
        </w:rPr>
      </w:pPr>
      <w:r>
        <w:rPr>
          <w:color w:val="000000"/>
          <w:highlight w:val="none"/>
        </w:rPr>
        <w:t>项目管理和技术人员、项目管理和技术支持方案等；</w:t>
      </w:r>
    </w:p>
    <w:p>
      <w:pPr>
        <w:pStyle w:val="8"/>
        <w:rPr>
          <w:color w:val="000000"/>
          <w:highlight w:val="none"/>
        </w:rPr>
      </w:pPr>
      <w:r>
        <w:rPr>
          <w:color w:val="000000"/>
          <w:highlight w:val="none"/>
        </w:rPr>
        <w:t>售后服务计划（包括质量保证承诺、售后服务机构</w:t>
      </w:r>
      <w:r>
        <w:rPr>
          <w:rFonts w:hint="eastAsia"/>
          <w:color w:val="000000"/>
          <w:highlight w:val="none"/>
        </w:rPr>
        <w:t>、</w:t>
      </w:r>
      <w:r>
        <w:rPr>
          <w:color w:val="000000"/>
          <w:highlight w:val="none"/>
        </w:rPr>
        <w:t>维保计划、备品备件和特种工具储备等）；</w:t>
      </w:r>
    </w:p>
    <w:p>
      <w:pPr>
        <w:pStyle w:val="8"/>
        <w:rPr>
          <w:color w:val="000000"/>
          <w:highlight w:val="none"/>
        </w:rPr>
      </w:pPr>
      <w:r>
        <w:rPr>
          <w:color w:val="000000"/>
          <w:highlight w:val="none"/>
        </w:rPr>
        <w:t>类似项目业绩证明（提供合同复印件等证明材料）；</w:t>
      </w:r>
    </w:p>
    <w:p>
      <w:pPr>
        <w:pStyle w:val="8"/>
        <w:rPr>
          <w:color w:val="000000"/>
          <w:highlight w:val="none"/>
        </w:rPr>
      </w:pPr>
      <w:r>
        <w:rPr>
          <w:color w:val="000000"/>
          <w:highlight w:val="none"/>
        </w:rPr>
        <w:t>投标人的相关证书、制造商的相关证书、产品检测报告、制造商支持材料</w:t>
      </w:r>
      <w:r>
        <w:rPr>
          <w:rFonts w:hint="eastAsia"/>
          <w:color w:val="000000"/>
          <w:highlight w:val="none"/>
        </w:rPr>
        <w:t>、</w:t>
      </w:r>
      <w:r>
        <w:rPr>
          <w:color w:val="000000"/>
          <w:highlight w:val="none"/>
        </w:rPr>
        <w:t>证明投标符合招标要求或</w:t>
      </w:r>
      <w:r>
        <w:rPr>
          <w:rFonts w:hint="eastAsia"/>
          <w:color w:val="000000"/>
          <w:highlight w:val="none"/>
        </w:rPr>
        <w:t>针对第七章评标办法可</w:t>
      </w:r>
      <w:r>
        <w:rPr>
          <w:color w:val="000000"/>
          <w:highlight w:val="none"/>
        </w:rPr>
        <w:t>提升投标竞争力的其他资料等；</w:t>
      </w:r>
    </w:p>
    <w:p>
      <w:pPr>
        <w:pStyle w:val="8"/>
        <w:rPr>
          <w:color w:val="000000"/>
          <w:highlight w:val="none"/>
        </w:rPr>
      </w:pPr>
      <w:bookmarkStart w:id="303" w:name="_Ref434456480"/>
      <w:r>
        <w:rPr>
          <w:color w:val="000000"/>
          <w:highlight w:val="none"/>
        </w:rPr>
        <w:t>逐条对</w:t>
      </w:r>
      <w:r>
        <w:rPr>
          <w:rStyle w:val="41"/>
          <w:rFonts w:ascii="Times New Roman"/>
          <w:color w:val="000000"/>
          <w:highlight w:val="none"/>
        </w:rPr>
        <w:t>技术规格</w:t>
      </w:r>
      <w:r>
        <w:rPr>
          <w:color w:val="000000"/>
          <w:highlight w:val="none"/>
        </w:rPr>
        <w:t>进行评议，说明自己提供的货物及伴随服务是否作出了实质性响应，并按招标文件第五章中所附的格式逐条填报</w:t>
      </w:r>
      <w:bookmarkEnd w:id="303"/>
      <w:r>
        <w:rPr>
          <w:color w:val="000000"/>
          <w:highlight w:val="none"/>
        </w:rPr>
        <w:t>“</w:t>
      </w:r>
      <w:r>
        <w:rPr>
          <w:rStyle w:val="44"/>
          <w:color w:val="000000"/>
          <w:highlight w:val="none"/>
        </w:rPr>
        <w:t>技术规格</w:t>
      </w:r>
      <w:r>
        <w:rPr>
          <w:color w:val="000000"/>
          <w:highlight w:val="none"/>
        </w:rPr>
        <w:t>响应/偏离表”；</w:t>
      </w:r>
    </w:p>
    <w:p>
      <w:pPr>
        <w:pStyle w:val="8"/>
        <w:rPr>
          <w:color w:val="000000"/>
          <w:highlight w:val="none"/>
        </w:rPr>
      </w:pPr>
      <w:r>
        <w:rPr>
          <w:color w:val="000000"/>
          <w:highlight w:val="none"/>
        </w:rPr>
        <w:t>对招标人提出的商务条款进行评议，并按招标文件第五章中所附的格式填报“商务条款响应/偏离表”。</w:t>
      </w:r>
    </w:p>
    <w:p>
      <w:pPr>
        <w:pStyle w:val="3"/>
        <w:rPr>
          <w:color w:val="000000"/>
          <w:highlight w:val="none"/>
        </w:rPr>
      </w:pPr>
      <w:r>
        <w:rPr>
          <w:color w:val="000000"/>
          <w:highlight w:val="none"/>
        </w:rPr>
        <w:t>凡是投标文件的商务或技术部分与招标文件的要求之间存在负偏离（即不能满足招标文件要求）的，必须在投标文件的“商务条款响应/偏离表”和“</w:t>
      </w:r>
      <w:r>
        <w:rPr>
          <w:rStyle w:val="44"/>
          <w:color w:val="000000"/>
          <w:highlight w:val="none"/>
        </w:rPr>
        <w:t>技术规格</w:t>
      </w:r>
      <w:r>
        <w:rPr>
          <w:color w:val="000000"/>
          <w:highlight w:val="none"/>
        </w:rPr>
        <w:t>响应/偏离表”中予以反映，否则在中标后一律不予考虑。但在评标时，如果在投标文件的“商务条款响应/偏离表”和“</w:t>
      </w:r>
      <w:r>
        <w:rPr>
          <w:rStyle w:val="44"/>
          <w:color w:val="000000"/>
          <w:highlight w:val="none"/>
        </w:rPr>
        <w:t>技术规格</w:t>
      </w:r>
      <w:r>
        <w:rPr>
          <w:color w:val="000000"/>
          <w:highlight w:val="none"/>
        </w:rPr>
        <w:t>响应/偏离表”之外发现上述负偏离的，则将作出对投标人不利的评估。</w:t>
      </w:r>
    </w:p>
    <w:p>
      <w:pPr>
        <w:pStyle w:val="3"/>
        <w:rPr>
          <w:color w:val="000000"/>
          <w:highlight w:val="none"/>
        </w:rPr>
      </w:pPr>
      <w:r>
        <w:rPr>
          <w:color w:val="000000"/>
          <w:highlight w:val="none"/>
        </w:rPr>
        <w:t>如果招标人在</w:t>
      </w:r>
      <w:r>
        <w:rPr>
          <w:rStyle w:val="41"/>
          <w:rFonts w:ascii="Times New Roman"/>
          <w:color w:val="000000"/>
          <w:highlight w:val="none"/>
        </w:rPr>
        <w:t>技术规格</w:t>
      </w:r>
      <w:r>
        <w:rPr>
          <w:color w:val="000000"/>
          <w:highlight w:val="none"/>
        </w:rPr>
        <w:t>中给出了的工艺、材料和设备的标准或者参照的品牌及型号，则它们仅仅起说明作用，并没有任何限制性，投标人在其投标文件中可以选用替代的标准、品牌和（或）型号，但这种替代要实质上优于或相当于</w:t>
      </w:r>
      <w:r>
        <w:rPr>
          <w:rStyle w:val="41"/>
          <w:rFonts w:ascii="Times New Roman"/>
          <w:color w:val="000000"/>
          <w:highlight w:val="none"/>
        </w:rPr>
        <w:t>技术规格</w:t>
      </w:r>
      <w:r>
        <w:rPr>
          <w:color w:val="000000"/>
          <w:highlight w:val="none"/>
        </w:rPr>
        <w:t>中的相关要求，并能使招标人满意。</w:t>
      </w:r>
    </w:p>
    <w:p>
      <w:pPr>
        <w:pStyle w:val="3"/>
        <w:rPr>
          <w:color w:val="000000"/>
          <w:szCs w:val="22"/>
          <w:highlight w:val="none"/>
        </w:rPr>
      </w:pPr>
      <w:r>
        <w:rPr>
          <w:rFonts w:hint="eastAsia"/>
          <w:color w:val="000000"/>
          <w:szCs w:val="22"/>
          <w:highlight w:val="none"/>
        </w:rPr>
        <w:t>对于“</w:t>
      </w:r>
      <w:r>
        <w:rPr>
          <w:rFonts w:hint="eastAsia"/>
          <w:b/>
          <w:bCs/>
          <w:color w:val="000000"/>
          <w:szCs w:val="22"/>
          <w:highlight w:val="none"/>
        </w:rPr>
        <w:t>技术规格</w:t>
      </w:r>
      <w:r>
        <w:rPr>
          <w:rFonts w:hint="eastAsia"/>
          <w:color w:val="000000"/>
          <w:szCs w:val="22"/>
          <w:highlight w:val="none"/>
        </w:rPr>
        <w:t>”中加注星号（“★”）的主要技术要求，投标人在其投标文件中必须作出明确、具体的响应性说明（包括可能存在的正、负偏离情况），并提供相应的技术支持资料，否则其投标将被否决。对于“</w:t>
      </w:r>
      <w:r>
        <w:rPr>
          <w:rFonts w:hint="eastAsia"/>
          <w:b/>
          <w:bCs/>
          <w:color w:val="000000"/>
          <w:szCs w:val="22"/>
          <w:highlight w:val="none"/>
        </w:rPr>
        <w:t>技术规格</w:t>
      </w:r>
      <w:r>
        <w:rPr>
          <w:rFonts w:hint="eastAsia"/>
          <w:color w:val="000000"/>
          <w:szCs w:val="22"/>
          <w:highlight w:val="none"/>
        </w:rPr>
        <w:t>”中加注三角形（“▲”）的重要技术要求，投标人在其投标文件中必须作出明确、具体的响应性说明（包括可能存在的正、负偏离情况），并提供相应的技术支持资料，否则其投标文件在评审时将着重扣分。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软件，投标人也可提供此前完成的类似项目的合同技术规格及最终的性能检验报告作为技术支持资料。上述技术支持资料只能用于印证投标人自称符合而实际不符合的情形，不能用于相反的印证。</w:t>
      </w:r>
    </w:p>
    <w:p>
      <w:pPr>
        <w:pStyle w:val="2"/>
        <w:rPr>
          <w:rFonts w:ascii="Times New Roman"/>
          <w:color w:val="000000"/>
          <w:highlight w:val="none"/>
        </w:rPr>
      </w:pPr>
      <w:bookmarkStart w:id="304" w:name="_Toc8343700"/>
      <w:bookmarkStart w:id="305" w:name="_Ref452702818"/>
      <w:bookmarkStart w:id="306" w:name="_Toc27762"/>
      <w:bookmarkStart w:id="307" w:name="_Toc434462798"/>
      <w:bookmarkStart w:id="308" w:name="_Ref434418309"/>
      <w:bookmarkStart w:id="309" w:name="_Toc452727307"/>
      <w:bookmarkStart w:id="310" w:name="_Toc302374137"/>
      <w:bookmarkStart w:id="311" w:name="_Toc452726947"/>
      <w:bookmarkStart w:id="312" w:name="_Toc452306105"/>
      <w:bookmarkStart w:id="313" w:name="_Toc452800692"/>
      <w:bookmarkStart w:id="314" w:name="_Toc2063695"/>
      <w:bookmarkStart w:id="315" w:name="_Toc2063823"/>
      <w:bookmarkStart w:id="316" w:name="_Toc434462187"/>
      <w:bookmarkStart w:id="317" w:name="_Toc434897301"/>
      <w:r>
        <w:rPr>
          <w:rFonts w:ascii="Times New Roman"/>
          <w:color w:val="000000"/>
          <w:highlight w:val="none"/>
        </w:rPr>
        <w:t>投标保证金</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pPr>
        <w:pStyle w:val="3"/>
        <w:rPr>
          <w:color w:val="000000"/>
          <w:highlight w:val="none"/>
        </w:rPr>
      </w:pPr>
      <w:bookmarkStart w:id="318" w:name="_Ref452638131"/>
      <w:r>
        <w:rPr>
          <w:color w:val="000000"/>
          <w:highlight w:val="none"/>
        </w:rPr>
        <w:t>投标人应提交一笔金额不少于</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_Ref389721082 \r \h  \* MERGEFORMAT </w:instrText>
      </w:r>
      <w:r>
        <w:rPr>
          <w:color w:val="000000"/>
          <w:highlight w:val="none"/>
        </w:rPr>
        <w:fldChar w:fldCharType="separate"/>
      </w:r>
      <w:r>
        <w:rPr>
          <w:color w:val="000000"/>
          <w:highlight w:val="none"/>
        </w:rPr>
        <w:t>5</w:t>
      </w:r>
      <w:r>
        <w:rPr>
          <w:color w:val="000000"/>
          <w:highlight w:val="none"/>
        </w:rPr>
        <w:fldChar w:fldCharType="end"/>
      </w:r>
      <w:r>
        <w:rPr>
          <w:color w:val="000000"/>
          <w:highlight w:val="none"/>
        </w:rPr>
        <w:t>项规定的投标保证金，并作为其投标文件的一部分。</w:t>
      </w:r>
      <w:bookmarkEnd w:id="318"/>
    </w:p>
    <w:p>
      <w:pPr>
        <w:pStyle w:val="12"/>
        <w:rPr>
          <w:color w:val="000000"/>
          <w:highlight w:val="none"/>
        </w:rPr>
      </w:pPr>
      <w:r>
        <w:rPr>
          <w:color w:val="000000"/>
          <w:highlight w:val="none"/>
        </w:rPr>
        <w:t>投标保证金是为了保护招标人和招标代理机构免遭因投标人的行为而蒙受的损失。招标人和招标代理机构在因投标人的行为而蒙受损失时，可根据</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_Ref434457056 \n  \* MERGEFORMAT </w:instrText>
      </w:r>
      <w:r>
        <w:rPr>
          <w:color w:val="000000"/>
          <w:highlight w:val="none"/>
        </w:rPr>
        <w:fldChar w:fldCharType="separate"/>
      </w:r>
      <w:r>
        <w:rPr>
          <w:color w:val="000000"/>
          <w:highlight w:val="none"/>
        </w:rPr>
        <w:t>16.5</w:t>
      </w:r>
      <w:r>
        <w:rPr>
          <w:color w:val="000000"/>
          <w:highlight w:val="none"/>
        </w:rPr>
        <w:fldChar w:fldCharType="end"/>
      </w:r>
      <w:r>
        <w:rPr>
          <w:color w:val="000000"/>
          <w:highlight w:val="none"/>
        </w:rPr>
        <w:t>条的规定不退还其投标保证金。</w:t>
      </w:r>
    </w:p>
    <w:p>
      <w:pPr>
        <w:pStyle w:val="3"/>
        <w:rPr>
          <w:color w:val="000000"/>
          <w:highlight w:val="none"/>
        </w:rPr>
      </w:pPr>
      <w:r>
        <w:rPr>
          <w:color w:val="000000"/>
          <w:highlight w:val="none"/>
        </w:rPr>
        <w:t>对没有随附投标保证金的投标，在评标时将视为非响应性投标而予以否决。</w:t>
      </w:r>
    </w:p>
    <w:p>
      <w:pPr>
        <w:pStyle w:val="3"/>
        <w:rPr>
          <w:color w:val="000000"/>
          <w:highlight w:val="none"/>
        </w:rPr>
      </w:pPr>
      <w:r>
        <w:rPr>
          <w:color w:val="000000"/>
          <w:highlight w:val="none"/>
        </w:rPr>
        <w:t>未中标人的投标保证金，将在招标人向中标人发出中标通知书后的5个工作日内退还。</w:t>
      </w:r>
    </w:p>
    <w:p>
      <w:pPr>
        <w:pStyle w:val="3"/>
        <w:rPr>
          <w:color w:val="000000"/>
          <w:highlight w:val="none"/>
        </w:rPr>
      </w:pPr>
      <w:r>
        <w:rPr>
          <w:color w:val="000000"/>
          <w:highlight w:val="none"/>
        </w:rPr>
        <w:t>中标人的投标保证金，将在中标人按</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_Ref434457151 \r \h  \* MERGEFORMAT </w:instrText>
      </w:r>
      <w:r>
        <w:rPr>
          <w:color w:val="000000"/>
          <w:highlight w:val="none"/>
        </w:rPr>
        <w:fldChar w:fldCharType="separate"/>
      </w:r>
      <w:r>
        <w:rPr>
          <w:color w:val="000000"/>
          <w:highlight w:val="none"/>
        </w:rPr>
        <w:t>32</w:t>
      </w:r>
      <w:r>
        <w:rPr>
          <w:color w:val="000000"/>
          <w:highlight w:val="none"/>
        </w:rPr>
        <w:fldChar w:fldCharType="end"/>
      </w:r>
      <w:r>
        <w:rPr>
          <w:color w:val="000000"/>
          <w:highlight w:val="none"/>
        </w:rPr>
        <w:t>条规定与招标人签订合同并按</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_Ref434457185 \r \h  \* MERGEFORMAT </w:instrText>
      </w:r>
      <w:r>
        <w:rPr>
          <w:color w:val="000000"/>
          <w:highlight w:val="none"/>
        </w:rPr>
        <w:fldChar w:fldCharType="separate"/>
      </w:r>
      <w:r>
        <w:rPr>
          <w:color w:val="000000"/>
          <w:highlight w:val="none"/>
        </w:rPr>
        <w:t>33</w:t>
      </w:r>
      <w:r>
        <w:rPr>
          <w:color w:val="000000"/>
          <w:highlight w:val="none"/>
        </w:rPr>
        <w:fldChar w:fldCharType="end"/>
      </w:r>
      <w:r>
        <w:rPr>
          <w:color w:val="000000"/>
          <w:highlight w:val="none"/>
        </w:rPr>
        <w:t>条规定交纳履约保证金（若</w:t>
      </w:r>
      <w:r>
        <w:rPr>
          <w:rStyle w:val="41"/>
          <w:rFonts w:ascii="Times New Roman"/>
          <w:color w:val="000000"/>
          <w:highlight w:val="none"/>
        </w:rPr>
        <w:t>合同条款</w:t>
      </w:r>
      <w:r>
        <w:rPr>
          <w:color w:val="000000"/>
          <w:highlight w:val="none"/>
        </w:rPr>
        <w:t>有约定）后的5个工作日内退还。</w:t>
      </w:r>
    </w:p>
    <w:p>
      <w:pPr>
        <w:pStyle w:val="3"/>
        <w:rPr>
          <w:color w:val="000000"/>
          <w:highlight w:val="none"/>
        </w:rPr>
      </w:pPr>
      <w:bookmarkStart w:id="319" w:name="_Ref434457056"/>
      <w:r>
        <w:rPr>
          <w:color w:val="000000"/>
          <w:highlight w:val="none"/>
        </w:rPr>
        <w:t>当发生下列</w:t>
      </w:r>
      <w:r>
        <w:rPr>
          <w:rFonts w:hint="eastAsia"/>
          <w:color w:val="000000"/>
          <w:highlight w:val="none"/>
        </w:rPr>
        <w:t>任一</w:t>
      </w:r>
      <w:r>
        <w:rPr>
          <w:color w:val="000000"/>
          <w:highlight w:val="none"/>
        </w:rPr>
        <w:t>情况时，投标保证金将不予退还：</w:t>
      </w:r>
      <w:bookmarkEnd w:id="319"/>
    </w:p>
    <w:p>
      <w:pPr>
        <w:pStyle w:val="8"/>
        <w:rPr>
          <w:color w:val="000000"/>
          <w:highlight w:val="none"/>
        </w:rPr>
      </w:pPr>
      <w:r>
        <w:rPr>
          <w:color w:val="000000"/>
          <w:highlight w:val="none"/>
        </w:rPr>
        <w:t>投标人在其投标函中</w:t>
      </w:r>
      <w:r>
        <w:rPr>
          <w:rFonts w:hint="eastAsia"/>
          <w:color w:val="000000"/>
          <w:highlight w:val="none"/>
        </w:rPr>
        <w:t>承诺</w:t>
      </w:r>
      <w:r>
        <w:rPr>
          <w:color w:val="000000"/>
          <w:highlight w:val="none"/>
        </w:rPr>
        <w:t>的投标有效期内撤销投标；</w:t>
      </w:r>
    </w:p>
    <w:p>
      <w:pPr>
        <w:pStyle w:val="8"/>
        <w:rPr>
          <w:color w:val="000000"/>
          <w:highlight w:val="none"/>
        </w:rPr>
      </w:pPr>
      <w:r>
        <w:rPr>
          <w:color w:val="000000"/>
          <w:highlight w:val="none"/>
        </w:rPr>
        <w:t>中标人在规定期限内未能</w:t>
      </w:r>
    </w:p>
    <w:p>
      <w:pPr>
        <w:pStyle w:val="9"/>
        <w:rPr>
          <w:color w:val="000000"/>
          <w:highlight w:val="none"/>
        </w:rPr>
      </w:pPr>
      <w:r>
        <w:rPr>
          <w:color w:val="000000"/>
          <w:highlight w:val="none"/>
        </w:rPr>
        <w:t>根据</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_Ref434457151 \n  \* MERGEFORMAT </w:instrText>
      </w:r>
      <w:r>
        <w:rPr>
          <w:color w:val="000000"/>
          <w:highlight w:val="none"/>
        </w:rPr>
        <w:fldChar w:fldCharType="separate"/>
      </w:r>
      <w:r>
        <w:rPr>
          <w:color w:val="000000"/>
          <w:highlight w:val="none"/>
        </w:rPr>
        <w:t>32</w:t>
      </w:r>
      <w:r>
        <w:rPr>
          <w:color w:val="000000"/>
          <w:highlight w:val="none"/>
        </w:rPr>
        <w:fldChar w:fldCharType="end"/>
      </w:r>
      <w:r>
        <w:rPr>
          <w:color w:val="000000"/>
          <w:highlight w:val="none"/>
        </w:rPr>
        <w:t>条规定与招标人签订合同；</w:t>
      </w:r>
    </w:p>
    <w:p>
      <w:pPr>
        <w:pStyle w:val="9"/>
        <w:rPr>
          <w:color w:val="000000"/>
          <w:highlight w:val="none"/>
        </w:rPr>
      </w:pPr>
      <w:r>
        <w:rPr>
          <w:color w:val="000000"/>
          <w:highlight w:val="none"/>
        </w:rPr>
        <w:t>根据</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_Ref434457185 \n  \* MERGEFORMAT </w:instrText>
      </w:r>
      <w:r>
        <w:rPr>
          <w:color w:val="000000"/>
          <w:highlight w:val="none"/>
        </w:rPr>
        <w:fldChar w:fldCharType="separate"/>
      </w:r>
      <w:r>
        <w:rPr>
          <w:color w:val="000000"/>
          <w:highlight w:val="none"/>
        </w:rPr>
        <w:t>33</w:t>
      </w:r>
      <w:r>
        <w:rPr>
          <w:color w:val="000000"/>
          <w:highlight w:val="none"/>
        </w:rPr>
        <w:fldChar w:fldCharType="end"/>
      </w:r>
      <w:r>
        <w:rPr>
          <w:color w:val="000000"/>
          <w:highlight w:val="none"/>
        </w:rPr>
        <w:t>条规定提交履约保证金（若</w:t>
      </w:r>
      <w:r>
        <w:rPr>
          <w:rStyle w:val="41"/>
          <w:rFonts w:ascii="Times New Roman"/>
          <w:color w:val="000000"/>
          <w:highlight w:val="none"/>
        </w:rPr>
        <w:t>合同条款</w:t>
      </w:r>
      <w:r>
        <w:rPr>
          <w:color w:val="000000"/>
          <w:highlight w:val="none"/>
        </w:rPr>
        <w:t>有约定）；</w:t>
      </w:r>
    </w:p>
    <w:p>
      <w:pPr>
        <w:pStyle w:val="9"/>
        <w:rPr>
          <w:color w:val="000000"/>
          <w:highlight w:val="none"/>
        </w:rPr>
      </w:pPr>
      <w:r>
        <w:rPr>
          <w:color w:val="000000"/>
          <w:highlight w:val="none"/>
        </w:rPr>
        <w:t>根据</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_Ref512602614 \r \h  \* MERGEFORMAT </w:instrText>
      </w:r>
      <w:r>
        <w:rPr>
          <w:color w:val="000000"/>
          <w:highlight w:val="none"/>
        </w:rPr>
        <w:fldChar w:fldCharType="separate"/>
      </w:r>
      <w:r>
        <w:rPr>
          <w:color w:val="000000"/>
          <w:highlight w:val="none"/>
        </w:rPr>
        <w:t>34</w:t>
      </w:r>
      <w:r>
        <w:rPr>
          <w:color w:val="000000"/>
          <w:highlight w:val="none"/>
        </w:rPr>
        <w:fldChar w:fldCharType="end"/>
      </w:r>
      <w:r>
        <w:rPr>
          <w:color w:val="000000"/>
          <w:highlight w:val="none"/>
        </w:rPr>
        <w:t>条规定向招标代理机构支付招标代理咨询服务费。</w:t>
      </w:r>
    </w:p>
    <w:p>
      <w:pPr>
        <w:pStyle w:val="2"/>
        <w:rPr>
          <w:rFonts w:ascii="Times New Roman"/>
          <w:color w:val="000000"/>
          <w:highlight w:val="none"/>
        </w:rPr>
      </w:pPr>
      <w:bookmarkStart w:id="320" w:name="_Toc2063824"/>
      <w:bookmarkStart w:id="321" w:name="_Toc434462188"/>
      <w:bookmarkStart w:id="322" w:name="_Toc452800693"/>
      <w:bookmarkStart w:id="323" w:name="_Toc434462799"/>
      <w:bookmarkStart w:id="324" w:name="_Ref452638185"/>
      <w:bookmarkStart w:id="325" w:name="_Toc8343701"/>
      <w:bookmarkStart w:id="326" w:name="_Toc452727308"/>
      <w:bookmarkStart w:id="327" w:name="_Ref434457090"/>
      <w:bookmarkStart w:id="328" w:name="_Toc452306106"/>
      <w:bookmarkStart w:id="329" w:name="_Toc302374138"/>
      <w:bookmarkStart w:id="330" w:name="_Toc452726948"/>
      <w:bookmarkStart w:id="331" w:name="_Toc434897302"/>
      <w:bookmarkStart w:id="332" w:name="_Toc2063696"/>
      <w:bookmarkStart w:id="333" w:name="_Toc8402"/>
      <w:r>
        <w:rPr>
          <w:rFonts w:ascii="Times New Roman"/>
          <w:color w:val="000000"/>
          <w:highlight w:val="none"/>
        </w:rPr>
        <w:t>投标有效期</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pPr>
        <w:pStyle w:val="3"/>
        <w:rPr>
          <w:color w:val="000000"/>
          <w:highlight w:val="none"/>
        </w:rPr>
      </w:pPr>
      <w:bookmarkStart w:id="334" w:name="_Ref452638201"/>
      <w:r>
        <w:rPr>
          <w:color w:val="000000"/>
          <w:highlight w:val="none"/>
        </w:rPr>
        <w:t>投标人的投标应从</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_Ref434457255 \n  \* MERGEFORMAT </w:instrText>
      </w:r>
      <w:r>
        <w:rPr>
          <w:color w:val="000000"/>
          <w:highlight w:val="none"/>
        </w:rPr>
        <w:fldChar w:fldCharType="separate"/>
      </w:r>
      <w:r>
        <w:rPr>
          <w:color w:val="000000"/>
          <w:highlight w:val="none"/>
        </w:rPr>
        <w:t>23</w:t>
      </w:r>
      <w:r>
        <w:rPr>
          <w:color w:val="000000"/>
          <w:highlight w:val="none"/>
        </w:rPr>
        <w:fldChar w:fldCharType="end"/>
      </w:r>
      <w:r>
        <w:rPr>
          <w:color w:val="000000"/>
          <w:highlight w:val="none"/>
        </w:rPr>
        <w:t>条规定的开标之日起，在</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_Ref389721096 \r \h  \* MERGEFORMAT </w:instrText>
      </w:r>
      <w:r>
        <w:rPr>
          <w:color w:val="000000"/>
          <w:highlight w:val="none"/>
        </w:rPr>
        <w:fldChar w:fldCharType="separate"/>
      </w:r>
      <w:r>
        <w:rPr>
          <w:color w:val="000000"/>
          <w:highlight w:val="none"/>
        </w:rPr>
        <w:t>6</w:t>
      </w:r>
      <w:r>
        <w:rPr>
          <w:color w:val="000000"/>
          <w:highlight w:val="none"/>
        </w:rPr>
        <w:fldChar w:fldCharType="end"/>
      </w:r>
      <w:r>
        <w:rPr>
          <w:color w:val="000000"/>
          <w:highlight w:val="none"/>
        </w:rPr>
        <w:t>项所规定的投标有效期内保持有效。投标有效期比规定短的投标将被视为非响应标而予以否决。</w:t>
      </w:r>
      <w:bookmarkEnd w:id="334"/>
    </w:p>
    <w:p>
      <w:pPr>
        <w:pStyle w:val="3"/>
        <w:rPr>
          <w:color w:val="000000"/>
          <w:highlight w:val="none"/>
        </w:rPr>
      </w:pPr>
      <w:r>
        <w:rPr>
          <w:color w:val="000000"/>
          <w:highlight w:val="none"/>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pPr>
        <w:pStyle w:val="2"/>
        <w:rPr>
          <w:rFonts w:ascii="Times New Roman"/>
          <w:color w:val="000000"/>
          <w:highlight w:val="none"/>
        </w:rPr>
      </w:pPr>
      <w:bookmarkStart w:id="335" w:name="_Toc2063825"/>
      <w:bookmarkStart w:id="336" w:name="_Toc8343702"/>
      <w:bookmarkStart w:id="337" w:name="_Ref452638362"/>
      <w:bookmarkStart w:id="338" w:name="_Toc434462800"/>
      <w:bookmarkStart w:id="339" w:name="_Toc302374139"/>
      <w:bookmarkStart w:id="340" w:name="_Toc434462189"/>
      <w:bookmarkStart w:id="341" w:name="_Toc452800694"/>
      <w:bookmarkStart w:id="342" w:name="_Ref51327911"/>
      <w:bookmarkStart w:id="343" w:name="_Toc2063697"/>
      <w:bookmarkStart w:id="344" w:name="_Toc452727309"/>
      <w:bookmarkStart w:id="345" w:name="_Toc30061"/>
      <w:bookmarkStart w:id="346" w:name="_Toc434897303"/>
      <w:bookmarkStart w:id="347" w:name="_Toc452306107"/>
      <w:bookmarkStart w:id="348" w:name="_Toc452726949"/>
      <w:r>
        <w:rPr>
          <w:rFonts w:ascii="Times New Roman"/>
          <w:color w:val="000000"/>
          <w:highlight w:val="none"/>
        </w:rPr>
        <w:t>投标文件的式样和签署</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pPr>
        <w:pStyle w:val="3"/>
        <w:rPr>
          <w:color w:val="000000"/>
          <w:highlight w:val="none"/>
        </w:rPr>
      </w:pPr>
      <w:bookmarkStart w:id="349" w:name="_Ref452638371"/>
      <w:r>
        <w:rPr>
          <w:color w:val="000000"/>
          <w:highlight w:val="none"/>
        </w:rPr>
        <w:t>投标人应按照</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_Ref434456304 \n  \* MERGEFORMAT </w:instrText>
      </w:r>
      <w:r>
        <w:rPr>
          <w:color w:val="000000"/>
          <w:highlight w:val="none"/>
        </w:rPr>
        <w:fldChar w:fldCharType="separate"/>
      </w:r>
      <w:r>
        <w:rPr>
          <w:color w:val="000000"/>
          <w:highlight w:val="none"/>
        </w:rPr>
        <w:t>10</w:t>
      </w:r>
      <w:r>
        <w:rPr>
          <w:color w:val="000000"/>
          <w:highlight w:val="none"/>
        </w:rPr>
        <w:fldChar w:fldCharType="end"/>
      </w:r>
      <w:r>
        <w:rPr>
          <w:color w:val="000000"/>
          <w:highlight w:val="none"/>
        </w:rPr>
        <w:t>条的要求，准备</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_Ref389721111 \r \h  \* MERGEFORMAT </w:instrText>
      </w:r>
      <w:r>
        <w:rPr>
          <w:color w:val="000000"/>
          <w:highlight w:val="none"/>
        </w:rPr>
        <w:fldChar w:fldCharType="separate"/>
      </w:r>
      <w:r>
        <w:rPr>
          <w:color w:val="000000"/>
          <w:highlight w:val="none"/>
        </w:rPr>
        <w:t>7</w:t>
      </w:r>
      <w:r>
        <w:rPr>
          <w:color w:val="000000"/>
          <w:highlight w:val="none"/>
        </w:rPr>
        <w:fldChar w:fldCharType="end"/>
      </w:r>
      <w:r>
        <w:rPr>
          <w:color w:val="000000"/>
          <w:highlight w:val="none"/>
        </w:rPr>
        <w:t>项规定的投标文件。</w:t>
      </w:r>
      <w:bookmarkEnd w:id="349"/>
    </w:p>
    <w:p>
      <w:pPr>
        <w:pStyle w:val="3"/>
        <w:rPr>
          <w:rFonts w:hint="eastAsia"/>
          <w:color w:val="000000"/>
          <w:highlight w:val="none"/>
        </w:rPr>
      </w:pPr>
      <w:bookmarkStart w:id="350" w:name="_Toc1807797"/>
      <w:r>
        <w:rPr>
          <w:rFonts w:hint="eastAsia"/>
          <w:color w:val="000000"/>
          <w:highlight w:val="none"/>
        </w:rPr>
        <w:t>投标人应按</w:t>
      </w:r>
      <w:r>
        <w:rPr>
          <w:rFonts w:hint="eastAsia" w:ascii="宋体" w:hAnsi="宋体" w:cs="宋体"/>
          <w:color w:val="000000"/>
          <w:highlight w:val="none"/>
        </w:rPr>
        <w:t>《复旦大学招采进宝电子招投标系统操作手册》（投标人分册）</w:t>
      </w:r>
      <w:r>
        <w:rPr>
          <w:rFonts w:hint="eastAsia"/>
          <w:color w:val="000000"/>
          <w:highlight w:val="none"/>
        </w:rPr>
        <w:t>的规定将电子投标文件转换成符合要求的格式，并通过网站认可的用于身份认证和电子签名的数字认证证书（CA）上传其电子投标文件。</w:t>
      </w:r>
    </w:p>
    <w:bookmarkEnd w:id="350"/>
    <w:p>
      <w:pPr>
        <w:pStyle w:val="3"/>
        <w:rPr>
          <w:color w:val="000000"/>
          <w:highlight w:val="none"/>
        </w:rPr>
      </w:pPr>
      <w:bookmarkStart w:id="351" w:name="_Ref503124903"/>
      <w:r>
        <w:rPr>
          <w:rFonts w:hint="eastAsia" w:ascii="宋体" w:hAnsi="宋体" w:cs="宋体"/>
          <w:color w:val="000000"/>
          <w:highlight w:val="none"/>
        </w:rPr>
        <w:t>投标文件的签章：提交的投标文件须逐页进行电子签章。</w:t>
      </w:r>
    </w:p>
    <w:p>
      <w:pPr>
        <w:pStyle w:val="3"/>
        <w:rPr>
          <w:color w:val="000000"/>
          <w:highlight w:val="none"/>
        </w:rPr>
      </w:pPr>
      <w:r>
        <w:rPr>
          <w:rFonts w:hint="eastAsia"/>
          <w:color w:val="000000"/>
          <w:highlight w:val="none"/>
        </w:rPr>
        <w:t>如确有错漏之处确需要修改或补充，须重新上传修改后或补充的投标文件，开标时以投标截止时间前投标人最终上传的投标文件为准。</w:t>
      </w:r>
    </w:p>
    <w:bookmarkEnd w:id="351"/>
    <w:p>
      <w:pPr>
        <w:pStyle w:val="83"/>
        <w:rPr>
          <w:rFonts w:ascii="Times New Roman"/>
          <w:color w:val="000000"/>
          <w:highlight w:val="none"/>
        </w:rPr>
      </w:pPr>
      <w:bookmarkStart w:id="352" w:name="_Toc2063941"/>
      <w:bookmarkStart w:id="353" w:name="_Toc503130724"/>
      <w:bookmarkStart w:id="354" w:name="_Toc495398001"/>
      <w:bookmarkStart w:id="355" w:name="_Toc8028"/>
      <w:bookmarkStart w:id="356" w:name="_Toc495398051"/>
      <w:bookmarkStart w:id="357" w:name="_Toc8343703"/>
      <w:bookmarkStart w:id="358" w:name="_Toc2063826"/>
      <w:bookmarkStart w:id="359" w:name="_Toc2063973"/>
      <w:bookmarkStart w:id="360" w:name="_Toc389465259"/>
      <w:bookmarkStart w:id="361" w:name="_Toc503130785"/>
      <w:bookmarkStart w:id="362" w:name="_Toc495406854"/>
      <w:bookmarkStart w:id="363" w:name="_Toc491700921"/>
      <w:bookmarkStart w:id="364" w:name="_Toc301765383"/>
      <w:r>
        <w:rPr>
          <w:rFonts w:ascii="Times New Roman"/>
          <w:color w:val="000000"/>
          <w:highlight w:val="none"/>
        </w:rPr>
        <w:t>四、投标文件的递交</w:t>
      </w:r>
      <w:bookmarkEnd w:id="352"/>
      <w:bookmarkEnd w:id="353"/>
      <w:bookmarkEnd w:id="354"/>
      <w:bookmarkEnd w:id="355"/>
      <w:bookmarkEnd w:id="356"/>
      <w:bookmarkEnd w:id="357"/>
      <w:bookmarkEnd w:id="358"/>
      <w:bookmarkEnd w:id="359"/>
      <w:bookmarkEnd w:id="360"/>
      <w:bookmarkEnd w:id="361"/>
      <w:bookmarkEnd w:id="362"/>
      <w:bookmarkEnd w:id="363"/>
      <w:bookmarkEnd w:id="364"/>
    </w:p>
    <w:p>
      <w:pPr>
        <w:pStyle w:val="2"/>
        <w:rPr>
          <w:rFonts w:ascii="Times New Roman"/>
          <w:color w:val="000000"/>
          <w:highlight w:val="none"/>
        </w:rPr>
      </w:pPr>
      <w:bookmarkStart w:id="365" w:name="_Toc29564"/>
      <w:r>
        <w:rPr>
          <w:rFonts w:hint="eastAsia" w:ascii="Times New Roman"/>
          <w:color w:val="000000"/>
          <w:highlight w:val="none"/>
        </w:rPr>
        <w:t>投标文件的密封、标记和发送</w:t>
      </w:r>
      <w:bookmarkEnd w:id="365"/>
      <w:bookmarkStart w:id="366" w:name="密封标记和发送"/>
      <w:bookmarkEnd w:id="366"/>
    </w:p>
    <w:p>
      <w:pPr>
        <w:pStyle w:val="3"/>
        <w:rPr>
          <w:rFonts w:hint="eastAsia"/>
          <w:color w:val="000000"/>
          <w:highlight w:val="none"/>
        </w:rPr>
      </w:pPr>
      <w:r>
        <w:rPr>
          <w:rFonts w:hint="eastAsia"/>
          <w:color w:val="000000"/>
          <w:highlight w:val="none"/>
        </w:rPr>
        <w:t>投标人提交电子投标文件时，应按下列规定进行：</w:t>
      </w:r>
    </w:p>
    <w:p>
      <w:pPr>
        <w:ind w:firstLine="480" w:firstLineChars="200"/>
        <w:rPr>
          <w:rFonts w:hint="eastAsia"/>
          <w:color w:val="000000"/>
          <w:highlight w:val="none"/>
        </w:rPr>
      </w:pPr>
      <w:r>
        <w:rPr>
          <w:rFonts w:hint="eastAsia"/>
          <w:color w:val="000000"/>
          <w:highlight w:val="none"/>
        </w:rPr>
        <w:t>投标人须在投标截止时间前，通过相应的投标客户端编制并生成“etnd”格式的加密文件，并在招标文件规定的投标截止时间前登录复旦大学|招采进宝电子招投标系统递交电子投标文件。在线递交电子投标文件前，投标人应当使用投标客户端及数字认证证书（CA）为投标文件加密。未按规定时间和方式提交电子文件，因投标人的原因导致电子投标文件不能打开的，招标人不予受理。</w:t>
      </w:r>
    </w:p>
    <w:p>
      <w:pPr>
        <w:pStyle w:val="3"/>
        <w:rPr>
          <w:rFonts w:hint="eastAsia"/>
          <w:color w:val="000000"/>
          <w:highlight w:val="none"/>
        </w:rPr>
      </w:pPr>
      <w:r>
        <w:rPr>
          <w:rFonts w:hint="eastAsia"/>
          <w:color w:val="000000"/>
          <w:highlight w:val="none"/>
        </w:rPr>
        <w:t>投标文件的纸质归档：</w:t>
      </w:r>
    </w:p>
    <w:p>
      <w:pPr>
        <w:ind w:firstLine="480" w:firstLineChars="200"/>
        <w:rPr>
          <w:rFonts w:hint="eastAsia"/>
          <w:color w:val="000000"/>
          <w:highlight w:val="none"/>
        </w:rPr>
      </w:pPr>
      <w:r>
        <w:rPr>
          <w:rFonts w:hint="eastAsia"/>
          <w:color w:val="000000"/>
          <w:highlight w:val="none"/>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pPr>
        <w:ind w:firstLine="480" w:firstLineChars="200"/>
        <w:rPr>
          <w:rFonts w:hint="eastAsia"/>
          <w:color w:val="000000"/>
          <w:highlight w:val="none"/>
        </w:rPr>
      </w:pPr>
      <w:r>
        <w:rPr>
          <w:rFonts w:hint="eastAsia"/>
          <w:color w:val="000000"/>
          <w:highlight w:val="none"/>
        </w:rPr>
        <w:t>（2）邮寄地址：上海市徐汇区零陵路583号海洋石油大厦1216室（吴佳，86-21-33312773）。</w:t>
      </w:r>
    </w:p>
    <w:p>
      <w:pPr>
        <w:pStyle w:val="2"/>
        <w:rPr>
          <w:rFonts w:ascii="Times New Roman"/>
          <w:color w:val="000000"/>
          <w:highlight w:val="none"/>
        </w:rPr>
      </w:pPr>
      <w:bookmarkStart w:id="367" w:name="_Toc434897305"/>
      <w:bookmarkStart w:id="368" w:name="_Toc434462802"/>
      <w:bookmarkStart w:id="369" w:name="_Toc26050"/>
      <w:bookmarkStart w:id="370" w:name="_Toc452306109"/>
      <w:bookmarkStart w:id="371" w:name="_Toc452727311"/>
      <w:bookmarkStart w:id="372" w:name="_Toc8343705"/>
      <w:bookmarkStart w:id="373" w:name="_Toc2063828"/>
      <w:bookmarkStart w:id="374" w:name="_Toc434462191"/>
      <w:bookmarkStart w:id="375" w:name="_Toc302374141"/>
      <w:bookmarkStart w:id="376" w:name="_Toc2063699"/>
      <w:bookmarkStart w:id="377" w:name="_Toc452726951"/>
      <w:bookmarkStart w:id="378" w:name="_Ref434457602"/>
      <w:bookmarkStart w:id="379" w:name="_Toc452800696"/>
      <w:r>
        <w:rPr>
          <w:rFonts w:ascii="Times New Roman"/>
          <w:color w:val="000000"/>
          <w:highlight w:val="none"/>
        </w:rPr>
        <w:t>投标截止期</w:t>
      </w:r>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3"/>
        <w:rPr>
          <w:color w:val="000000"/>
          <w:highlight w:val="none"/>
        </w:rPr>
      </w:pPr>
      <w:bookmarkStart w:id="380" w:name="_Ref1964100"/>
      <w:r>
        <w:rPr>
          <w:rFonts w:hint="eastAsia"/>
          <w:color w:val="000000"/>
          <w:highlight w:val="none"/>
        </w:rPr>
        <w:t>投标人提交</w:t>
      </w:r>
      <w:r>
        <w:rPr>
          <w:color w:val="000000"/>
          <w:highlight w:val="none"/>
        </w:rPr>
        <w:t>投标文件的时间不得迟于</w:t>
      </w:r>
      <w:r>
        <w:rPr>
          <w:rStyle w:val="41"/>
          <w:rFonts w:ascii="Times New Roman"/>
          <w:color w:val="000000"/>
          <w:highlight w:val="none"/>
        </w:rPr>
        <w:t>本须知前附表</w:t>
      </w:r>
      <w:r>
        <w:rPr>
          <w:rStyle w:val="44"/>
          <w:color w:val="000000"/>
          <w:highlight w:val="none"/>
        </w:rPr>
        <w:t>第</w:t>
      </w:r>
      <w:r>
        <w:rPr>
          <w:color w:val="000000"/>
          <w:highlight w:val="none"/>
        </w:rPr>
        <w:fldChar w:fldCharType="begin"/>
      </w:r>
      <w:r>
        <w:rPr>
          <w:rStyle w:val="44"/>
          <w:color w:val="000000"/>
          <w:highlight w:val="none"/>
        </w:rPr>
        <w:instrText xml:space="preserve"> REF _Ref389721167 \r \h </w:instrText>
      </w:r>
      <w:r>
        <w:rPr>
          <w:color w:val="000000"/>
          <w:highlight w:val="none"/>
        </w:rPr>
        <w:instrText xml:space="preserve"> \* MERGEFORMAT </w:instrText>
      </w:r>
      <w:r>
        <w:rPr>
          <w:color w:val="000000"/>
          <w:highlight w:val="none"/>
        </w:rPr>
        <w:fldChar w:fldCharType="separate"/>
      </w:r>
      <w:r>
        <w:rPr>
          <w:rStyle w:val="44"/>
          <w:color w:val="000000"/>
          <w:highlight w:val="none"/>
        </w:rPr>
        <w:t>10</w:t>
      </w:r>
      <w:r>
        <w:rPr>
          <w:color w:val="000000"/>
          <w:highlight w:val="none"/>
        </w:rPr>
        <w:fldChar w:fldCharType="end"/>
      </w:r>
      <w:r>
        <w:rPr>
          <w:rStyle w:val="44"/>
          <w:color w:val="000000"/>
          <w:highlight w:val="none"/>
        </w:rPr>
        <w:t>项</w:t>
      </w:r>
      <w:r>
        <w:rPr>
          <w:color w:val="000000"/>
          <w:highlight w:val="none"/>
        </w:rPr>
        <w:t>规定的截止日期和时间。</w:t>
      </w:r>
      <w:bookmarkEnd w:id="380"/>
    </w:p>
    <w:p>
      <w:pPr>
        <w:pStyle w:val="3"/>
        <w:rPr>
          <w:color w:val="000000"/>
          <w:highlight w:val="none"/>
        </w:rPr>
      </w:pPr>
      <w:r>
        <w:rPr>
          <w:color w:val="000000"/>
          <w:highlight w:val="none"/>
        </w:rPr>
        <w:t>招标人和招标代理机构可以按</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_Ref389633995 \r \h  \* MERGEFORMAT </w:instrText>
      </w:r>
      <w:r>
        <w:rPr>
          <w:color w:val="000000"/>
          <w:highlight w:val="none"/>
        </w:rPr>
        <w:fldChar w:fldCharType="separate"/>
      </w:r>
      <w:r>
        <w:rPr>
          <w:color w:val="000000"/>
          <w:highlight w:val="none"/>
        </w:rPr>
        <w:t>8</w:t>
      </w:r>
      <w:r>
        <w:rPr>
          <w:color w:val="000000"/>
          <w:highlight w:val="none"/>
        </w:rPr>
        <w:fldChar w:fldCharType="end"/>
      </w:r>
      <w:r>
        <w:rPr>
          <w:color w:val="000000"/>
          <w:highlight w:val="none"/>
        </w:rPr>
        <w:t>条的规定，通过修改招标文件自行决定酌情延后投标截止期。在此情况下，招标人和招标代理机构与投标人之间受投标截止期制约的所有权利和义务均应延后至新的截止期。</w:t>
      </w:r>
    </w:p>
    <w:p>
      <w:pPr>
        <w:pStyle w:val="2"/>
        <w:rPr>
          <w:rFonts w:ascii="Times New Roman"/>
          <w:color w:val="000000"/>
          <w:highlight w:val="none"/>
        </w:rPr>
      </w:pPr>
      <w:bookmarkStart w:id="381" w:name="_Toc434897306"/>
      <w:bookmarkStart w:id="382" w:name="_Toc434462803"/>
      <w:bookmarkStart w:id="383" w:name="_Toc452800697"/>
      <w:bookmarkStart w:id="384" w:name="_Toc452306110"/>
      <w:bookmarkStart w:id="385" w:name="_Toc452727312"/>
      <w:bookmarkStart w:id="386" w:name="_Toc8343706"/>
      <w:bookmarkStart w:id="387" w:name="_Toc452726952"/>
      <w:bookmarkStart w:id="388" w:name="_Toc21937"/>
      <w:bookmarkStart w:id="389" w:name="_Toc434462192"/>
      <w:bookmarkStart w:id="390" w:name="_Toc302374142"/>
      <w:bookmarkStart w:id="391" w:name="_Toc2063829"/>
      <w:bookmarkStart w:id="392" w:name="_Toc2063700"/>
      <w:r>
        <w:rPr>
          <w:rFonts w:ascii="Times New Roman"/>
          <w:color w:val="000000"/>
          <w:highlight w:val="none"/>
        </w:rPr>
        <w:t>迟交的投标文件</w:t>
      </w:r>
      <w:bookmarkEnd w:id="381"/>
      <w:bookmarkEnd w:id="382"/>
      <w:bookmarkEnd w:id="383"/>
      <w:bookmarkEnd w:id="384"/>
      <w:bookmarkEnd w:id="385"/>
      <w:bookmarkEnd w:id="386"/>
      <w:bookmarkEnd w:id="387"/>
      <w:bookmarkEnd w:id="388"/>
      <w:bookmarkEnd w:id="389"/>
      <w:bookmarkEnd w:id="390"/>
      <w:bookmarkEnd w:id="391"/>
      <w:bookmarkEnd w:id="392"/>
    </w:p>
    <w:p>
      <w:pPr>
        <w:pStyle w:val="12"/>
        <w:rPr>
          <w:color w:val="000000"/>
          <w:highlight w:val="none"/>
        </w:rPr>
      </w:pPr>
      <w:r>
        <w:rPr>
          <w:color w:val="000000"/>
          <w:highlight w:val="none"/>
        </w:rPr>
        <w:t>招标代理机构将拒收</w:t>
      </w:r>
      <w:r>
        <w:rPr>
          <w:rFonts w:hint="eastAsia"/>
          <w:color w:val="000000"/>
          <w:highlight w:val="none"/>
        </w:rPr>
        <w:t>投标</w:t>
      </w:r>
      <w:r>
        <w:rPr>
          <w:color w:val="000000"/>
          <w:highlight w:val="none"/>
        </w:rPr>
        <w:t>截止期后收到的任何投标文件。</w:t>
      </w:r>
    </w:p>
    <w:p>
      <w:pPr>
        <w:pStyle w:val="2"/>
        <w:rPr>
          <w:rFonts w:ascii="Times New Roman"/>
          <w:color w:val="000000"/>
          <w:highlight w:val="none"/>
        </w:rPr>
      </w:pPr>
      <w:bookmarkStart w:id="393" w:name="_Toc302374143"/>
      <w:bookmarkStart w:id="394" w:name="_Toc434897307"/>
      <w:bookmarkStart w:id="395" w:name="_Toc452726953"/>
      <w:bookmarkStart w:id="396" w:name="_Toc434462193"/>
      <w:bookmarkStart w:id="397" w:name="_Toc452727313"/>
      <w:bookmarkStart w:id="398" w:name="_Ref434457922"/>
      <w:bookmarkStart w:id="399" w:name="_Toc434462804"/>
      <w:bookmarkStart w:id="400" w:name="_Toc8343707"/>
      <w:bookmarkStart w:id="401" w:name="_Toc2063701"/>
      <w:bookmarkStart w:id="402" w:name="_Toc452800698"/>
      <w:bookmarkStart w:id="403" w:name="_Toc452306111"/>
      <w:bookmarkStart w:id="404" w:name="_Toc2063830"/>
      <w:bookmarkStart w:id="405" w:name="_Toc14735"/>
      <w:r>
        <w:rPr>
          <w:color w:val="000000"/>
          <w:highlight w:val="none"/>
        </w:rPr>
        <w:t>投标截止期之后</w:t>
      </w:r>
      <w:r>
        <w:rPr>
          <w:rFonts w:hint="eastAsia"/>
          <w:color w:val="000000"/>
          <w:highlight w:val="none"/>
        </w:rPr>
        <w:t>的</w:t>
      </w:r>
      <w:r>
        <w:rPr>
          <w:rFonts w:ascii="Times New Roman"/>
          <w:color w:val="000000"/>
          <w:highlight w:val="none"/>
        </w:rPr>
        <w:t>投标文件</w:t>
      </w:r>
      <w:r>
        <w:rPr>
          <w:rFonts w:hint="eastAsia" w:ascii="Times New Roman"/>
          <w:color w:val="000000"/>
          <w:highlight w:val="none"/>
        </w:rPr>
        <w:t>不得</w:t>
      </w:r>
      <w:r>
        <w:rPr>
          <w:rFonts w:ascii="Times New Roman"/>
          <w:color w:val="000000"/>
          <w:highlight w:val="none"/>
        </w:rPr>
        <w:t>修改、撤回</w:t>
      </w:r>
      <w:bookmarkEnd w:id="393"/>
      <w:bookmarkEnd w:id="394"/>
      <w:bookmarkEnd w:id="395"/>
      <w:bookmarkEnd w:id="396"/>
      <w:bookmarkEnd w:id="397"/>
      <w:bookmarkEnd w:id="398"/>
      <w:bookmarkEnd w:id="399"/>
      <w:bookmarkEnd w:id="400"/>
      <w:bookmarkEnd w:id="401"/>
      <w:bookmarkEnd w:id="402"/>
      <w:bookmarkEnd w:id="403"/>
      <w:bookmarkEnd w:id="404"/>
      <w:r>
        <w:rPr>
          <w:rFonts w:ascii="Times New Roman"/>
          <w:color w:val="000000"/>
          <w:highlight w:val="none"/>
        </w:rPr>
        <w:t>和撤销</w:t>
      </w:r>
      <w:bookmarkEnd w:id="405"/>
    </w:p>
    <w:p>
      <w:pPr>
        <w:pStyle w:val="3"/>
        <w:rPr>
          <w:color w:val="000000"/>
          <w:highlight w:val="none"/>
        </w:rPr>
      </w:pPr>
      <w:r>
        <w:rPr>
          <w:color w:val="000000"/>
          <w:highlight w:val="none"/>
        </w:rPr>
        <w:t>在投标截止期之后，投标人不得对其投标文件做任何修改。</w:t>
      </w:r>
    </w:p>
    <w:p>
      <w:pPr>
        <w:pStyle w:val="3"/>
        <w:rPr>
          <w:color w:val="000000"/>
          <w:highlight w:val="none"/>
        </w:rPr>
      </w:pPr>
      <w:r>
        <w:rPr>
          <w:color w:val="000000"/>
          <w:highlight w:val="none"/>
        </w:rPr>
        <w:t>根据</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_Ref434457056 \n  \* MERGEFORMAT </w:instrText>
      </w:r>
      <w:r>
        <w:rPr>
          <w:color w:val="000000"/>
          <w:highlight w:val="none"/>
        </w:rPr>
        <w:fldChar w:fldCharType="separate"/>
      </w:r>
      <w:r>
        <w:rPr>
          <w:color w:val="000000"/>
          <w:highlight w:val="none"/>
        </w:rPr>
        <w:t>16.5</w:t>
      </w:r>
      <w:r>
        <w:rPr>
          <w:color w:val="000000"/>
          <w:highlight w:val="none"/>
        </w:rPr>
        <w:fldChar w:fldCharType="end"/>
      </w:r>
      <w:r>
        <w:rPr>
          <w:color w:val="000000"/>
          <w:highlight w:val="none"/>
        </w:rPr>
        <w:t>条的规定，在投标截止期至投标人承诺的投标有效期届满这段时间内，投标人不得撤销其投标，否则其投标保证金将不予退还。</w:t>
      </w:r>
    </w:p>
    <w:p>
      <w:pPr>
        <w:pStyle w:val="83"/>
        <w:rPr>
          <w:rFonts w:ascii="Times New Roman"/>
          <w:color w:val="000000"/>
          <w:highlight w:val="none"/>
        </w:rPr>
      </w:pPr>
      <w:bookmarkStart w:id="406" w:name="_Toc2063831"/>
      <w:bookmarkStart w:id="407" w:name="_Toc389465260"/>
      <w:bookmarkStart w:id="408" w:name="_Toc491700922"/>
      <w:bookmarkStart w:id="409" w:name="_Toc495398052"/>
      <w:bookmarkStart w:id="410" w:name="_Toc495398002"/>
      <w:bookmarkStart w:id="411" w:name="_Toc301765384"/>
      <w:bookmarkStart w:id="412" w:name="_Toc8343708"/>
      <w:bookmarkStart w:id="413" w:name="_Toc503130786"/>
      <w:bookmarkStart w:id="414" w:name="_Toc495406855"/>
      <w:bookmarkStart w:id="415" w:name="_Toc6945"/>
      <w:bookmarkStart w:id="416" w:name="_Toc2063942"/>
      <w:bookmarkStart w:id="417" w:name="_Toc2063974"/>
      <w:bookmarkStart w:id="418" w:name="_Toc503130725"/>
      <w:r>
        <w:rPr>
          <w:rFonts w:ascii="Times New Roman"/>
          <w:color w:val="000000"/>
          <w:highlight w:val="none"/>
        </w:rPr>
        <w:t>五、开标与评标</w:t>
      </w:r>
      <w:bookmarkEnd w:id="406"/>
      <w:bookmarkEnd w:id="407"/>
      <w:bookmarkEnd w:id="408"/>
      <w:bookmarkEnd w:id="409"/>
      <w:bookmarkEnd w:id="410"/>
      <w:bookmarkEnd w:id="411"/>
      <w:bookmarkEnd w:id="412"/>
      <w:bookmarkEnd w:id="413"/>
      <w:bookmarkEnd w:id="414"/>
      <w:bookmarkEnd w:id="415"/>
      <w:bookmarkEnd w:id="416"/>
      <w:bookmarkEnd w:id="417"/>
      <w:bookmarkEnd w:id="418"/>
    </w:p>
    <w:p>
      <w:pPr>
        <w:pStyle w:val="2"/>
        <w:rPr>
          <w:rFonts w:ascii="Times New Roman"/>
          <w:color w:val="000000"/>
          <w:highlight w:val="none"/>
        </w:rPr>
      </w:pPr>
      <w:bookmarkStart w:id="419" w:name="_Toc434462194"/>
      <w:bookmarkStart w:id="420" w:name="_Ref434457255"/>
      <w:bookmarkStart w:id="421" w:name="_Toc302374144"/>
      <w:bookmarkStart w:id="422" w:name="_Toc2063832"/>
      <w:bookmarkStart w:id="423" w:name="_Toc2063702"/>
      <w:bookmarkStart w:id="424" w:name="_Toc452727314"/>
      <w:bookmarkStart w:id="425" w:name="_Toc434462805"/>
      <w:bookmarkStart w:id="426" w:name="_Toc452306112"/>
      <w:bookmarkStart w:id="427" w:name="_Toc434897308"/>
      <w:bookmarkStart w:id="428" w:name="_Toc452726954"/>
      <w:bookmarkStart w:id="429" w:name="_Toc5722"/>
      <w:bookmarkStart w:id="430" w:name="_Toc452800699"/>
      <w:bookmarkStart w:id="431" w:name="_Toc8343709"/>
      <w:r>
        <w:rPr>
          <w:rFonts w:ascii="Times New Roman"/>
          <w:color w:val="000000"/>
          <w:highlight w:val="none"/>
        </w:rPr>
        <w:t>开标</w:t>
      </w:r>
      <w:bookmarkEnd w:id="419"/>
      <w:bookmarkEnd w:id="420"/>
      <w:bookmarkEnd w:id="421"/>
      <w:bookmarkEnd w:id="422"/>
      <w:bookmarkEnd w:id="423"/>
      <w:bookmarkEnd w:id="424"/>
      <w:bookmarkEnd w:id="425"/>
      <w:bookmarkEnd w:id="426"/>
      <w:bookmarkEnd w:id="427"/>
      <w:bookmarkEnd w:id="428"/>
      <w:bookmarkEnd w:id="429"/>
      <w:bookmarkEnd w:id="430"/>
      <w:bookmarkEnd w:id="431"/>
    </w:p>
    <w:p>
      <w:pPr>
        <w:pStyle w:val="3"/>
        <w:rPr>
          <w:color w:val="000000"/>
          <w:highlight w:val="none"/>
        </w:rPr>
      </w:pPr>
      <w:bookmarkStart w:id="432" w:name="_Ref389455348"/>
      <w:bookmarkStart w:id="433" w:name="_Ref434458987"/>
      <w:r>
        <w:rPr>
          <w:color w:val="000000"/>
          <w:highlight w:val="none"/>
        </w:rPr>
        <w:t>招标代理机构将在</w:t>
      </w:r>
      <w:r>
        <w:rPr>
          <w:rStyle w:val="41"/>
          <w:rFonts w:ascii="Times New Roman"/>
          <w:color w:val="000000"/>
          <w:highlight w:val="none"/>
        </w:rPr>
        <w:t>本须知前附表</w:t>
      </w:r>
      <w:r>
        <w:rPr>
          <w:color w:val="000000"/>
          <w:highlight w:val="none"/>
        </w:rPr>
        <w:t>第</w:t>
      </w:r>
      <w:r>
        <w:rPr>
          <w:rFonts w:hint="eastAsia"/>
          <w:color w:val="000000"/>
          <w:highlight w:val="none"/>
        </w:rPr>
        <w:t>1</w:t>
      </w:r>
      <w:r>
        <w:rPr>
          <w:color w:val="000000"/>
          <w:highlight w:val="none"/>
        </w:rPr>
        <w:t>0项规定的时间和地点组织公开开标</w:t>
      </w:r>
      <w:r>
        <w:rPr>
          <w:rFonts w:hint="eastAsia"/>
          <w:color w:val="000000"/>
          <w:highlight w:val="none"/>
        </w:rPr>
        <w:t>，迟交或不符合规定的投标文件恕不接受。</w:t>
      </w:r>
      <w:bookmarkEnd w:id="432"/>
    </w:p>
    <w:bookmarkEnd w:id="433"/>
    <w:p>
      <w:pPr>
        <w:pStyle w:val="3"/>
        <w:rPr>
          <w:rFonts w:hint="eastAsia"/>
          <w:color w:val="000000"/>
          <w:highlight w:val="none"/>
        </w:rPr>
      </w:pPr>
      <w:bookmarkStart w:id="434" w:name="_Hlk53144002"/>
      <w:r>
        <w:rPr>
          <w:rFonts w:hint="eastAsia"/>
          <w:color w:val="000000"/>
          <w:highlight w:val="none"/>
        </w:rPr>
        <w:t>开标形式（</w:t>
      </w:r>
      <w:r>
        <w:rPr>
          <w:rFonts w:hint="eastAsia"/>
          <w:color w:val="000000"/>
          <w:highlight w:val="none"/>
          <w:lang w:eastAsia="zh-CN"/>
        </w:rPr>
        <w:t>投标人任选其一，因疫情防控要求建议选择远程开标</w:t>
      </w:r>
      <w:r>
        <w:rPr>
          <w:rFonts w:hint="eastAsia"/>
          <w:color w:val="000000"/>
          <w:highlight w:val="none"/>
        </w:rPr>
        <w:t>）：</w:t>
      </w:r>
    </w:p>
    <w:p>
      <w:pPr>
        <w:ind w:firstLine="720" w:firstLineChars="300"/>
        <w:rPr>
          <w:rFonts w:hint="eastAsia"/>
          <w:color w:val="000000"/>
          <w:highlight w:val="none"/>
        </w:rPr>
      </w:pPr>
      <w:r>
        <w:rPr>
          <w:rFonts w:hint="eastAsia"/>
          <w:color w:val="000000"/>
          <w:highlight w:val="none"/>
        </w:rPr>
        <w:t>a)</w:t>
      </w:r>
      <w:r>
        <w:rPr>
          <w:rFonts w:hint="eastAsia"/>
          <w:color w:val="000000"/>
          <w:highlight w:val="none"/>
        </w:rPr>
        <w:tab/>
      </w:r>
      <w:r>
        <w:rPr>
          <w:rFonts w:hint="eastAsia"/>
          <w:color w:val="000000"/>
          <w:highlight w:val="none"/>
        </w:rPr>
        <w:t>现场开标：投标人携带与制作投标文件时同一数字认证证书（CA），并自备电脑（自带移动网络），前往开标地点，进行投标文件解密。</w:t>
      </w:r>
    </w:p>
    <w:p>
      <w:pPr>
        <w:rPr>
          <w:rFonts w:hint="eastAsia"/>
          <w:color w:val="000000"/>
          <w:highlight w:val="none"/>
        </w:rPr>
      </w:pPr>
      <w:r>
        <w:rPr>
          <w:rFonts w:hint="eastAsia"/>
          <w:color w:val="000000"/>
          <w:highlight w:val="none"/>
        </w:rPr>
        <w:t>开标地点：</w:t>
      </w:r>
      <w:r>
        <w:rPr>
          <w:rFonts w:hint="eastAsia"/>
          <w:color w:val="000000"/>
          <w:highlight w:val="none"/>
          <w:lang w:eastAsia="zh-CN"/>
        </w:rPr>
        <w:t>上海市徐汇区零陵路583号海洋石油大厦1206会议室</w:t>
      </w:r>
      <w:r>
        <w:rPr>
          <w:rFonts w:hint="eastAsia"/>
          <w:color w:val="000000"/>
          <w:highlight w:val="none"/>
        </w:rPr>
        <w:t>。</w:t>
      </w:r>
    </w:p>
    <w:p>
      <w:pPr>
        <w:ind w:firstLine="720" w:firstLineChars="300"/>
        <w:rPr>
          <w:rFonts w:hint="eastAsia"/>
          <w:color w:val="000000"/>
          <w:highlight w:val="none"/>
        </w:rPr>
      </w:pPr>
      <w:r>
        <w:rPr>
          <w:rFonts w:hint="eastAsia"/>
          <w:color w:val="000000"/>
          <w:highlight w:val="none"/>
        </w:rPr>
        <w:t>b)</w:t>
      </w:r>
      <w:r>
        <w:rPr>
          <w:rFonts w:hint="eastAsia"/>
          <w:color w:val="000000"/>
          <w:highlight w:val="none"/>
        </w:rPr>
        <w:tab/>
      </w:r>
      <w:r>
        <w:rPr>
          <w:rFonts w:hint="eastAsia"/>
          <w:color w:val="000000"/>
          <w:highlight w:val="none"/>
        </w:rPr>
        <w:t>远程开标：投标人使用与制作投标文件时同一数字认证证书（CA），远程在线进行投标文件解密。</w:t>
      </w:r>
    </w:p>
    <w:p>
      <w:pPr>
        <w:pStyle w:val="3"/>
        <w:rPr>
          <w:rFonts w:hint="eastAsia"/>
          <w:color w:val="000000"/>
          <w:highlight w:val="none"/>
        </w:rPr>
      </w:pPr>
      <w:r>
        <w:rPr>
          <w:rFonts w:hint="eastAsia"/>
          <w:color w:val="000000"/>
          <w:highlight w:val="none"/>
        </w:rPr>
        <w:t>电子投标文件解密时限：</w:t>
      </w:r>
    </w:p>
    <w:p>
      <w:pPr>
        <w:ind w:firstLine="720" w:firstLineChars="300"/>
        <w:rPr>
          <w:rFonts w:hint="eastAsia"/>
          <w:color w:val="000000"/>
          <w:highlight w:val="none"/>
        </w:rPr>
      </w:pPr>
      <w:r>
        <w:rPr>
          <w:rFonts w:hint="eastAsia"/>
          <w:color w:val="000000"/>
          <w:highlight w:val="none"/>
        </w:rPr>
        <w:t>电子投标文件解密截止时间：投标截止时刻后30分钟。</w:t>
      </w:r>
      <w:bookmarkEnd w:id="434"/>
      <w:r>
        <w:rPr>
          <w:rFonts w:hint="eastAsia"/>
          <w:color w:val="000000"/>
          <w:highlight w:val="none"/>
        </w:rPr>
        <w:t>因投标人的原因导致电子投标文件未能成功解密的，招标人不予受理。</w:t>
      </w:r>
    </w:p>
    <w:p>
      <w:pPr>
        <w:pStyle w:val="2"/>
        <w:rPr>
          <w:rFonts w:ascii="Times New Roman"/>
          <w:color w:val="000000"/>
          <w:highlight w:val="none"/>
        </w:rPr>
      </w:pPr>
      <w:bookmarkStart w:id="435" w:name="_Toc11923"/>
      <w:bookmarkStart w:id="436" w:name="_Toc502733758"/>
      <w:r>
        <w:rPr>
          <w:rFonts w:ascii="Times New Roman"/>
          <w:color w:val="000000"/>
          <w:highlight w:val="none"/>
        </w:rPr>
        <w:t>资格审查</w:t>
      </w:r>
      <w:bookmarkEnd w:id="435"/>
      <w:bookmarkEnd w:id="436"/>
    </w:p>
    <w:p>
      <w:pPr>
        <w:pStyle w:val="3"/>
        <w:rPr>
          <w:color w:val="000000"/>
          <w:highlight w:val="none"/>
        </w:rPr>
      </w:pPr>
      <w:r>
        <w:rPr>
          <w:color w:val="000000"/>
          <w:highlight w:val="none"/>
        </w:rPr>
        <w:t>开标结束后，招标人或者招标代理机构将依法对投标人的资格进行审查，审查的内容包括：</w:t>
      </w:r>
    </w:p>
    <w:p>
      <w:pPr>
        <w:pStyle w:val="8"/>
        <w:ind w:left="1422" w:hanging="856"/>
        <w:rPr>
          <w:b/>
          <w:color w:val="000000"/>
          <w:highlight w:val="none"/>
        </w:rPr>
      </w:pPr>
      <w:r>
        <w:rPr>
          <w:rFonts w:hint="eastAsia"/>
          <w:b/>
          <w:color w:val="000000"/>
          <w:highlight w:val="none"/>
        </w:rPr>
        <w:t>投标人的资格是否符合本项目</w:t>
      </w:r>
      <w:r>
        <w:rPr>
          <w:rStyle w:val="41"/>
          <w:rFonts w:hint="eastAsia"/>
          <w:b/>
          <w:color w:val="000000"/>
          <w:highlight w:val="none"/>
        </w:rPr>
        <w:t>投标邀请书</w:t>
      </w:r>
      <w:r>
        <w:rPr>
          <w:rFonts w:hint="eastAsia"/>
          <w:b/>
          <w:color w:val="000000"/>
          <w:highlight w:val="none"/>
        </w:rPr>
        <w:t>中列明的对合格投标投标人的资格要求（投标人应按要求提供相关证明材料）</w:t>
      </w:r>
      <w:r>
        <w:rPr>
          <w:b/>
          <w:color w:val="000000"/>
          <w:highlight w:val="none"/>
        </w:rPr>
        <w:t>；</w:t>
      </w:r>
    </w:p>
    <w:p>
      <w:pPr>
        <w:pStyle w:val="8"/>
        <w:ind w:left="1422" w:hanging="856"/>
        <w:rPr>
          <w:b/>
          <w:color w:val="000000"/>
          <w:highlight w:val="none"/>
        </w:rPr>
      </w:pPr>
      <w:r>
        <w:rPr>
          <w:rFonts w:hint="eastAsia"/>
          <w:b/>
          <w:color w:val="000000"/>
          <w:highlight w:val="none"/>
        </w:rPr>
        <w:t>投标文件的签署和盖章情况是否符合</w:t>
      </w:r>
      <w:r>
        <w:rPr>
          <w:rStyle w:val="41"/>
          <w:rFonts w:hint="eastAsia"/>
          <w:b/>
          <w:color w:val="000000"/>
          <w:highlight w:val="none"/>
        </w:rPr>
        <w:t>本须知</w:t>
      </w:r>
      <w:r>
        <w:rPr>
          <w:rFonts w:hint="eastAsia"/>
          <w:b/>
          <w:color w:val="000000"/>
          <w:highlight w:val="none"/>
        </w:rPr>
        <w:t>第</w:t>
      </w:r>
      <w:r>
        <w:rPr>
          <w:b/>
          <w:color w:val="000000"/>
          <w:highlight w:val="none"/>
        </w:rPr>
        <w:fldChar w:fldCharType="begin"/>
      </w:r>
      <w:r>
        <w:rPr>
          <w:b/>
          <w:color w:val="000000"/>
          <w:highlight w:val="none"/>
        </w:rPr>
        <w:instrText xml:space="preserve"> </w:instrText>
      </w:r>
      <w:r>
        <w:rPr>
          <w:rFonts w:hint="eastAsia"/>
          <w:b/>
          <w:color w:val="000000"/>
          <w:highlight w:val="none"/>
        </w:rPr>
        <w:instrText xml:space="preserve">REF _Ref503124903 \r \h</w:instrText>
      </w:r>
      <w:r>
        <w:rPr>
          <w:b/>
          <w:color w:val="000000"/>
          <w:highlight w:val="none"/>
        </w:rPr>
        <w:instrText xml:space="preserve">  \* MERGEFORMAT </w:instrText>
      </w:r>
      <w:r>
        <w:rPr>
          <w:b/>
          <w:color w:val="000000"/>
          <w:highlight w:val="none"/>
        </w:rPr>
        <w:fldChar w:fldCharType="separate"/>
      </w:r>
      <w:r>
        <w:rPr>
          <w:b/>
          <w:color w:val="000000"/>
          <w:highlight w:val="none"/>
        </w:rPr>
        <w:t>18.5</w:t>
      </w:r>
      <w:r>
        <w:rPr>
          <w:b/>
          <w:color w:val="000000"/>
          <w:highlight w:val="none"/>
        </w:rPr>
        <w:fldChar w:fldCharType="end"/>
      </w:r>
      <w:r>
        <w:rPr>
          <w:rFonts w:hint="eastAsia"/>
          <w:b/>
          <w:color w:val="000000"/>
          <w:highlight w:val="none"/>
        </w:rPr>
        <w:t>条的规定（包括当投标文件由授权代表签字时，是否提交了格式符合招标文件第六章要求的“法定代表人授权书”）</w:t>
      </w:r>
      <w:r>
        <w:rPr>
          <w:b/>
          <w:color w:val="000000"/>
          <w:highlight w:val="none"/>
        </w:rPr>
        <w:t>；</w:t>
      </w:r>
    </w:p>
    <w:p>
      <w:pPr>
        <w:pStyle w:val="8"/>
        <w:ind w:left="1422" w:hanging="856"/>
        <w:rPr>
          <w:b/>
          <w:color w:val="000000"/>
          <w:highlight w:val="none"/>
        </w:rPr>
      </w:pPr>
      <w:r>
        <w:rPr>
          <w:b/>
          <w:color w:val="000000"/>
          <w:highlight w:val="none"/>
        </w:rPr>
        <w:t>投标人是否按本须知第</w:t>
      </w:r>
      <w:r>
        <w:rPr>
          <w:b/>
          <w:color w:val="000000"/>
          <w:highlight w:val="none"/>
        </w:rPr>
        <w:fldChar w:fldCharType="begin"/>
      </w:r>
      <w:r>
        <w:rPr>
          <w:b/>
          <w:color w:val="000000"/>
          <w:highlight w:val="none"/>
        </w:rPr>
        <w:instrText xml:space="preserve"> REF _Ref452638131 \r \h  \* MERGEFORMAT </w:instrText>
      </w:r>
      <w:r>
        <w:rPr>
          <w:b/>
          <w:color w:val="000000"/>
          <w:highlight w:val="none"/>
        </w:rPr>
        <w:fldChar w:fldCharType="separate"/>
      </w:r>
      <w:r>
        <w:rPr>
          <w:b/>
          <w:color w:val="000000"/>
          <w:highlight w:val="none"/>
        </w:rPr>
        <w:t>16.1</w:t>
      </w:r>
      <w:r>
        <w:rPr>
          <w:b/>
          <w:color w:val="000000"/>
          <w:highlight w:val="none"/>
        </w:rPr>
        <w:fldChar w:fldCharType="end"/>
      </w:r>
      <w:r>
        <w:rPr>
          <w:b/>
          <w:color w:val="000000"/>
          <w:highlight w:val="none"/>
        </w:rPr>
        <w:t>条的要求提交了投标保证金（包括投标保证金的金额、形式和有效期等）；</w:t>
      </w:r>
    </w:p>
    <w:p>
      <w:pPr>
        <w:pStyle w:val="8"/>
        <w:ind w:left="1422" w:hanging="856"/>
        <w:rPr>
          <w:b/>
          <w:color w:val="000000"/>
          <w:highlight w:val="none"/>
        </w:rPr>
      </w:pPr>
      <w:r>
        <w:rPr>
          <w:b/>
          <w:color w:val="000000"/>
          <w:highlight w:val="none"/>
        </w:rPr>
        <w:t>投标人承诺的投标有效期是否符合本须知第</w:t>
      </w:r>
      <w:r>
        <w:rPr>
          <w:b/>
          <w:color w:val="000000"/>
          <w:highlight w:val="none"/>
        </w:rPr>
        <w:fldChar w:fldCharType="begin"/>
      </w:r>
      <w:r>
        <w:rPr>
          <w:b/>
          <w:color w:val="000000"/>
          <w:highlight w:val="none"/>
        </w:rPr>
        <w:instrText xml:space="preserve"> REF _Ref452638201 \r \h  \* MERGEFORMAT </w:instrText>
      </w:r>
      <w:r>
        <w:rPr>
          <w:b/>
          <w:color w:val="000000"/>
          <w:highlight w:val="none"/>
        </w:rPr>
        <w:fldChar w:fldCharType="separate"/>
      </w:r>
      <w:r>
        <w:rPr>
          <w:b/>
          <w:color w:val="000000"/>
          <w:highlight w:val="none"/>
        </w:rPr>
        <w:t>17.1</w:t>
      </w:r>
      <w:r>
        <w:rPr>
          <w:b/>
          <w:color w:val="000000"/>
          <w:highlight w:val="none"/>
        </w:rPr>
        <w:fldChar w:fldCharType="end"/>
      </w:r>
      <w:r>
        <w:rPr>
          <w:b/>
          <w:color w:val="000000"/>
          <w:highlight w:val="none"/>
        </w:rPr>
        <w:t>条的规定；</w:t>
      </w:r>
    </w:p>
    <w:p>
      <w:pPr>
        <w:pStyle w:val="8"/>
        <w:ind w:left="1422" w:hanging="856"/>
        <w:rPr>
          <w:rFonts w:hint="eastAsia"/>
          <w:b/>
          <w:color w:val="000000"/>
          <w:highlight w:val="none"/>
        </w:rPr>
      </w:pPr>
      <w:bookmarkStart w:id="437" w:name="OLE_LINK3"/>
      <w:r>
        <w:rPr>
          <w:rFonts w:hint="eastAsia"/>
          <w:b/>
          <w:color w:val="000000"/>
          <w:highlight w:val="none"/>
        </w:rPr>
        <w:t>投标报价是否超过了本项目</w:t>
      </w:r>
      <w:r>
        <w:rPr>
          <w:rStyle w:val="41"/>
          <w:rFonts w:hint="eastAsia"/>
          <w:b/>
          <w:color w:val="000000"/>
          <w:highlight w:val="none"/>
        </w:rPr>
        <w:t>投标邀请书</w:t>
      </w:r>
      <w:r>
        <w:rPr>
          <w:rFonts w:hint="eastAsia"/>
          <w:b/>
          <w:color w:val="000000"/>
          <w:highlight w:val="none"/>
        </w:rPr>
        <w:t>中可能列明的最高限价（含可能有和分项最高限价），或者在未规定最高限价的情况下是否超过了本项目</w:t>
      </w:r>
      <w:r>
        <w:rPr>
          <w:rStyle w:val="41"/>
          <w:rFonts w:hint="eastAsia"/>
          <w:b/>
          <w:color w:val="000000"/>
          <w:highlight w:val="none"/>
        </w:rPr>
        <w:t>投标邀请书</w:t>
      </w:r>
      <w:r>
        <w:rPr>
          <w:rFonts w:hint="eastAsia"/>
          <w:b/>
          <w:color w:val="000000"/>
          <w:highlight w:val="none"/>
        </w:rPr>
        <w:t>中列明的采购预算（含可能有的分项预算）；</w:t>
      </w:r>
    </w:p>
    <w:bookmarkEnd w:id="437"/>
    <w:p>
      <w:pPr>
        <w:pStyle w:val="8"/>
        <w:ind w:left="1422" w:hanging="856"/>
        <w:rPr>
          <w:rFonts w:hint="eastAsia"/>
          <w:b/>
          <w:color w:val="000000"/>
          <w:highlight w:val="none"/>
        </w:rPr>
      </w:pPr>
      <w:r>
        <w:rPr>
          <w:rFonts w:hint="eastAsia"/>
          <w:b/>
          <w:color w:val="000000"/>
          <w:highlight w:val="none"/>
        </w:rPr>
        <w:t>是否提供了两份以上内容不同的投标文件或对任一报价项提出了可选择的报价（除招标文件允许投备选方案外）；</w:t>
      </w:r>
    </w:p>
    <w:p>
      <w:pPr>
        <w:pStyle w:val="8"/>
        <w:ind w:left="1422" w:hanging="856"/>
        <w:rPr>
          <w:rFonts w:hint="eastAsia"/>
          <w:b/>
          <w:color w:val="000000"/>
          <w:highlight w:val="none"/>
        </w:rPr>
      </w:pPr>
      <w:r>
        <w:rPr>
          <w:rFonts w:hint="eastAsia"/>
          <w:b/>
          <w:color w:val="000000"/>
          <w:highlight w:val="none"/>
        </w:rPr>
        <w:t>对于专门面向中小微型企业采购或预留部分预算专门面向中小微型企业采购的项目，投标人是否按规定对专门面向中小微型企业采购的部分提交中小企业声明函；</w:t>
      </w:r>
    </w:p>
    <w:p>
      <w:pPr>
        <w:pStyle w:val="8"/>
        <w:ind w:left="1422" w:hanging="856"/>
        <w:rPr>
          <w:b/>
          <w:color w:val="000000"/>
          <w:highlight w:val="none"/>
        </w:rPr>
      </w:pPr>
      <w:r>
        <w:rPr>
          <w:rFonts w:hint="eastAsia"/>
          <w:b/>
          <w:color w:val="000000"/>
          <w:highlight w:val="none"/>
        </w:rPr>
        <w:t>对接受联合体投标项目，以联合体形式投标的投标人是否未按规定提交</w:t>
      </w:r>
      <w:r>
        <w:rPr>
          <w:rStyle w:val="41"/>
          <w:rFonts w:hint="eastAsia"/>
          <w:b/>
          <w:color w:val="000000"/>
          <w:highlight w:val="none"/>
        </w:rPr>
        <w:t>共同投标协议</w:t>
      </w:r>
      <w:r>
        <w:rPr>
          <w:rFonts w:hint="eastAsia"/>
          <w:b/>
          <w:color w:val="000000"/>
          <w:highlight w:val="none"/>
        </w:rPr>
        <w:t>，或者提交的</w:t>
      </w:r>
      <w:r>
        <w:rPr>
          <w:rStyle w:val="41"/>
          <w:rFonts w:hint="eastAsia"/>
          <w:b/>
          <w:color w:val="000000"/>
          <w:highlight w:val="none"/>
        </w:rPr>
        <w:t>共同投标协议</w:t>
      </w:r>
      <w:r>
        <w:rPr>
          <w:rFonts w:hint="eastAsia"/>
          <w:b/>
          <w:color w:val="000000"/>
          <w:highlight w:val="none"/>
        </w:rPr>
        <w:t>未明确牵头人、各成员间的分工和一旦中标将向招标人承担连带责任，或者投标单位以单独或联合成员形式在不同投标人中出现两次以上的；</w:t>
      </w:r>
    </w:p>
    <w:p>
      <w:pPr>
        <w:pStyle w:val="8"/>
        <w:ind w:left="1422" w:hanging="856"/>
        <w:rPr>
          <w:rFonts w:hint="eastAsia"/>
          <w:b/>
          <w:color w:val="000000"/>
          <w:highlight w:val="none"/>
        </w:rPr>
      </w:pPr>
      <w:r>
        <w:rPr>
          <w:rFonts w:hint="eastAsia"/>
          <w:b/>
          <w:color w:val="000000"/>
          <w:highlight w:val="none"/>
        </w:rPr>
        <w:t>对接受分包的项目，拟进行合同分包的投标人是否未按规定提交</w:t>
      </w:r>
      <w:r>
        <w:rPr>
          <w:rFonts w:hint="eastAsia" w:ascii="黑体" w:hAnsi="黑体" w:eastAsia="黑体" w:cs="黑体"/>
          <w:b/>
          <w:color w:val="000000"/>
          <w:highlight w:val="none"/>
        </w:rPr>
        <w:t>分包意向协议</w:t>
      </w:r>
      <w:r>
        <w:rPr>
          <w:rFonts w:hint="eastAsia"/>
          <w:b/>
          <w:color w:val="000000"/>
          <w:highlight w:val="none"/>
        </w:rPr>
        <w:t>，或者提交的</w:t>
      </w:r>
      <w:r>
        <w:rPr>
          <w:rFonts w:hint="eastAsia" w:ascii="黑体" w:hAnsi="黑体" w:eastAsia="黑体" w:cs="黑体"/>
          <w:b/>
          <w:color w:val="000000"/>
          <w:highlight w:val="none"/>
        </w:rPr>
        <w:t>分包意向协议</w:t>
      </w:r>
      <w:r>
        <w:rPr>
          <w:rFonts w:hint="eastAsia"/>
          <w:b/>
          <w:color w:val="000000"/>
          <w:highlight w:val="none"/>
        </w:rPr>
        <w:t>未明确各主体的工作范围和责任，或者分包供应商以单独或分包承接主体的形式在不同投标人中出现两次以上的。</w:t>
      </w:r>
    </w:p>
    <w:p>
      <w:pPr>
        <w:pStyle w:val="3"/>
        <w:rPr>
          <w:color w:val="000000"/>
          <w:highlight w:val="none"/>
        </w:rPr>
      </w:pPr>
      <w:r>
        <w:rPr>
          <w:color w:val="000000"/>
          <w:highlight w:val="none"/>
        </w:rPr>
        <w:t>如果投标人未通过上述资格审查，其投标将被直接否决，不再进入后续评标程序。</w:t>
      </w:r>
    </w:p>
    <w:p>
      <w:pPr>
        <w:pStyle w:val="3"/>
        <w:rPr>
          <w:color w:val="000000"/>
          <w:highlight w:val="none"/>
        </w:rPr>
      </w:pPr>
      <w:r>
        <w:rPr>
          <w:color w:val="000000"/>
          <w:highlight w:val="none"/>
        </w:rPr>
        <w:t>如通过资格审查的投标人数量不足3家，本项目将直接发布评标结果公告（或废标公告），不再启动后续评标程序。</w:t>
      </w:r>
    </w:p>
    <w:p>
      <w:pPr>
        <w:pStyle w:val="2"/>
        <w:rPr>
          <w:rFonts w:ascii="Times New Roman"/>
          <w:color w:val="000000"/>
          <w:highlight w:val="none"/>
        </w:rPr>
      </w:pPr>
      <w:bookmarkStart w:id="438" w:name="_Toc452306113"/>
      <w:bookmarkStart w:id="439" w:name="_Toc452800700"/>
      <w:bookmarkStart w:id="440" w:name="_Toc452726955"/>
      <w:bookmarkStart w:id="441" w:name="_Toc452727315"/>
      <w:bookmarkStart w:id="442" w:name="_Toc434462806"/>
      <w:bookmarkStart w:id="443" w:name="_Toc302374145"/>
      <w:bookmarkStart w:id="444" w:name="_Toc2063833"/>
      <w:bookmarkStart w:id="445" w:name="_Toc434897309"/>
      <w:bookmarkStart w:id="446" w:name="_Toc434462195"/>
      <w:bookmarkStart w:id="447" w:name="_Toc19243"/>
      <w:bookmarkStart w:id="448" w:name="_Toc2063703"/>
      <w:bookmarkStart w:id="449" w:name="_Toc8343710"/>
      <w:r>
        <w:rPr>
          <w:rFonts w:ascii="Times New Roman"/>
          <w:color w:val="000000"/>
          <w:highlight w:val="none"/>
        </w:rPr>
        <w:t>评标过程的保密性</w:t>
      </w:r>
      <w:bookmarkEnd w:id="438"/>
      <w:bookmarkEnd w:id="439"/>
      <w:bookmarkEnd w:id="440"/>
      <w:bookmarkEnd w:id="441"/>
      <w:bookmarkEnd w:id="442"/>
      <w:bookmarkEnd w:id="443"/>
      <w:bookmarkEnd w:id="444"/>
      <w:bookmarkEnd w:id="445"/>
      <w:bookmarkEnd w:id="446"/>
      <w:bookmarkEnd w:id="447"/>
      <w:bookmarkEnd w:id="448"/>
      <w:bookmarkEnd w:id="449"/>
    </w:p>
    <w:p>
      <w:pPr>
        <w:pStyle w:val="3"/>
        <w:rPr>
          <w:color w:val="000000"/>
          <w:highlight w:val="none"/>
        </w:rPr>
      </w:pPr>
      <w:r>
        <w:rPr>
          <w:color w:val="000000"/>
          <w:highlight w:val="none"/>
        </w:rPr>
        <w:t>公开开标后，直至向中标方授予合同为止，凡与对投标文件的审查、澄清、评价和比较有关的资料以及授标意见等，均不得向投标人及与评标无关的其他人透露。</w:t>
      </w:r>
    </w:p>
    <w:p>
      <w:pPr>
        <w:pStyle w:val="3"/>
        <w:rPr>
          <w:color w:val="000000"/>
          <w:highlight w:val="none"/>
        </w:rPr>
      </w:pPr>
      <w:r>
        <w:rPr>
          <w:color w:val="000000"/>
          <w:highlight w:val="none"/>
        </w:rPr>
        <w:t>在评标过程中，如果投标人试图在投标文件的审查、澄清、评价、比较及授予合同方面向招标人、招标代理机构和（或）评标委员会的评委施加任何影响，其投标将被</w:t>
      </w:r>
      <w:r>
        <w:rPr>
          <w:rFonts w:hint="eastAsia"/>
          <w:color w:val="000000"/>
          <w:highlight w:val="none"/>
        </w:rPr>
        <w:t>判为无效</w:t>
      </w:r>
      <w:r>
        <w:rPr>
          <w:color w:val="000000"/>
          <w:highlight w:val="none"/>
        </w:rPr>
        <w:t>。</w:t>
      </w:r>
    </w:p>
    <w:p>
      <w:pPr>
        <w:pStyle w:val="2"/>
        <w:rPr>
          <w:rFonts w:ascii="Times New Roman"/>
          <w:color w:val="000000"/>
          <w:highlight w:val="none"/>
        </w:rPr>
      </w:pPr>
      <w:bookmarkStart w:id="450" w:name="_Toc434897310"/>
      <w:bookmarkStart w:id="451" w:name="_Toc2063704"/>
      <w:bookmarkStart w:id="452" w:name="_Toc434462807"/>
      <w:bookmarkStart w:id="453" w:name="_Toc434462196"/>
      <w:bookmarkStart w:id="454" w:name="_Toc452800701"/>
      <w:bookmarkStart w:id="455" w:name="_Toc452306114"/>
      <w:bookmarkStart w:id="456" w:name="_Toc452727316"/>
      <w:bookmarkStart w:id="457" w:name="_Toc452726956"/>
      <w:bookmarkStart w:id="458" w:name="_Toc31944"/>
      <w:bookmarkStart w:id="459" w:name="_Toc302374146"/>
      <w:bookmarkStart w:id="460" w:name="_Toc2063834"/>
      <w:bookmarkStart w:id="461" w:name="_Toc8343711"/>
      <w:r>
        <w:rPr>
          <w:rFonts w:ascii="Times New Roman"/>
          <w:color w:val="000000"/>
          <w:highlight w:val="none"/>
        </w:rPr>
        <w:t>投标文件的澄清</w:t>
      </w:r>
      <w:bookmarkEnd w:id="450"/>
      <w:bookmarkEnd w:id="451"/>
      <w:bookmarkEnd w:id="452"/>
      <w:bookmarkEnd w:id="453"/>
      <w:bookmarkEnd w:id="454"/>
      <w:bookmarkEnd w:id="455"/>
      <w:bookmarkEnd w:id="456"/>
      <w:bookmarkEnd w:id="457"/>
      <w:bookmarkEnd w:id="458"/>
      <w:bookmarkEnd w:id="459"/>
      <w:bookmarkEnd w:id="460"/>
      <w:bookmarkEnd w:id="461"/>
    </w:p>
    <w:p>
      <w:pPr>
        <w:pStyle w:val="12"/>
        <w:rPr>
          <w:color w:val="000000"/>
          <w:highlight w:val="none"/>
        </w:rPr>
      </w:pPr>
      <w:r>
        <w:rPr>
          <w:color w:val="000000"/>
          <w:highlight w:val="none"/>
        </w:rPr>
        <w:t>为有助于对投标文件的审查、评价和比较，评标委员会或经评标委员会授权的招标代理机构可要求投标人对其投标文件进行澄清，有关澄清的要求和答复应</w:t>
      </w:r>
      <w:r>
        <w:rPr>
          <w:rFonts w:hint="eastAsia"/>
          <w:color w:val="000000"/>
          <w:highlight w:val="none"/>
        </w:rPr>
        <w:t>以数据电文形式通过复旦大学招采进宝电子招投标系统（http://fudan.zcjb.com.cn/ebidding/login）或</w:t>
      </w:r>
      <w:r>
        <w:rPr>
          <w:color w:val="000000"/>
          <w:highlight w:val="none"/>
        </w:rPr>
        <w:t>以书面形式</w:t>
      </w:r>
      <w:r>
        <w:rPr>
          <w:rFonts w:hint="eastAsia"/>
          <w:color w:val="000000"/>
          <w:highlight w:val="none"/>
        </w:rPr>
        <w:t>提交，</w:t>
      </w:r>
      <w:r>
        <w:rPr>
          <w:color w:val="000000"/>
          <w:highlight w:val="none"/>
        </w:rPr>
        <w:t>但不得寻求、提供或允许对投标价格或投标文件中的其他实质性内容做任何更改。</w:t>
      </w:r>
    </w:p>
    <w:p>
      <w:pPr>
        <w:pStyle w:val="2"/>
        <w:rPr>
          <w:rFonts w:ascii="Times New Roman"/>
          <w:color w:val="000000"/>
          <w:highlight w:val="none"/>
        </w:rPr>
      </w:pPr>
      <w:bookmarkStart w:id="462" w:name="_Toc27700"/>
      <w:r>
        <w:rPr>
          <w:rFonts w:ascii="Times New Roman"/>
          <w:color w:val="000000"/>
          <w:highlight w:val="none"/>
        </w:rPr>
        <w:t>评标办法</w:t>
      </w:r>
      <w:bookmarkEnd w:id="462"/>
    </w:p>
    <w:p>
      <w:pPr>
        <w:pStyle w:val="3"/>
        <w:rPr>
          <w:color w:val="000000"/>
          <w:highlight w:val="none"/>
        </w:rPr>
      </w:pPr>
      <w:r>
        <w:rPr>
          <w:color w:val="000000"/>
          <w:highlight w:val="none"/>
        </w:rPr>
        <w:t>本次招标将按招标文件第七章</w:t>
      </w:r>
      <w:r>
        <w:rPr>
          <w:rStyle w:val="41"/>
          <w:rFonts w:ascii="Times New Roman"/>
          <w:color w:val="000000"/>
          <w:highlight w:val="none"/>
        </w:rPr>
        <w:t>评标办法</w:t>
      </w:r>
      <w:r>
        <w:rPr>
          <w:color w:val="000000"/>
          <w:highlight w:val="none"/>
        </w:rPr>
        <w:t>所规定的评标方法和标准进行评标。</w:t>
      </w:r>
    </w:p>
    <w:p>
      <w:pPr>
        <w:pStyle w:val="3"/>
        <w:rPr>
          <w:color w:val="000000"/>
          <w:highlight w:val="none"/>
        </w:rPr>
      </w:pPr>
      <w:r>
        <w:rPr>
          <w:color w:val="000000"/>
          <w:highlight w:val="none"/>
        </w:rPr>
        <w:t>本项目为专门面向</w:t>
      </w:r>
      <w:r>
        <w:rPr>
          <w:rFonts w:hint="eastAsia"/>
          <w:color w:val="000000"/>
          <w:highlight w:val="none"/>
        </w:rPr>
        <w:t>中小微型企业采购</w:t>
      </w:r>
      <w:r>
        <w:rPr>
          <w:color w:val="000000"/>
          <w:highlight w:val="none"/>
        </w:rPr>
        <w:t>项目，</w:t>
      </w:r>
      <w:r>
        <w:rPr>
          <w:rFonts w:hint="eastAsia"/>
          <w:color w:val="000000"/>
          <w:highlight w:val="none"/>
        </w:rPr>
        <w:t>投标人须根据《关于印发中小企业划型标准规定的通知》（工信部联企业〔2011〕300号）的中小企业划分标准并按《政府采购促进中小企业发展管理办法》（财库﹝2020﹞46号）的规定填写和提交中小企业声明函。投标人须确保中小企业声明函其中所提及的任一中小微型企业的单位负责人与任一大型企业的单位负责人不得为同一人，任一中小微型企业与任一大型企业之间也不得存在直接控股、管理关系；其中所提及的任一中小微型企业认定标准中的“从业人员”包括了与企业建立劳动关系的职工人数和企业接受的劳务派遣用工人数。以联合体形式参加投标，联合体各方均为中小微型企业的，联合体视同中小微型企业。</w:t>
      </w:r>
    </w:p>
    <w:p>
      <w:pPr>
        <w:pStyle w:val="3"/>
        <w:rPr>
          <w:color w:val="000000"/>
          <w:highlight w:val="none"/>
        </w:rPr>
      </w:pPr>
      <w:r>
        <w:rPr>
          <w:color w:val="000000"/>
          <w:highlight w:val="none"/>
        </w:rPr>
        <w:t>如投标人为残疾人福利性单位，须在投标文件中提供符合财库〔2017〕141号文格式要求的残疾人福利性单位正本声明函；在评标时残疾人福利性单位将视同小型和微型企业，执行上述支持小型和微型企业的相同政策。</w:t>
      </w:r>
    </w:p>
    <w:p>
      <w:pPr>
        <w:pStyle w:val="3"/>
        <w:rPr>
          <w:color w:val="000000"/>
          <w:highlight w:val="none"/>
        </w:rPr>
      </w:pPr>
      <w:r>
        <w:rPr>
          <w:color w:val="000000"/>
          <w:highlight w:val="none"/>
        </w:rPr>
        <w:t>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Pr>
          <w:rFonts w:hint="eastAsia"/>
          <w:color w:val="000000"/>
          <w:highlight w:val="none"/>
        </w:rPr>
        <w:t>。</w:t>
      </w:r>
    </w:p>
    <w:p>
      <w:pPr>
        <w:pStyle w:val="3"/>
        <w:rPr>
          <w:color w:val="000000"/>
          <w:highlight w:val="none"/>
        </w:rPr>
      </w:pPr>
      <w:r>
        <w:rPr>
          <w:rFonts w:hint="eastAsia"/>
          <w:color w:val="000000"/>
          <w:highlight w:val="none"/>
        </w:rPr>
        <w:t>一旦投标人中标，则将在中标公告中公告其声明函，接受社会监督；若提供声明函与事实不符的，将依照《中华人民共和国政府采购法》第七十七条第一款的规定追究其法律责任。</w:t>
      </w:r>
    </w:p>
    <w:p>
      <w:pPr>
        <w:pStyle w:val="3"/>
        <w:rPr>
          <w:color w:val="000000"/>
          <w:highlight w:val="none"/>
        </w:rPr>
      </w:pPr>
      <w:bookmarkStart w:id="463" w:name="_Ref394397336"/>
      <w:r>
        <w:rPr>
          <w:color w:val="000000"/>
          <w:highlight w:val="none"/>
        </w:rPr>
        <w:t>在详细评审中，</w:t>
      </w:r>
      <w:bookmarkEnd w:id="463"/>
      <w:r>
        <w:rPr>
          <w:rFonts w:hint="eastAsia"/>
          <w:color w:val="000000"/>
          <w:highlight w:val="none"/>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pPr>
        <w:pStyle w:val="3"/>
        <w:rPr>
          <w:color w:val="000000"/>
          <w:highlight w:val="none"/>
        </w:rPr>
      </w:pPr>
      <w:r>
        <w:rPr>
          <w:rFonts w:hint="eastAsia"/>
          <w:color w:val="000000"/>
          <w:highlight w:val="none"/>
        </w:rPr>
        <w:t>当采购标的中含有国家有关部门最新公布的政府采购节能产品、环境标志产品实施品目清单且要求强制采购的产品时，</w:t>
      </w:r>
      <w:r>
        <w:rPr>
          <w:color w:val="000000"/>
          <w:highlight w:val="none"/>
        </w:rPr>
        <w:t>第七章评标办法符合性审查阶段的否决投标条款中第</w:t>
      </w:r>
      <w:r>
        <w:rPr>
          <w:color w:val="000000"/>
          <w:highlight w:val="none"/>
        </w:rPr>
        <w:fldChar w:fldCharType="begin"/>
      </w:r>
      <w:r>
        <w:rPr>
          <w:color w:val="000000"/>
          <w:highlight w:val="none"/>
        </w:rPr>
        <w:instrText xml:space="preserve"> REF _Ref503128881 \r \h  \* MERGEFORMAT </w:instrText>
      </w:r>
      <w:r>
        <w:rPr>
          <w:color w:val="000000"/>
          <w:highlight w:val="none"/>
        </w:rPr>
        <w:fldChar w:fldCharType="separate"/>
      </w:r>
      <w:r>
        <w:rPr>
          <w:rFonts w:hint="eastAsia"/>
          <w:color w:val="000000"/>
          <w:highlight w:val="none"/>
        </w:rPr>
        <w:t>3.3（3）</w:t>
      </w:r>
      <w:r>
        <w:rPr>
          <w:color w:val="000000"/>
          <w:highlight w:val="none"/>
        </w:rPr>
        <w:fldChar w:fldCharType="end"/>
      </w:r>
      <w:r>
        <w:rPr>
          <w:color w:val="000000"/>
          <w:highlight w:val="none"/>
        </w:rPr>
        <w:t>条应包含：</w:t>
      </w:r>
      <w:r>
        <w:rPr>
          <w:rFonts w:hint="eastAsia"/>
          <w:color w:val="000000"/>
          <w:highlight w:val="none"/>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pPr>
        <w:numPr>
          <w:ilvl w:val="1"/>
          <w:numId w:val="1"/>
        </w:numPr>
        <w:outlineLvl w:val="1"/>
        <w:rPr>
          <w:rFonts w:hint="eastAsia"/>
          <w:color w:val="000000"/>
          <w:highlight w:val="none"/>
        </w:rPr>
      </w:pPr>
      <w:r>
        <w:rPr>
          <w:rFonts w:hint="eastAsia"/>
          <w:color w:val="000000"/>
          <w:highlight w:val="none"/>
        </w:rPr>
        <w:t>当中标人为中小微型企业时，所签订的合同中约定的支付条款将按《保障中小企业款项支付条例（国务院第728号令）》的规定作出相应调整。</w:t>
      </w:r>
    </w:p>
    <w:p>
      <w:pPr>
        <w:numPr>
          <w:ilvl w:val="1"/>
          <w:numId w:val="1"/>
        </w:numPr>
        <w:outlineLvl w:val="1"/>
        <w:rPr>
          <w:color w:val="000000"/>
          <w:highlight w:val="none"/>
        </w:rPr>
      </w:pPr>
      <w:r>
        <w:rPr>
          <w:rFonts w:hint="eastAsia"/>
          <w:color w:val="000000"/>
          <w:highlight w:val="none"/>
        </w:rPr>
        <w:t>本项目评标过程中依法享受中小企业扶持政策的中小微型企业，中标后不得将合同分包给大型企业。</w:t>
      </w:r>
    </w:p>
    <w:p>
      <w:pPr>
        <w:pStyle w:val="83"/>
        <w:rPr>
          <w:rFonts w:ascii="Times New Roman"/>
          <w:color w:val="000000"/>
          <w:highlight w:val="none"/>
        </w:rPr>
      </w:pPr>
      <w:bookmarkStart w:id="464" w:name="_Toc495406856"/>
      <w:bookmarkStart w:id="465" w:name="_Toc2063943"/>
      <w:bookmarkStart w:id="466" w:name="_Toc495398003"/>
      <w:bookmarkStart w:id="467" w:name="_Toc8343715"/>
      <w:bookmarkStart w:id="468" w:name="_Toc2063975"/>
      <w:bookmarkStart w:id="469" w:name="_Toc301765385"/>
      <w:bookmarkStart w:id="470" w:name="_Toc468"/>
      <w:bookmarkStart w:id="471" w:name="_Toc495398053"/>
      <w:bookmarkStart w:id="472" w:name="_Toc503130787"/>
      <w:bookmarkStart w:id="473" w:name="_Toc503130726"/>
      <w:bookmarkStart w:id="474" w:name="_Toc389465261"/>
      <w:bookmarkStart w:id="475" w:name="_Toc2063838"/>
      <w:bookmarkStart w:id="476" w:name="_Toc491700923"/>
      <w:r>
        <w:rPr>
          <w:rFonts w:ascii="Times New Roman"/>
          <w:color w:val="000000"/>
          <w:highlight w:val="none"/>
        </w:rPr>
        <w:t>六、授予合同</w:t>
      </w:r>
      <w:bookmarkEnd w:id="464"/>
      <w:bookmarkEnd w:id="465"/>
      <w:bookmarkEnd w:id="466"/>
      <w:bookmarkEnd w:id="467"/>
      <w:bookmarkEnd w:id="468"/>
      <w:bookmarkEnd w:id="469"/>
      <w:bookmarkEnd w:id="470"/>
      <w:bookmarkEnd w:id="471"/>
      <w:bookmarkEnd w:id="472"/>
      <w:bookmarkEnd w:id="473"/>
      <w:bookmarkEnd w:id="474"/>
      <w:bookmarkEnd w:id="475"/>
      <w:bookmarkEnd w:id="476"/>
    </w:p>
    <w:p>
      <w:pPr>
        <w:pStyle w:val="2"/>
        <w:rPr>
          <w:rFonts w:ascii="Times New Roman"/>
          <w:color w:val="000000"/>
          <w:highlight w:val="none"/>
        </w:rPr>
      </w:pPr>
      <w:bookmarkStart w:id="477" w:name="_Toc829"/>
      <w:bookmarkStart w:id="478" w:name="_Toc434462810"/>
      <w:bookmarkStart w:id="479" w:name="_Toc302374150"/>
      <w:bookmarkStart w:id="480" w:name="_Toc452727320"/>
      <w:bookmarkStart w:id="481" w:name="_Ref389676059"/>
      <w:bookmarkStart w:id="482" w:name="_Toc2063708"/>
      <w:bookmarkStart w:id="483" w:name="_Toc434897313"/>
      <w:bookmarkStart w:id="484" w:name="_Toc434462199"/>
      <w:bookmarkStart w:id="485" w:name="_Toc2063839"/>
      <w:bookmarkStart w:id="486" w:name="_Toc452800705"/>
      <w:bookmarkStart w:id="487" w:name="_Toc8343716"/>
      <w:bookmarkStart w:id="488" w:name="_Toc452726960"/>
      <w:bookmarkStart w:id="489" w:name="_Toc452306117"/>
      <w:r>
        <w:rPr>
          <w:rFonts w:ascii="Times New Roman"/>
          <w:color w:val="000000"/>
          <w:highlight w:val="none"/>
        </w:rPr>
        <w:t>合同授予标准</w:t>
      </w:r>
      <w:bookmarkEnd w:id="477"/>
      <w:bookmarkEnd w:id="478"/>
      <w:bookmarkEnd w:id="479"/>
      <w:bookmarkEnd w:id="480"/>
      <w:bookmarkEnd w:id="481"/>
      <w:bookmarkEnd w:id="482"/>
      <w:bookmarkEnd w:id="483"/>
      <w:bookmarkEnd w:id="484"/>
      <w:bookmarkEnd w:id="485"/>
      <w:bookmarkEnd w:id="486"/>
      <w:bookmarkEnd w:id="487"/>
      <w:bookmarkEnd w:id="488"/>
      <w:bookmarkEnd w:id="489"/>
    </w:p>
    <w:p>
      <w:pPr>
        <w:pStyle w:val="12"/>
        <w:rPr>
          <w:color w:val="000000"/>
          <w:highlight w:val="none"/>
        </w:rPr>
      </w:pPr>
      <w:r>
        <w:rPr>
          <w:color w:val="000000"/>
          <w:highlight w:val="none"/>
        </w:rPr>
        <w:t>除</w:t>
      </w:r>
      <w:r>
        <w:rPr>
          <w:rStyle w:val="41"/>
          <w:rFonts w:ascii="Times New Roman"/>
          <w:color w:val="000000"/>
          <w:highlight w:val="none"/>
        </w:rPr>
        <w:t>本须知</w:t>
      </w:r>
      <w:r>
        <w:rPr>
          <w:color w:val="000000"/>
          <w:highlight w:val="none"/>
        </w:rPr>
        <w:t>第</w:t>
      </w:r>
      <w:r>
        <w:rPr>
          <w:color w:val="000000"/>
          <w:highlight w:val="none"/>
        </w:rPr>
        <w:fldChar w:fldCharType="begin"/>
      </w:r>
      <w:r>
        <w:rPr>
          <w:color w:val="000000"/>
          <w:highlight w:val="none"/>
        </w:rPr>
        <w:instrText xml:space="preserve"> REF _Ref434458574 \n  \* MERGEFORMAT </w:instrText>
      </w:r>
      <w:r>
        <w:rPr>
          <w:color w:val="000000"/>
          <w:highlight w:val="none"/>
        </w:rPr>
        <w:fldChar w:fldCharType="separate"/>
      </w:r>
      <w:r>
        <w:rPr>
          <w:color w:val="000000"/>
          <w:highlight w:val="none"/>
        </w:rPr>
        <w:t>30</w:t>
      </w:r>
      <w:r>
        <w:rPr>
          <w:color w:val="000000"/>
          <w:highlight w:val="none"/>
        </w:rPr>
        <w:fldChar w:fldCharType="end"/>
      </w:r>
      <w:r>
        <w:rPr>
          <w:color w:val="000000"/>
          <w:highlight w:val="none"/>
        </w:rPr>
        <w:t>条规定外，招标人应将合同授予被确定为实质上响应招标文件要求的，能够满意履行合同义务的</w:t>
      </w:r>
      <w:r>
        <w:rPr>
          <w:b/>
          <w:color w:val="000000"/>
          <w:highlight w:val="none"/>
        </w:rPr>
        <w:t>综合评分得分最高</w:t>
      </w:r>
      <w:r>
        <w:rPr>
          <w:color w:val="000000"/>
          <w:highlight w:val="none"/>
        </w:rPr>
        <w:t>的投标人。</w:t>
      </w:r>
    </w:p>
    <w:p>
      <w:pPr>
        <w:pStyle w:val="2"/>
        <w:rPr>
          <w:rFonts w:ascii="Times New Roman"/>
          <w:color w:val="000000"/>
          <w:highlight w:val="none"/>
        </w:rPr>
      </w:pPr>
      <w:bookmarkStart w:id="490" w:name="_Toc434462811"/>
      <w:bookmarkStart w:id="491" w:name="_Toc8343717"/>
      <w:bookmarkStart w:id="492" w:name="_Toc452800706"/>
      <w:bookmarkStart w:id="493" w:name="_Toc452727321"/>
      <w:bookmarkStart w:id="494" w:name="_Toc434897314"/>
      <w:bookmarkStart w:id="495" w:name="_Toc434462200"/>
      <w:bookmarkStart w:id="496" w:name="_Toc2063840"/>
      <w:bookmarkStart w:id="497" w:name="_Toc452306118"/>
      <w:bookmarkStart w:id="498" w:name="_Toc2063709"/>
      <w:bookmarkStart w:id="499" w:name="_Toc452726961"/>
      <w:bookmarkStart w:id="500" w:name="_Toc302374151"/>
      <w:bookmarkStart w:id="501" w:name="_Toc11865"/>
      <w:r>
        <w:rPr>
          <w:rFonts w:ascii="Times New Roman"/>
          <w:color w:val="000000"/>
          <w:highlight w:val="none"/>
        </w:rPr>
        <w:t>资格</w:t>
      </w:r>
      <w:bookmarkEnd w:id="490"/>
      <w:bookmarkEnd w:id="491"/>
      <w:bookmarkEnd w:id="492"/>
      <w:bookmarkEnd w:id="493"/>
      <w:bookmarkEnd w:id="494"/>
      <w:bookmarkEnd w:id="495"/>
      <w:bookmarkEnd w:id="496"/>
      <w:bookmarkEnd w:id="497"/>
      <w:bookmarkEnd w:id="498"/>
      <w:bookmarkEnd w:id="499"/>
      <w:r>
        <w:rPr>
          <w:rFonts w:ascii="Times New Roman"/>
          <w:color w:val="000000"/>
          <w:highlight w:val="none"/>
        </w:rPr>
        <w:t>复审</w:t>
      </w:r>
      <w:bookmarkEnd w:id="500"/>
      <w:bookmarkEnd w:id="501"/>
    </w:p>
    <w:p>
      <w:pPr>
        <w:pStyle w:val="3"/>
        <w:rPr>
          <w:color w:val="000000"/>
          <w:highlight w:val="none"/>
        </w:rPr>
      </w:pPr>
      <w:bookmarkStart w:id="502" w:name="_Toc452727322"/>
      <w:bookmarkStart w:id="503" w:name="_Toc2063841"/>
      <w:bookmarkStart w:id="504" w:name="_Toc434462201"/>
      <w:bookmarkStart w:id="505" w:name="_Toc2063710"/>
      <w:bookmarkStart w:id="506" w:name="_Toc434897315"/>
      <w:bookmarkStart w:id="507" w:name="_Toc8343718"/>
      <w:bookmarkStart w:id="508" w:name="_Toc302374152"/>
      <w:bookmarkStart w:id="509" w:name="_Toc452800707"/>
      <w:bookmarkStart w:id="510" w:name="_Toc452306119"/>
      <w:bookmarkStart w:id="511" w:name="_Ref389455893"/>
      <w:bookmarkStart w:id="512" w:name="_Ref452639103"/>
      <w:bookmarkStart w:id="513" w:name="_Toc434462812"/>
      <w:bookmarkStart w:id="514" w:name="_Toc452726962"/>
      <w:r>
        <w:rPr>
          <w:color w:val="000000"/>
          <w:highlight w:val="none"/>
        </w:rPr>
        <w:t>在最终授标之前，</w:t>
      </w:r>
      <w:r>
        <w:rPr>
          <w:rFonts w:hint="eastAsia"/>
          <w:color w:val="000000"/>
          <w:highlight w:val="none"/>
        </w:rPr>
        <w:t>原评标委员会</w:t>
      </w:r>
      <w:r>
        <w:rPr>
          <w:color w:val="000000"/>
          <w:highlight w:val="none"/>
        </w:rPr>
        <w:t>有权对综合评分得分最高的中标候选人是否有能力履行合同义务进行资格复审。资格复审将针对该投标人在资格预审（若有时）或开标之后可能发生的资格变化而进行。</w:t>
      </w:r>
    </w:p>
    <w:p>
      <w:pPr>
        <w:pStyle w:val="3"/>
        <w:rPr>
          <w:color w:val="000000"/>
          <w:highlight w:val="none"/>
        </w:rPr>
      </w:pPr>
      <w:bookmarkStart w:id="515" w:name="_Ref389490624"/>
      <w:r>
        <w:rPr>
          <w:color w:val="000000"/>
          <w:highlight w:val="none"/>
        </w:rPr>
        <w:t>如果复查通过，则将合同授予该投标人；如果复审没有通过，则作否决处理。在此情况下，</w:t>
      </w:r>
      <w:r>
        <w:rPr>
          <w:rFonts w:hint="eastAsia"/>
          <w:color w:val="000000"/>
          <w:highlight w:val="none"/>
        </w:rPr>
        <w:t>原评标委员会</w:t>
      </w:r>
      <w:r>
        <w:rPr>
          <w:color w:val="000000"/>
          <w:highlight w:val="none"/>
        </w:rPr>
        <w:t>将对</w:t>
      </w:r>
      <w:r>
        <w:rPr>
          <w:b/>
          <w:color w:val="000000"/>
          <w:highlight w:val="none"/>
        </w:rPr>
        <w:t>综合评分得分</w:t>
      </w:r>
      <w:r>
        <w:rPr>
          <w:color w:val="000000"/>
          <w:highlight w:val="none"/>
        </w:rPr>
        <w:t>排序在后的中标候选人作类似的资格复审。</w:t>
      </w:r>
      <w:bookmarkEnd w:id="515"/>
    </w:p>
    <w:bookmarkEnd w:id="502"/>
    <w:bookmarkEnd w:id="503"/>
    <w:bookmarkEnd w:id="504"/>
    <w:bookmarkEnd w:id="505"/>
    <w:bookmarkEnd w:id="506"/>
    <w:bookmarkEnd w:id="507"/>
    <w:bookmarkEnd w:id="508"/>
    <w:bookmarkEnd w:id="509"/>
    <w:bookmarkEnd w:id="510"/>
    <w:bookmarkEnd w:id="511"/>
    <w:bookmarkEnd w:id="512"/>
    <w:bookmarkEnd w:id="513"/>
    <w:bookmarkEnd w:id="514"/>
    <w:p>
      <w:pPr>
        <w:pStyle w:val="2"/>
        <w:rPr>
          <w:rFonts w:ascii="Times New Roman"/>
          <w:color w:val="000000"/>
          <w:highlight w:val="none"/>
        </w:rPr>
      </w:pPr>
      <w:bookmarkStart w:id="516" w:name="_Toc434462202"/>
      <w:bookmarkStart w:id="517" w:name="_Toc452306120"/>
      <w:bookmarkStart w:id="518" w:name="_Toc2063711"/>
      <w:bookmarkStart w:id="519" w:name="_Toc31850"/>
      <w:bookmarkStart w:id="520" w:name="_Toc452727323"/>
      <w:bookmarkStart w:id="521" w:name="_Toc452800708"/>
      <w:bookmarkStart w:id="522" w:name="_Toc2063842"/>
      <w:bookmarkStart w:id="523" w:name="_Toc8343719"/>
      <w:bookmarkStart w:id="524" w:name="_Toc302374153"/>
      <w:bookmarkStart w:id="525" w:name="_Ref434458574"/>
      <w:bookmarkStart w:id="526" w:name="_Toc452726963"/>
      <w:bookmarkStart w:id="527" w:name="_Toc434462813"/>
      <w:bookmarkStart w:id="528" w:name="_Toc434897316"/>
      <w:r>
        <w:rPr>
          <w:rFonts w:ascii="Times New Roman"/>
          <w:color w:val="000000"/>
          <w:highlight w:val="none"/>
        </w:rPr>
        <w:t>招标人接受和拒绝任一或所有投标的权利</w:t>
      </w:r>
      <w:bookmarkEnd w:id="516"/>
      <w:bookmarkEnd w:id="517"/>
      <w:bookmarkEnd w:id="518"/>
      <w:bookmarkEnd w:id="519"/>
      <w:bookmarkEnd w:id="520"/>
      <w:bookmarkEnd w:id="521"/>
      <w:bookmarkEnd w:id="522"/>
      <w:bookmarkEnd w:id="523"/>
      <w:bookmarkEnd w:id="524"/>
      <w:bookmarkEnd w:id="525"/>
      <w:bookmarkEnd w:id="526"/>
      <w:bookmarkEnd w:id="527"/>
      <w:bookmarkEnd w:id="528"/>
    </w:p>
    <w:p>
      <w:pPr>
        <w:pStyle w:val="12"/>
        <w:rPr>
          <w:color w:val="000000"/>
          <w:highlight w:val="none"/>
        </w:rPr>
      </w:pPr>
      <w:r>
        <w:rPr>
          <w:rFonts w:hint="eastAsia"/>
          <w:color w:val="000000"/>
          <w:highlight w:val="none"/>
        </w:rPr>
        <w:t>当因重大变故采购任务取消时，招标人保留在授标之前的任何时候接受或拒绝任一投标、宣布招标程序无效或拒绝所有投标的权利，对受影响的投标人不承担任何责任</w:t>
      </w:r>
      <w:r>
        <w:rPr>
          <w:color w:val="000000"/>
          <w:highlight w:val="none"/>
        </w:rPr>
        <w:t>。</w:t>
      </w:r>
    </w:p>
    <w:p>
      <w:pPr>
        <w:pStyle w:val="2"/>
        <w:rPr>
          <w:rFonts w:ascii="Times New Roman"/>
          <w:color w:val="000000"/>
          <w:highlight w:val="none"/>
        </w:rPr>
      </w:pPr>
      <w:bookmarkStart w:id="529" w:name="_Toc434462203"/>
      <w:bookmarkStart w:id="530" w:name="_Toc19381"/>
      <w:bookmarkStart w:id="531" w:name="_Toc452306121"/>
      <w:bookmarkStart w:id="532" w:name="_Toc452800709"/>
      <w:bookmarkStart w:id="533" w:name="_Toc302374154"/>
      <w:bookmarkStart w:id="534" w:name="_Toc2063712"/>
      <w:bookmarkStart w:id="535" w:name="_Toc8343720"/>
      <w:bookmarkStart w:id="536" w:name="_Toc434462814"/>
      <w:bookmarkStart w:id="537" w:name="_Toc434897317"/>
      <w:bookmarkStart w:id="538" w:name="_Toc452727324"/>
      <w:bookmarkStart w:id="539" w:name="_Toc2063843"/>
      <w:bookmarkStart w:id="540" w:name="_Toc452726964"/>
      <w:r>
        <w:rPr>
          <w:rFonts w:ascii="Times New Roman"/>
          <w:color w:val="000000"/>
          <w:highlight w:val="none"/>
        </w:rPr>
        <w:t>中标通知书</w:t>
      </w:r>
      <w:bookmarkEnd w:id="529"/>
      <w:bookmarkEnd w:id="530"/>
      <w:bookmarkEnd w:id="531"/>
      <w:bookmarkEnd w:id="532"/>
      <w:bookmarkEnd w:id="533"/>
      <w:bookmarkEnd w:id="534"/>
      <w:bookmarkEnd w:id="535"/>
      <w:bookmarkEnd w:id="536"/>
      <w:bookmarkEnd w:id="537"/>
      <w:bookmarkEnd w:id="538"/>
      <w:bookmarkEnd w:id="539"/>
      <w:bookmarkEnd w:id="540"/>
    </w:p>
    <w:p>
      <w:pPr>
        <w:pStyle w:val="3"/>
        <w:rPr>
          <w:color w:val="000000"/>
          <w:highlight w:val="none"/>
        </w:rPr>
      </w:pPr>
      <w:r>
        <w:rPr>
          <w:color w:val="000000"/>
          <w:highlight w:val="none"/>
        </w:rPr>
        <w:t>在投标有效期届满之前，招标代理机构将以书面通知的形式通知中标人。</w:t>
      </w:r>
    </w:p>
    <w:p>
      <w:pPr>
        <w:pStyle w:val="3"/>
        <w:rPr>
          <w:color w:val="000000"/>
          <w:highlight w:val="none"/>
        </w:rPr>
      </w:pPr>
      <w:r>
        <w:rPr>
          <w:color w:val="000000"/>
          <w:highlight w:val="none"/>
        </w:rPr>
        <w:t>中标通知书将成为合同的组成部分之一。</w:t>
      </w:r>
    </w:p>
    <w:p>
      <w:pPr>
        <w:pStyle w:val="2"/>
        <w:rPr>
          <w:rFonts w:ascii="Times New Roman"/>
          <w:color w:val="000000"/>
          <w:highlight w:val="none"/>
        </w:rPr>
      </w:pPr>
      <w:bookmarkStart w:id="541" w:name="_Ref434457151"/>
      <w:bookmarkStart w:id="542" w:name="_Toc452726965"/>
      <w:bookmarkStart w:id="543" w:name="_Toc2063844"/>
      <w:bookmarkStart w:id="544" w:name="_Toc31308"/>
      <w:bookmarkStart w:id="545" w:name="_Toc434897318"/>
      <w:bookmarkStart w:id="546" w:name="_Toc434462815"/>
      <w:bookmarkStart w:id="547" w:name="_Toc452800710"/>
      <w:bookmarkStart w:id="548" w:name="_Toc452727325"/>
      <w:bookmarkStart w:id="549" w:name="_Toc434462204"/>
      <w:bookmarkStart w:id="550" w:name="_Toc8343721"/>
      <w:bookmarkStart w:id="551" w:name="_Toc302374155"/>
      <w:bookmarkStart w:id="552" w:name="_Toc2063713"/>
      <w:bookmarkStart w:id="553" w:name="_Toc452306122"/>
      <w:r>
        <w:rPr>
          <w:rFonts w:ascii="Times New Roman"/>
          <w:color w:val="000000"/>
          <w:highlight w:val="none"/>
        </w:rPr>
        <w:t>签订合同</w:t>
      </w:r>
      <w:bookmarkEnd w:id="541"/>
      <w:bookmarkEnd w:id="542"/>
      <w:bookmarkEnd w:id="543"/>
      <w:bookmarkEnd w:id="544"/>
      <w:bookmarkEnd w:id="545"/>
      <w:bookmarkEnd w:id="546"/>
      <w:bookmarkEnd w:id="547"/>
      <w:bookmarkEnd w:id="548"/>
      <w:bookmarkEnd w:id="549"/>
      <w:bookmarkEnd w:id="550"/>
      <w:bookmarkEnd w:id="551"/>
      <w:bookmarkEnd w:id="552"/>
      <w:bookmarkEnd w:id="553"/>
    </w:p>
    <w:p>
      <w:pPr>
        <w:pStyle w:val="3"/>
        <w:rPr>
          <w:color w:val="000000"/>
          <w:highlight w:val="none"/>
        </w:rPr>
      </w:pPr>
      <w:bookmarkStart w:id="554" w:name="_Ref434458829"/>
      <w:r>
        <w:rPr>
          <w:rFonts w:hint="eastAsia"/>
          <w:color w:val="000000"/>
          <w:highlight w:val="none"/>
        </w:rPr>
        <w:t>中标人应当在招标代理机构发出中标通知书之日起三十（30）天内，按照招标文件和中标人投标文件的规定，与招标人签订书面合同。所签订的合同不得对招标文件确定的事项和中标人投标文件作实质性修改。合同签订地点为</w:t>
      </w:r>
      <w:r>
        <w:rPr>
          <w:rStyle w:val="41"/>
          <w:rFonts w:ascii="Times New Roman"/>
          <w:color w:val="000000"/>
          <w:highlight w:val="none"/>
        </w:rPr>
        <w:t>本须知前附表</w:t>
      </w:r>
      <w:r>
        <w:rPr>
          <w:color w:val="000000"/>
          <w:highlight w:val="none"/>
        </w:rPr>
        <w:t>第</w:t>
      </w:r>
      <w:r>
        <w:rPr>
          <w:color w:val="000000"/>
          <w:highlight w:val="none"/>
        </w:rPr>
        <w:fldChar w:fldCharType="begin"/>
      </w:r>
      <w:r>
        <w:rPr>
          <w:color w:val="000000"/>
          <w:highlight w:val="none"/>
        </w:rPr>
        <w:instrText xml:space="preserve"> REF _Ref389721217 \r \h  \* MERGEFORMAT </w:instrText>
      </w:r>
      <w:r>
        <w:rPr>
          <w:color w:val="000000"/>
          <w:highlight w:val="none"/>
        </w:rPr>
        <w:fldChar w:fldCharType="separate"/>
      </w:r>
      <w:r>
        <w:rPr>
          <w:color w:val="000000"/>
          <w:highlight w:val="none"/>
        </w:rPr>
        <w:t>12</w:t>
      </w:r>
      <w:r>
        <w:rPr>
          <w:color w:val="000000"/>
          <w:highlight w:val="none"/>
        </w:rPr>
        <w:fldChar w:fldCharType="end"/>
      </w:r>
      <w:r>
        <w:rPr>
          <w:color w:val="000000"/>
          <w:highlight w:val="none"/>
        </w:rPr>
        <w:t>项注明的地点</w:t>
      </w:r>
      <w:bookmarkEnd w:id="554"/>
      <w:r>
        <w:rPr>
          <w:color w:val="000000"/>
          <w:highlight w:val="none"/>
        </w:rPr>
        <w:t>。</w:t>
      </w:r>
    </w:p>
    <w:p>
      <w:pPr>
        <w:pStyle w:val="3"/>
        <w:rPr>
          <w:rFonts w:hint="eastAsia"/>
          <w:color w:val="000000"/>
          <w:highlight w:val="none"/>
        </w:rPr>
      </w:pPr>
      <w:r>
        <w:rPr>
          <w:rFonts w:hint="eastAsia"/>
          <w:color w:val="000000"/>
          <w:highlight w:val="none"/>
        </w:rPr>
        <w:t>当中标人为中小微企业时，所签订的合同中约定的支付条款将按《保障中小企业款项支付条例（国务院第728号令）》的规定作出相应调整。</w:t>
      </w:r>
    </w:p>
    <w:p>
      <w:pPr>
        <w:pStyle w:val="3"/>
        <w:rPr>
          <w:rFonts w:hint="eastAsia"/>
          <w:color w:val="000000"/>
          <w:highlight w:val="none"/>
        </w:rPr>
      </w:pPr>
      <w:bookmarkStart w:id="555" w:name="_Ref434458848"/>
      <w:bookmarkStart w:id="556" w:name="_Ref512014197"/>
      <w:r>
        <w:rPr>
          <w:rFonts w:hint="eastAsia"/>
          <w:color w:val="000000"/>
          <w:highlight w:val="none"/>
        </w:rPr>
        <w:t>除不可抗力外，中标人拒绝与招标人签订合同的，招标人或招标代理机构将不向其退还投标保证金；招标人可以按照评标报告推荐的中标候选人名单排序，确定下一候选人为中标人，也可以重新招标。</w:t>
      </w:r>
      <w:bookmarkEnd w:id="555"/>
      <w:r>
        <w:rPr>
          <w:rFonts w:hint="eastAsia"/>
          <w:color w:val="000000"/>
          <w:highlight w:val="none"/>
        </w:rPr>
        <w:t>中标人未在法律规定期限内与招标人签订合同（除招标人原因之外），或者拒绝按照招标文件和中标人投标文件的规定签订合同均视为拒绝与招标人签订合同。</w:t>
      </w:r>
      <w:bookmarkEnd w:id="556"/>
    </w:p>
    <w:p>
      <w:pPr>
        <w:pStyle w:val="2"/>
        <w:rPr>
          <w:rFonts w:ascii="Times New Roman"/>
          <w:color w:val="000000"/>
          <w:highlight w:val="none"/>
        </w:rPr>
      </w:pPr>
      <w:bookmarkStart w:id="557" w:name="_Toc434462816"/>
      <w:bookmarkStart w:id="558" w:name="_Toc2063714"/>
      <w:bookmarkStart w:id="559" w:name="_Toc302374156"/>
      <w:bookmarkStart w:id="560" w:name="_Toc2063845"/>
      <w:bookmarkStart w:id="561" w:name="_Toc452726966"/>
      <w:bookmarkStart w:id="562" w:name="_Toc452727326"/>
      <w:bookmarkStart w:id="563" w:name="_Toc434462205"/>
      <w:bookmarkStart w:id="564" w:name="_Toc452800711"/>
      <w:bookmarkStart w:id="565" w:name="_Toc8343722"/>
      <w:bookmarkStart w:id="566" w:name="_Ref434457185"/>
      <w:bookmarkStart w:id="567" w:name="_Toc434897319"/>
      <w:bookmarkStart w:id="568" w:name="_Toc452306123"/>
      <w:bookmarkStart w:id="569" w:name="_Toc32336"/>
      <w:r>
        <w:rPr>
          <w:rFonts w:ascii="Times New Roman"/>
          <w:color w:val="000000"/>
          <w:highlight w:val="none"/>
        </w:rPr>
        <w:t>履约保证金</w:t>
      </w:r>
      <w:bookmarkEnd w:id="557"/>
      <w:bookmarkEnd w:id="558"/>
      <w:bookmarkEnd w:id="559"/>
      <w:bookmarkEnd w:id="560"/>
      <w:bookmarkEnd w:id="561"/>
      <w:bookmarkEnd w:id="562"/>
      <w:bookmarkEnd w:id="563"/>
      <w:bookmarkEnd w:id="564"/>
      <w:bookmarkEnd w:id="565"/>
      <w:bookmarkEnd w:id="566"/>
      <w:bookmarkEnd w:id="567"/>
      <w:bookmarkEnd w:id="568"/>
      <w:r>
        <w:rPr>
          <w:color w:val="000000"/>
          <w:highlight w:val="none"/>
        </w:rPr>
        <w:t>（若</w:t>
      </w:r>
      <w:r>
        <w:rPr>
          <w:rStyle w:val="41"/>
          <w:rFonts w:ascii="Times New Roman"/>
          <w:color w:val="000000"/>
          <w:highlight w:val="none"/>
        </w:rPr>
        <w:t>合同条款</w:t>
      </w:r>
      <w:r>
        <w:rPr>
          <w:color w:val="000000"/>
          <w:highlight w:val="none"/>
        </w:rPr>
        <w:t>有约定）</w:t>
      </w:r>
      <w:bookmarkEnd w:id="569"/>
    </w:p>
    <w:p>
      <w:pPr>
        <w:pStyle w:val="3"/>
        <w:rPr>
          <w:color w:val="000000"/>
          <w:highlight w:val="none"/>
        </w:rPr>
      </w:pPr>
      <w:bookmarkStart w:id="570" w:name="_Ref434458872"/>
      <w:r>
        <w:rPr>
          <w:rFonts w:hint="eastAsia"/>
          <w:color w:val="000000"/>
          <w:highlight w:val="none"/>
        </w:rPr>
        <w:t>中标人应按照</w:t>
      </w:r>
      <w:r>
        <w:rPr>
          <w:rStyle w:val="41"/>
          <w:rFonts w:hint="eastAsia"/>
          <w:color w:val="000000"/>
          <w:highlight w:val="none"/>
        </w:rPr>
        <w:t>合同条款</w:t>
      </w:r>
      <w:r>
        <w:rPr>
          <w:rFonts w:hint="eastAsia"/>
          <w:color w:val="000000"/>
          <w:highlight w:val="none"/>
        </w:rPr>
        <w:t>的规定，向招标人提交履约保证金银行保函，其格式应为招标文件第五章中提供的或其他招标人可以接受的格式。</w:t>
      </w:r>
      <w:bookmarkEnd w:id="570"/>
    </w:p>
    <w:p>
      <w:pPr>
        <w:pStyle w:val="3"/>
        <w:rPr>
          <w:color w:val="000000"/>
          <w:highlight w:val="none"/>
        </w:rPr>
      </w:pPr>
      <w:r>
        <w:rPr>
          <w:rFonts w:hint="eastAsia"/>
          <w:color w:val="000000"/>
          <w:highlight w:val="none"/>
        </w:rPr>
        <w:t>如果中标人没有按照上述第</w:t>
      </w:r>
      <w:r>
        <w:rPr>
          <w:color w:val="000000"/>
          <w:highlight w:val="none"/>
        </w:rPr>
        <w:fldChar w:fldCharType="begin"/>
      </w:r>
      <w:r>
        <w:rPr>
          <w:color w:val="000000"/>
          <w:highlight w:val="none"/>
        </w:rPr>
        <w:instrText xml:space="preserve"> REF _Ref434458829 \n  \* MERGEFORMAT </w:instrText>
      </w:r>
      <w:r>
        <w:rPr>
          <w:color w:val="000000"/>
          <w:highlight w:val="none"/>
        </w:rPr>
        <w:fldChar w:fldCharType="separate"/>
      </w:r>
      <w:r>
        <w:rPr>
          <w:color w:val="000000"/>
          <w:highlight w:val="none"/>
        </w:rPr>
        <w:t>32.1</w:t>
      </w:r>
      <w:r>
        <w:rPr>
          <w:color w:val="000000"/>
          <w:highlight w:val="none"/>
        </w:rPr>
        <w:fldChar w:fldCharType="end"/>
      </w:r>
      <w:r>
        <w:rPr>
          <w:rFonts w:hint="eastAsia"/>
          <w:color w:val="000000"/>
          <w:highlight w:val="none"/>
        </w:rPr>
        <w:t>或</w:t>
      </w:r>
      <w:r>
        <w:rPr>
          <w:color w:val="000000"/>
          <w:highlight w:val="none"/>
        </w:rPr>
        <w:fldChar w:fldCharType="begin"/>
      </w:r>
      <w:r>
        <w:rPr>
          <w:color w:val="000000"/>
          <w:highlight w:val="none"/>
        </w:rPr>
        <w:instrText xml:space="preserve"> REF _Ref434458872 \n  \* MERGEFORMAT </w:instrText>
      </w:r>
      <w:r>
        <w:rPr>
          <w:color w:val="000000"/>
          <w:highlight w:val="none"/>
        </w:rPr>
        <w:fldChar w:fldCharType="separate"/>
      </w:r>
      <w:r>
        <w:rPr>
          <w:color w:val="000000"/>
          <w:highlight w:val="none"/>
        </w:rPr>
        <w:t>33.1</w:t>
      </w:r>
      <w:r>
        <w:rPr>
          <w:color w:val="000000"/>
          <w:highlight w:val="none"/>
        </w:rPr>
        <w:fldChar w:fldCharType="end"/>
      </w:r>
      <w:r>
        <w:rPr>
          <w:rFonts w:hint="eastAsia"/>
          <w:color w:val="000000"/>
          <w:highlight w:val="none"/>
        </w:rPr>
        <w:t>条的规定执行，招标人和招标代理机构将有充分理由取消原先发出中标通知书，并不退还其投标保证金。在此情况下，招标人可将本标授予评标委员会推荐的下一个中标候选人，或重新招标。</w:t>
      </w:r>
    </w:p>
    <w:p>
      <w:pPr>
        <w:pStyle w:val="2"/>
        <w:rPr>
          <w:rFonts w:ascii="Times New Roman"/>
          <w:color w:val="000000"/>
          <w:highlight w:val="none"/>
        </w:rPr>
      </w:pPr>
      <w:bookmarkStart w:id="571" w:name="_Ref512602614"/>
      <w:bookmarkStart w:id="572" w:name="_Toc21337"/>
      <w:r>
        <w:rPr>
          <w:rFonts w:ascii="Times New Roman"/>
          <w:color w:val="000000"/>
          <w:highlight w:val="none"/>
        </w:rPr>
        <w:t>招标代理咨询服务费</w:t>
      </w:r>
      <w:bookmarkEnd w:id="571"/>
      <w:bookmarkEnd w:id="572"/>
    </w:p>
    <w:p>
      <w:pPr>
        <w:pStyle w:val="12"/>
        <w:rPr>
          <w:color w:val="000000"/>
          <w:highlight w:val="none"/>
        </w:rPr>
      </w:pPr>
      <w:r>
        <w:rPr>
          <w:color w:val="000000"/>
          <w:highlight w:val="none"/>
        </w:rPr>
        <w:t>本次招标的招标代理咨询服务费由中标人支付，支付标准以</w:t>
      </w:r>
      <w:r>
        <w:rPr>
          <w:rFonts w:hint="eastAsia"/>
          <w:color w:val="000000"/>
          <w:highlight w:val="none"/>
        </w:rPr>
        <w:t>中标通知书中列明的中标</w:t>
      </w:r>
      <w:r>
        <w:rPr>
          <w:color w:val="000000"/>
          <w:highlight w:val="none"/>
        </w:rPr>
        <w:t>金额为准，按《招标代理服务收费管理暂行办法》（计价格〔2002〕1980号、发改办价格〔2003〕857号）所规定的货物类招标收费标准</w:t>
      </w:r>
      <w:r>
        <w:rPr>
          <w:rFonts w:hint="eastAsia"/>
          <w:b/>
          <w:color w:val="000000"/>
          <w:highlight w:val="none"/>
        </w:rPr>
        <w:t>乘以折扣率72.03%</w:t>
      </w:r>
      <w:r>
        <w:rPr>
          <w:color w:val="000000"/>
          <w:highlight w:val="none"/>
        </w:rPr>
        <w:t>计算；支付时间为收到中标通知书后十四（14）天内。如果中标人未按上述规定向招标代理机构支付招标代理咨询服务费，招标代理机构有权不退还其投标保证金。</w:t>
      </w:r>
    </w:p>
    <w:p>
      <w:pPr>
        <w:rPr>
          <w:color w:val="000000"/>
          <w:highlight w:val="none"/>
        </w:rPr>
      </w:pPr>
      <w:r>
        <w:rPr>
          <w:color w:val="000000"/>
          <w:highlight w:val="none"/>
        </w:rPr>
        <w:br w:type="page"/>
      </w:r>
      <w:r>
        <w:rPr>
          <w:color w:val="000000"/>
          <w:highlight w:val="none"/>
        </w:rPr>
        <w:t>附件1：</w:t>
      </w:r>
    </w:p>
    <w:p>
      <w:pPr>
        <w:pStyle w:val="82"/>
        <w:rPr>
          <w:rFonts w:ascii="Times New Roman"/>
          <w:color w:val="000000"/>
          <w:highlight w:val="none"/>
        </w:rPr>
      </w:pPr>
      <w:bookmarkStart w:id="573" w:name="_Toc503130788"/>
      <w:bookmarkStart w:id="574" w:name="_Toc495406857"/>
      <w:bookmarkStart w:id="575" w:name="_Toc495398054"/>
      <w:bookmarkStart w:id="576" w:name="_Toc495398004"/>
      <w:bookmarkStart w:id="577" w:name="_Toc503130727"/>
      <w:bookmarkStart w:id="578" w:name="_Toc16305"/>
      <w:bookmarkStart w:id="579" w:name="_Toc491700924"/>
      <w:r>
        <w:rPr>
          <w:rFonts w:hint="eastAsia" w:ascii="Times New Roman"/>
          <w:color w:val="000000"/>
          <w:highlight w:val="none"/>
        </w:rPr>
        <w:t>上海银鑫建设咨询有限公司</w:t>
      </w:r>
      <w:r>
        <w:rPr>
          <w:rFonts w:ascii="Times New Roman"/>
          <w:color w:val="000000"/>
          <w:highlight w:val="none"/>
        </w:rPr>
        <w:t>投标保证金提交和退还操作须知</w:t>
      </w:r>
      <w:bookmarkEnd w:id="573"/>
      <w:bookmarkEnd w:id="574"/>
      <w:bookmarkEnd w:id="575"/>
      <w:bookmarkEnd w:id="576"/>
      <w:bookmarkEnd w:id="577"/>
      <w:bookmarkEnd w:id="578"/>
      <w:bookmarkEnd w:id="579"/>
    </w:p>
    <w:p>
      <w:pPr>
        <w:jc w:val="center"/>
        <w:rPr>
          <w:rFonts w:hint="eastAsia"/>
          <w:color w:val="000000"/>
          <w:highlight w:val="none"/>
        </w:rPr>
      </w:pPr>
      <w:r>
        <w:rPr>
          <w:rFonts w:hint="eastAsia"/>
          <w:color w:val="000000"/>
          <w:highlight w:val="none"/>
        </w:rPr>
        <w:t>（2020版）</w:t>
      </w:r>
    </w:p>
    <w:p>
      <w:pPr>
        <w:rPr>
          <w:rFonts w:hint="eastAsia"/>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接收投标保证金的银行账户信息</w:t>
      </w:r>
    </w:p>
    <w:p>
      <w:pPr>
        <w:rPr>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开户银行：建行上海第五支行</w:t>
      </w:r>
    </w:p>
    <w:p>
      <w:pPr>
        <w:rPr>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户名：上海银鑫建设咨询有限公司</w:t>
      </w:r>
    </w:p>
    <w:p>
      <w:pPr>
        <w:rPr>
          <w:color w:val="000000"/>
          <w:highlight w:val="none"/>
        </w:rPr>
      </w:pPr>
      <w:r>
        <w:rPr>
          <w:rFonts w:hint="eastAsia"/>
          <w:color w:val="000000"/>
          <w:highlight w:val="none"/>
        </w:rPr>
        <w:t>（3）</w:t>
      </w:r>
      <w:r>
        <w:rPr>
          <w:rFonts w:hint="eastAsia"/>
          <w:color w:val="000000"/>
          <w:highlight w:val="none"/>
        </w:rPr>
        <w:tab/>
      </w:r>
      <w:r>
        <w:rPr>
          <w:rFonts w:hint="eastAsia"/>
          <w:color w:val="000000"/>
          <w:highlight w:val="none"/>
        </w:rPr>
        <w:t>账号：31001505400050017159</w:t>
      </w:r>
    </w:p>
    <w:p>
      <w:pPr>
        <w:rPr>
          <w:rFonts w:hint="eastAsia"/>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提交投标保证金的地点和截止时间</w:t>
      </w:r>
    </w:p>
    <w:p>
      <w:pPr>
        <w:rPr>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地点：上海市徐汇区零陵路583号海洋石油大厦1216室</w:t>
      </w:r>
    </w:p>
    <w:p>
      <w:pPr>
        <w:rPr>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截止时间：同投标截止时间，以保证金实际到账为准。</w:t>
      </w:r>
    </w:p>
    <w:p>
      <w:pPr>
        <w:rPr>
          <w:rFonts w:hint="eastAsia"/>
          <w:color w:val="000000"/>
          <w:highlight w:val="none"/>
        </w:rPr>
      </w:pPr>
      <w:r>
        <w:rPr>
          <w:rFonts w:hint="eastAsia"/>
          <w:color w:val="000000"/>
          <w:highlight w:val="none"/>
        </w:rPr>
        <w:t>3</w:t>
      </w:r>
      <w:r>
        <w:rPr>
          <w:rFonts w:hint="eastAsia"/>
          <w:color w:val="000000"/>
          <w:highlight w:val="none"/>
        </w:rPr>
        <w:tab/>
      </w:r>
      <w:r>
        <w:rPr>
          <w:rFonts w:hint="eastAsia"/>
          <w:color w:val="000000"/>
          <w:highlight w:val="none"/>
        </w:rPr>
        <w:t>投标保证金的提交</w:t>
      </w:r>
    </w:p>
    <w:p>
      <w:pPr>
        <w:rPr>
          <w:rFonts w:hint="eastAsia"/>
          <w:color w:val="000000"/>
          <w:highlight w:val="none"/>
        </w:rPr>
      </w:pPr>
      <w:r>
        <w:rPr>
          <w:rFonts w:hint="eastAsia"/>
          <w:color w:val="000000"/>
          <w:highlight w:val="none"/>
        </w:rPr>
        <w:t>3.1</w:t>
      </w:r>
      <w:r>
        <w:rPr>
          <w:rFonts w:hint="eastAsia"/>
          <w:color w:val="000000"/>
          <w:highlight w:val="none"/>
        </w:rPr>
        <w:tab/>
      </w:r>
      <w:r>
        <w:rPr>
          <w:rFonts w:hint="eastAsia"/>
          <w:color w:val="000000"/>
          <w:highlight w:val="none"/>
        </w:rPr>
        <w:t>投标人可以采用网上支付、贷记凭证、电汇、银行本票、银行汇票、支票等形式提交投标保证金。为提高效率，鼓励投标人用网上支付、贷记凭证或电汇方式提交投标保证金。</w:t>
      </w:r>
    </w:p>
    <w:p>
      <w:pPr>
        <w:rPr>
          <w:rFonts w:hint="eastAsia"/>
          <w:color w:val="000000"/>
          <w:highlight w:val="none"/>
        </w:rPr>
      </w:pPr>
      <w:r>
        <w:rPr>
          <w:rFonts w:hint="eastAsia"/>
          <w:color w:val="000000"/>
          <w:highlight w:val="none"/>
        </w:rPr>
        <w:t>3.2</w:t>
      </w:r>
      <w:r>
        <w:rPr>
          <w:rFonts w:hint="eastAsia"/>
          <w:color w:val="000000"/>
          <w:highlight w:val="none"/>
        </w:rPr>
        <w:tab/>
      </w:r>
      <w:r>
        <w:rPr>
          <w:rFonts w:hint="eastAsia"/>
          <w:color w:val="000000"/>
          <w:highlight w:val="none"/>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偏离表”中明确申明，否则视为接受。当由联合体的牵头人以联合体的名义提交投标保证金时，本须知中提及的投标人均指投标联合体的牵头人。</w:t>
      </w:r>
    </w:p>
    <w:p>
      <w:pPr>
        <w:rPr>
          <w:rFonts w:hint="eastAsia"/>
          <w:color w:val="000000"/>
          <w:highlight w:val="none"/>
        </w:rPr>
      </w:pPr>
      <w:r>
        <w:rPr>
          <w:rFonts w:hint="eastAsia"/>
          <w:color w:val="000000"/>
          <w:highlight w:val="none"/>
        </w:rPr>
        <w:t>3.3</w:t>
      </w:r>
      <w:r>
        <w:rPr>
          <w:rFonts w:hint="eastAsia"/>
          <w:color w:val="000000"/>
          <w:highlight w:val="none"/>
        </w:rPr>
        <w:tab/>
      </w:r>
      <w:r>
        <w:rPr>
          <w:rFonts w:hint="eastAsia"/>
          <w:color w:val="000000"/>
          <w:highlight w:val="none"/>
        </w:rPr>
        <w:t>依法必须进行招标项目境内投标人用现金（含网上支付、贷记凭证、电汇、银行本票、银行汇票）或支票形式提交的投标保证金，均须从其基本存款账户转出。其他招标项目是否有此要求详见具体项目的招标文件。</w:t>
      </w:r>
    </w:p>
    <w:p>
      <w:pPr>
        <w:rPr>
          <w:rFonts w:hint="eastAsia"/>
          <w:color w:val="000000"/>
          <w:highlight w:val="none"/>
        </w:rPr>
      </w:pPr>
      <w:r>
        <w:rPr>
          <w:rFonts w:hint="eastAsia"/>
          <w:color w:val="000000"/>
          <w:highlight w:val="none"/>
        </w:rPr>
        <w:t>3.4</w:t>
      </w:r>
      <w:r>
        <w:rPr>
          <w:rFonts w:hint="eastAsia"/>
          <w:color w:val="000000"/>
          <w:highlight w:val="none"/>
        </w:rPr>
        <w:tab/>
      </w:r>
      <w:r>
        <w:rPr>
          <w:rFonts w:hint="eastAsia"/>
          <w:color w:val="000000"/>
          <w:highlight w:val="none"/>
        </w:rPr>
        <w:t>投标人不得以现钞方式提交投标保证金，也不得用经过背书转让的支票、银行本票或银行汇票提交投标保证金。</w:t>
      </w:r>
    </w:p>
    <w:p>
      <w:pPr>
        <w:rPr>
          <w:rFonts w:hint="eastAsia"/>
          <w:color w:val="000000"/>
          <w:highlight w:val="none"/>
        </w:rPr>
      </w:pPr>
      <w:r>
        <w:rPr>
          <w:rFonts w:hint="eastAsia"/>
          <w:color w:val="000000"/>
          <w:highlight w:val="none"/>
        </w:rPr>
        <w:t>3.5</w:t>
      </w:r>
      <w:r>
        <w:rPr>
          <w:rFonts w:hint="eastAsia"/>
          <w:color w:val="000000"/>
          <w:highlight w:val="none"/>
        </w:rPr>
        <w:tab/>
      </w:r>
      <w:r>
        <w:rPr>
          <w:rFonts w:hint="eastAsia"/>
          <w:color w:val="000000"/>
          <w:highlight w:val="none"/>
        </w:rPr>
        <w:t>投标人应当按照下列方式办理投标保证金的提交手续：</w:t>
      </w:r>
    </w:p>
    <w:p>
      <w:pPr>
        <w:rPr>
          <w:rFonts w:hint="eastAsia"/>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当采用网上支付、贷记凭证或电汇方式提交投标保证金时，应在招标文件规定的投标截止时间之前，将相应款项直接付至本须知第1条指定的账户（以实际到账时间为准，宜适当提前办理）；在汇款附言中请务必注明：“投标保证金：项目编号”（示例：“投标保证金：HW2021072604”）。</w:t>
      </w:r>
    </w:p>
    <w:p>
      <w:pPr>
        <w:rPr>
          <w:rFonts w:hint="eastAsia"/>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当采用银行本票或银行汇票方式提交投标保证金时，应在招标文件规定的投标截止时间之前，委派代表携带银行本票或银行汇票，到本须知第2条的指定地点办理投标保证金提交手续；在办理过程中，投标人代表须向招标代理机构的经办人明确申明项目编号等信息。</w:t>
      </w:r>
    </w:p>
    <w:p>
      <w:pPr>
        <w:rPr>
          <w:rFonts w:hint="eastAsia"/>
          <w:color w:val="000000"/>
          <w:highlight w:val="none"/>
        </w:rPr>
      </w:pPr>
      <w:r>
        <w:rPr>
          <w:rFonts w:hint="eastAsia"/>
          <w:color w:val="000000"/>
          <w:highlight w:val="none"/>
        </w:rPr>
        <w:t>（3）</w:t>
      </w:r>
      <w:r>
        <w:rPr>
          <w:rFonts w:hint="eastAsia"/>
          <w:color w:val="000000"/>
          <w:highlight w:val="none"/>
        </w:rPr>
        <w:tab/>
      </w:r>
      <w:r>
        <w:rPr>
          <w:rFonts w:hint="eastAsia"/>
          <w:color w:val="000000"/>
          <w:highlight w:val="none"/>
        </w:rPr>
        <w:t>当采用支票方式提交投标保证金时，应在招标文件规定的投标截止时间的5个工日之前，委派代表携带支票，到本须知第2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pPr>
        <w:rPr>
          <w:rFonts w:hint="eastAsia"/>
          <w:color w:val="000000"/>
          <w:highlight w:val="none"/>
        </w:rPr>
      </w:pPr>
      <w:r>
        <w:rPr>
          <w:rFonts w:hint="eastAsia"/>
          <w:color w:val="000000"/>
          <w:highlight w:val="none"/>
        </w:rPr>
        <w:t>（4）</w:t>
      </w:r>
      <w:r>
        <w:rPr>
          <w:rFonts w:hint="eastAsia"/>
          <w:color w:val="000000"/>
          <w:highlight w:val="none"/>
        </w:rPr>
        <w:tab/>
      </w:r>
      <w:r>
        <w:rPr>
          <w:rFonts w:hint="eastAsia"/>
          <w:color w:val="000000"/>
          <w:highlight w:val="none"/>
        </w:rPr>
        <w:t>当投标人选投一个招标项目的多个包件或标段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pPr>
        <w:rPr>
          <w:rFonts w:hint="eastAsia"/>
          <w:color w:val="000000"/>
          <w:highlight w:val="none"/>
        </w:rPr>
      </w:pPr>
      <w:r>
        <w:rPr>
          <w:rFonts w:hint="eastAsia"/>
          <w:color w:val="000000"/>
          <w:highlight w:val="none"/>
        </w:rPr>
        <w:t>3.6</w:t>
      </w:r>
      <w:r>
        <w:rPr>
          <w:rFonts w:hint="eastAsia"/>
          <w:color w:val="000000"/>
          <w:highlight w:val="none"/>
        </w:rPr>
        <w:tab/>
      </w:r>
      <w:r>
        <w:rPr>
          <w:rFonts w:hint="eastAsia"/>
          <w:color w:val="000000"/>
          <w:highlight w:val="none"/>
        </w:rPr>
        <w:t>当采用银行本票、银行汇票或支票方式提交投标保证金时，招标代理机构的项目负责人将会“投标保证金收据”发给已经提交投标保证金的各投标人，投标人应将“投标保证金收据”的复印件封装在装有“投标一览表”（或“开标一览表”或“投标信息汇总表”）的小信封中，或者装订在正本投标文件的“投标函”（或“投标书”）之后。如果投标人在封装投标文件时尚未收到“投标保证金收据”，也可直接将投标保证金支付单据的打印件或复印件封装在装有“投标一览表”（或“开标一览表”或“投标信息汇总表”）的小信封中，或者装订在正本投标文件的“投标函”（或“投标书”）之后；随后与招标代理机构的项目负责人联系并索要“投标保证金收据”。</w:t>
      </w:r>
    </w:p>
    <w:p>
      <w:pPr>
        <w:rPr>
          <w:rFonts w:hint="eastAsia"/>
          <w:color w:val="000000"/>
          <w:highlight w:val="none"/>
        </w:rPr>
      </w:pPr>
      <w:r>
        <w:rPr>
          <w:rFonts w:hint="eastAsia"/>
          <w:color w:val="000000"/>
          <w:highlight w:val="none"/>
        </w:rPr>
        <w:t>3.7</w:t>
      </w:r>
      <w:r>
        <w:rPr>
          <w:rFonts w:hint="eastAsia"/>
          <w:color w:val="000000"/>
          <w:highlight w:val="none"/>
        </w:rPr>
        <w:tab/>
      </w:r>
      <w:r>
        <w:rPr>
          <w:rFonts w:hint="eastAsia"/>
          <w:color w:val="000000"/>
          <w:highlight w:val="none"/>
        </w:rPr>
        <w:t>当采用网上支付、贷记凭证、电汇方式提交投标保证金时，投标人应将“投标保证金支付单据”的打印件或复印件封装在装有“投标一览表”（或“开标一览表”或“投标信息汇总表”）的小信封中，或者装订在正本投标文件的“投标函”（或“投标书”）之后。</w:t>
      </w:r>
    </w:p>
    <w:p>
      <w:pPr>
        <w:rPr>
          <w:rFonts w:hint="eastAsia"/>
          <w:color w:val="000000"/>
          <w:highlight w:val="none"/>
        </w:rPr>
      </w:pPr>
      <w:r>
        <w:rPr>
          <w:rFonts w:hint="eastAsia"/>
          <w:color w:val="000000"/>
          <w:highlight w:val="none"/>
        </w:rPr>
        <w:t>4</w:t>
      </w:r>
      <w:r>
        <w:rPr>
          <w:rFonts w:hint="eastAsia"/>
          <w:color w:val="000000"/>
          <w:highlight w:val="none"/>
        </w:rPr>
        <w:tab/>
      </w:r>
      <w:r>
        <w:rPr>
          <w:rFonts w:hint="eastAsia"/>
          <w:color w:val="000000"/>
          <w:highlight w:val="none"/>
        </w:rPr>
        <w:t>投标保证金的退还</w:t>
      </w:r>
    </w:p>
    <w:p>
      <w:pPr>
        <w:rPr>
          <w:rFonts w:hint="eastAsia"/>
          <w:color w:val="000000"/>
          <w:highlight w:val="none"/>
        </w:rPr>
      </w:pPr>
      <w:r>
        <w:rPr>
          <w:rFonts w:hint="eastAsia"/>
          <w:color w:val="000000"/>
          <w:highlight w:val="none"/>
        </w:rPr>
        <w:t>4.1</w:t>
      </w:r>
      <w:r>
        <w:rPr>
          <w:rFonts w:hint="eastAsia"/>
          <w:color w:val="000000"/>
          <w:highlight w:val="none"/>
        </w:rPr>
        <w:tab/>
      </w:r>
      <w:r>
        <w:rPr>
          <w:rFonts w:hint="eastAsia"/>
          <w:color w:val="000000"/>
          <w:highlight w:val="none"/>
        </w:rPr>
        <w:t>在具备向中标人发出中标通知书的条件之后，招标人和（或）招标代理机构将向中标人发出“中标通知书”，在未发生招标文件规定的招标人和（或）招标代理机构有权不退还投标保证金的情况时，中标人应按下列方式办理投标保证金退还手续：</w:t>
      </w:r>
    </w:p>
    <w:p>
      <w:pPr>
        <w:rPr>
          <w:rFonts w:hint="eastAsia"/>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在收到“中标通知书”后马上填写“中标通知书回执”，并在加盖公章后尽快以扫描邮件方式或传真发给招标代理机构的项目负责人。</w:t>
      </w:r>
    </w:p>
    <w:p>
      <w:pPr>
        <w:rPr>
          <w:rFonts w:hint="eastAsia"/>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中标人代表携带加盖公章的“中标通知书回执”原件、本须知第3.9条中提及的纸质版“投标保证金收据”原件（如有）、中标人与招标人签署的中标合同（正本或副本）或招标人开具的中标合同项下的履约保证金收据复印件（当招标文件未要求中标人提交履约保证金时，须提供中标人与招标人签署的中标合同），到本须知第1.1条的指定地点办理投标保证金退还手续。</w:t>
      </w:r>
    </w:p>
    <w:p>
      <w:pPr>
        <w:rPr>
          <w:rFonts w:hint="eastAsia"/>
          <w:color w:val="000000"/>
          <w:highlight w:val="none"/>
        </w:rPr>
      </w:pPr>
      <w:r>
        <w:rPr>
          <w:rFonts w:hint="eastAsia"/>
          <w:color w:val="000000"/>
          <w:highlight w:val="none"/>
        </w:rPr>
        <w:t>4.2</w:t>
      </w:r>
      <w:r>
        <w:rPr>
          <w:rFonts w:hint="eastAsia"/>
          <w:color w:val="000000"/>
          <w:highlight w:val="none"/>
        </w:rPr>
        <w:tab/>
      </w:r>
      <w:r>
        <w:rPr>
          <w:rFonts w:hint="eastAsia"/>
          <w:color w:val="000000"/>
          <w:highlight w:val="none"/>
        </w:rPr>
        <w:t>在具备向中标人发出中标通知书的条件之后，招标人和招标代理机构将向未中标人发出“中标结果通知书”（或“未中标通知书”，下同），在未发生招标文件规定的招标人和（或）招标代理机构有权不退还投标保证金的情况时，未中标人应按下列方式办理投标保证金退还手续：</w:t>
      </w:r>
    </w:p>
    <w:p>
      <w:pPr>
        <w:rPr>
          <w:rFonts w:hint="eastAsia"/>
          <w:color w:val="000000"/>
          <w:highlight w:val="none"/>
        </w:rPr>
      </w:pPr>
      <w:r>
        <w:rPr>
          <w:rFonts w:hint="eastAsia"/>
          <w:color w:val="000000"/>
          <w:highlight w:val="none"/>
        </w:rPr>
        <w:t>（1）</w:t>
      </w:r>
      <w:r>
        <w:rPr>
          <w:rFonts w:hint="eastAsia"/>
          <w:color w:val="000000"/>
          <w:highlight w:val="none"/>
        </w:rPr>
        <w:tab/>
      </w:r>
      <w:r>
        <w:rPr>
          <w:rFonts w:hint="eastAsia"/>
          <w:color w:val="000000"/>
          <w:highlight w:val="none"/>
        </w:rPr>
        <w:t>在收到“中标结果通知书”后马上填写“中标结果通知书回执”，并在加盖公章后尽快以扫描邮件方式或传真发给招标代理机构的项目负责人。</w:t>
      </w:r>
    </w:p>
    <w:p>
      <w:pPr>
        <w:rPr>
          <w:rFonts w:hint="eastAsia"/>
          <w:color w:val="000000"/>
          <w:highlight w:val="none"/>
        </w:rPr>
      </w:pPr>
      <w:r>
        <w:rPr>
          <w:rFonts w:hint="eastAsia"/>
          <w:color w:val="000000"/>
          <w:highlight w:val="none"/>
        </w:rPr>
        <w:t>（2）</w:t>
      </w:r>
      <w:r>
        <w:rPr>
          <w:rFonts w:hint="eastAsia"/>
          <w:color w:val="000000"/>
          <w:highlight w:val="none"/>
        </w:rPr>
        <w:tab/>
      </w:r>
      <w:r>
        <w:rPr>
          <w:rFonts w:hint="eastAsia"/>
          <w:color w:val="000000"/>
          <w:highlight w:val="none"/>
        </w:rPr>
        <w:t>收到未中标人代表加盖公章的“中标结果通知书回执”后，我公司将办理投标保证金退还手续。</w:t>
      </w:r>
    </w:p>
    <w:p>
      <w:pPr>
        <w:rPr>
          <w:rFonts w:hint="eastAsia"/>
          <w:color w:val="000000"/>
          <w:highlight w:val="none"/>
        </w:rPr>
      </w:pPr>
      <w:r>
        <w:rPr>
          <w:rFonts w:hint="eastAsia"/>
          <w:color w:val="000000"/>
          <w:highlight w:val="none"/>
        </w:rPr>
        <w:t>4.3</w:t>
      </w:r>
      <w:r>
        <w:rPr>
          <w:rFonts w:hint="eastAsia"/>
          <w:color w:val="000000"/>
          <w:highlight w:val="none"/>
        </w:rPr>
        <w:tab/>
      </w:r>
      <w:r>
        <w:rPr>
          <w:rFonts w:hint="eastAsia"/>
          <w:color w:val="000000"/>
          <w:highlight w:val="none"/>
        </w:rPr>
        <w:t>招标代理机构原则上将采用网上支付方式将投标保证金退还到提交该保证金时的汇出银行账户，或者用支票方式退还给“投标保证金收据”中注明的投标人。</w:t>
      </w:r>
    </w:p>
    <w:p>
      <w:pPr>
        <w:rPr>
          <w:rFonts w:hint="eastAsia"/>
          <w:color w:val="000000"/>
          <w:highlight w:val="none"/>
        </w:rPr>
      </w:pPr>
      <w:r>
        <w:rPr>
          <w:rFonts w:hint="eastAsia"/>
          <w:color w:val="000000"/>
          <w:highlight w:val="none"/>
        </w:rPr>
        <w:t>5</w:t>
      </w:r>
      <w:r>
        <w:rPr>
          <w:rFonts w:hint="eastAsia"/>
          <w:color w:val="000000"/>
          <w:highlight w:val="none"/>
        </w:rPr>
        <w:tab/>
      </w:r>
      <w:r>
        <w:rPr>
          <w:rFonts w:hint="eastAsia"/>
          <w:color w:val="000000"/>
          <w:highlight w:val="none"/>
        </w:rPr>
        <w:t>其他</w:t>
      </w:r>
    </w:p>
    <w:p>
      <w:pPr>
        <w:rPr>
          <w:rFonts w:hint="eastAsia"/>
          <w:color w:val="000000"/>
          <w:highlight w:val="none"/>
        </w:rPr>
      </w:pPr>
      <w:r>
        <w:rPr>
          <w:rFonts w:hint="eastAsia"/>
          <w:color w:val="000000"/>
          <w:highlight w:val="none"/>
        </w:rPr>
        <w:t>5.1</w:t>
      </w:r>
      <w:r>
        <w:rPr>
          <w:rFonts w:hint="eastAsia"/>
          <w:color w:val="000000"/>
          <w:highlight w:val="none"/>
        </w:rPr>
        <w:tab/>
      </w:r>
      <w:r>
        <w:rPr>
          <w:rFonts w:hint="eastAsia"/>
          <w:color w:val="000000"/>
          <w:highlight w:val="none"/>
        </w:rPr>
        <w:t>本须知如被具体招标项目的招标文件所引用，即成为该招标文件“投标人须知”的组成部分。如投标人欲对本须知中的相关内容作进一步咨询，可按招标文件“投标人须知”的相关规定以书面形式向招标代理机构提出，也可打电话向招标文件中列明的招标代理机构的项目负责人咨询。</w:t>
      </w:r>
    </w:p>
    <w:p>
      <w:pPr>
        <w:rPr>
          <w:rFonts w:hint="eastAsia"/>
          <w:color w:val="000000"/>
          <w:highlight w:val="none"/>
        </w:rPr>
      </w:pPr>
      <w:r>
        <w:rPr>
          <w:rFonts w:hint="eastAsia"/>
          <w:color w:val="000000"/>
          <w:highlight w:val="none"/>
        </w:rPr>
        <w:t>5.2</w:t>
      </w:r>
      <w:r>
        <w:rPr>
          <w:rFonts w:hint="eastAsia"/>
          <w:color w:val="000000"/>
          <w:highlight w:val="none"/>
        </w:rPr>
        <w:tab/>
      </w:r>
      <w:r>
        <w:rPr>
          <w:rFonts w:hint="eastAsia"/>
          <w:color w:val="000000"/>
          <w:highlight w:val="none"/>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招标文件”应理解为“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pPr>
        <w:rPr>
          <w:rFonts w:hint="eastAsia"/>
          <w:color w:val="000000"/>
          <w:highlight w:val="none"/>
        </w:rPr>
      </w:pPr>
      <w:r>
        <w:rPr>
          <w:rFonts w:hint="eastAsia"/>
          <w:color w:val="000000"/>
          <w:highlight w:val="none"/>
        </w:rPr>
        <w:t>5.3</w:t>
      </w:r>
      <w:r>
        <w:rPr>
          <w:rFonts w:hint="eastAsia"/>
          <w:color w:val="000000"/>
          <w:highlight w:val="none"/>
        </w:rPr>
        <w:tab/>
      </w:r>
      <w:r>
        <w:rPr>
          <w:rFonts w:hint="eastAsia"/>
          <w:color w:val="000000"/>
          <w:highlight w:val="none"/>
        </w:rPr>
        <w:t>对于因不可抗力等原因导致投标保证金未及时到账等情况，招标人和招标代理机构不承担任何责任。</w:t>
      </w:r>
    </w:p>
    <w:p>
      <w:pPr>
        <w:rPr>
          <w:rFonts w:hint="eastAsia"/>
          <w:color w:val="000000"/>
          <w:highlight w:val="none"/>
        </w:rPr>
      </w:pPr>
    </w:p>
    <w:p>
      <w:pPr>
        <w:rPr>
          <w:color w:val="000000"/>
          <w:highlight w:val="none"/>
        </w:rPr>
      </w:pPr>
      <w:r>
        <w:rPr>
          <w:color w:val="000000"/>
          <w:highlight w:val="none"/>
        </w:rPr>
        <w:br w:type="page"/>
      </w:r>
      <w:r>
        <w:rPr>
          <w:color w:val="000000"/>
          <w:highlight w:val="none"/>
        </w:rPr>
        <w:t>附件2：</w:t>
      </w:r>
      <w:bookmarkStart w:id="580" w:name="_Toc418627063"/>
    </w:p>
    <w:p>
      <w:pPr>
        <w:pStyle w:val="82"/>
        <w:rPr>
          <w:rFonts w:ascii="Times New Roman"/>
          <w:color w:val="000000"/>
          <w:highlight w:val="none"/>
        </w:rPr>
      </w:pPr>
      <w:bookmarkStart w:id="581" w:name="_Toc495406858"/>
      <w:bookmarkStart w:id="582" w:name="_Toc19517"/>
      <w:bookmarkStart w:id="583" w:name="_Toc503130728"/>
      <w:bookmarkStart w:id="584" w:name="_Toc495398005"/>
      <w:bookmarkStart w:id="585" w:name="_Toc503130789"/>
      <w:bookmarkStart w:id="586" w:name="_Toc491700925"/>
      <w:bookmarkStart w:id="587" w:name="_Toc495398055"/>
      <w:r>
        <w:rPr>
          <w:rFonts w:hint="eastAsia" w:ascii="Times New Roman"/>
          <w:color w:val="000000"/>
          <w:highlight w:val="none"/>
        </w:rPr>
        <w:t>招标代理机构</w:t>
      </w:r>
      <w:r>
        <w:rPr>
          <w:rFonts w:ascii="Times New Roman"/>
          <w:color w:val="000000"/>
          <w:highlight w:val="none"/>
        </w:rPr>
        <w:t>从业人员廉洁自律承诺</w:t>
      </w:r>
      <w:bookmarkEnd w:id="580"/>
      <w:bookmarkEnd w:id="581"/>
      <w:bookmarkEnd w:id="582"/>
      <w:bookmarkEnd w:id="583"/>
      <w:bookmarkEnd w:id="584"/>
      <w:bookmarkEnd w:id="585"/>
      <w:bookmarkEnd w:id="586"/>
      <w:bookmarkEnd w:id="587"/>
    </w:p>
    <w:p>
      <w:pPr>
        <w:pStyle w:val="12"/>
        <w:rPr>
          <w:color w:val="000000"/>
          <w:highlight w:val="none"/>
        </w:rPr>
      </w:pPr>
      <w:r>
        <w:rPr>
          <w:color w:val="000000"/>
          <w:highlight w:val="none"/>
        </w:rPr>
        <w:t>为了加强公司的廉政建设，规范从业人员的代理行为，充分体现公开、公平、公正和诚实信用的原则，确保公司代理的各类项目均能依法、合规地进行操作，防止出现违法、违纪行为，特对制定本廉洁自律承诺。</w:t>
      </w:r>
    </w:p>
    <w:p>
      <w:pPr>
        <w:pStyle w:val="12"/>
        <w:rPr>
          <w:color w:val="000000"/>
          <w:highlight w:val="none"/>
        </w:rPr>
      </w:pPr>
      <w:r>
        <w:rPr>
          <w:color w:val="000000"/>
          <w:highlight w:val="none"/>
        </w:rPr>
        <w:t>本廉洁自律承诺将在公司代理的每个招标或采购项目的招标文件或采购文件中予以公布，以接受招投标或采购活动有关当事人（包括监管部门、招标人、评标专家、投标人、供应商等，下同）的监督。</w:t>
      </w:r>
    </w:p>
    <w:p>
      <w:pPr>
        <w:pStyle w:val="12"/>
        <w:rPr>
          <w:color w:val="000000"/>
          <w:highlight w:val="none"/>
        </w:rPr>
      </w:pPr>
      <w:r>
        <w:rPr>
          <w:color w:val="000000"/>
          <w:highlight w:val="none"/>
        </w:rPr>
        <w:t>公司所有从业人员在招标及采购代理工作中须自觉遵守下列规定：</w:t>
      </w:r>
    </w:p>
    <w:p>
      <w:pPr>
        <w:pStyle w:val="12"/>
        <w:rPr>
          <w:color w:val="000000"/>
          <w:highlight w:val="none"/>
        </w:rPr>
      </w:pPr>
      <w:r>
        <w:rPr>
          <w:color w:val="000000"/>
          <w:highlight w:val="none"/>
        </w:rPr>
        <w:t>（1）</w:t>
      </w:r>
      <w:r>
        <w:rPr>
          <w:color w:val="000000"/>
          <w:highlight w:val="none"/>
        </w:rPr>
        <w:tab/>
      </w:r>
      <w:r>
        <w:rPr>
          <w:color w:val="000000"/>
          <w:highlight w:val="none"/>
        </w:rPr>
        <w:t>不索取或接受招标人、投标人、供应商或其他利害关系人馈赠的现金、礼品、礼物、有价证券及其它财物等，无法拒绝的一律上缴。</w:t>
      </w:r>
    </w:p>
    <w:p>
      <w:pPr>
        <w:pStyle w:val="12"/>
        <w:rPr>
          <w:color w:val="000000"/>
          <w:highlight w:val="none"/>
        </w:rPr>
      </w:pPr>
      <w:r>
        <w:rPr>
          <w:color w:val="000000"/>
          <w:highlight w:val="none"/>
        </w:rPr>
        <w:t>（2）</w:t>
      </w:r>
      <w:r>
        <w:rPr>
          <w:color w:val="000000"/>
          <w:highlight w:val="none"/>
        </w:rPr>
        <w:tab/>
      </w:r>
      <w:r>
        <w:rPr>
          <w:color w:val="000000"/>
          <w:highlight w:val="none"/>
        </w:rPr>
        <w:t>不要求投标人、供应商或其他利害关系人报销应由个人或公司支付的各类费用。</w:t>
      </w:r>
    </w:p>
    <w:p>
      <w:pPr>
        <w:pStyle w:val="12"/>
        <w:rPr>
          <w:color w:val="000000"/>
          <w:highlight w:val="none"/>
        </w:rPr>
      </w:pPr>
      <w:r>
        <w:rPr>
          <w:color w:val="000000"/>
          <w:highlight w:val="none"/>
        </w:rPr>
        <w:t>（3）</w:t>
      </w:r>
      <w:r>
        <w:rPr>
          <w:color w:val="000000"/>
          <w:highlight w:val="none"/>
        </w:rPr>
        <w:tab/>
      </w:r>
      <w:r>
        <w:rPr>
          <w:color w:val="000000"/>
          <w:highlight w:val="none"/>
        </w:rPr>
        <w:t>不接受投标人、供应商或其他利害关系人安排的宴请、旅游、娱乐或其他有悖于法律规定和职业道德的各种活动。</w:t>
      </w:r>
    </w:p>
    <w:p>
      <w:pPr>
        <w:pStyle w:val="12"/>
        <w:rPr>
          <w:color w:val="000000"/>
          <w:highlight w:val="none"/>
        </w:rPr>
      </w:pPr>
      <w:r>
        <w:rPr>
          <w:color w:val="000000"/>
          <w:highlight w:val="none"/>
        </w:rPr>
        <w:t>（4）</w:t>
      </w:r>
      <w:r>
        <w:rPr>
          <w:color w:val="000000"/>
          <w:highlight w:val="none"/>
        </w:rPr>
        <w:tab/>
      </w:r>
      <w:r>
        <w:rPr>
          <w:color w:val="000000"/>
          <w:highlight w:val="none"/>
        </w:rPr>
        <w:t>除招标人之外，在投标截止期（包括提交谈判响应文件及报价文件的截止期）之前不对外泄露潜在投标人或供应商的名称及数量；除依法公示评标结果或发出有关通知之外，不对外泄露资格审查及评标情况，保守有关当事人的商业秘密。</w:t>
      </w:r>
    </w:p>
    <w:p>
      <w:pPr>
        <w:pStyle w:val="12"/>
        <w:rPr>
          <w:color w:val="000000"/>
          <w:highlight w:val="none"/>
        </w:rPr>
      </w:pPr>
      <w:r>
        <w:rPr>
          <w:color w:val="000000"/>
          <w:highlight w:val="none"/>
        </w:rPr>
        <w:t>（5）</w:t>
      </w:r>
      <w:r>
        <w:rPr>
          <w:color w:val="000000"/>
          <w:highlight w:val="none"/>
        </w:rPr>
        <w:tab/>
      </w:r>
      <w:r>
        <w:rPr>
          <w:color w:val="000000"/>
          <w:highlight w:val="none"/>
        </w:rPr>
        <w:t>不与招标人或投标人串通，搞虚假招标，或者协助投标人、供应商作假、作弊、串标、陪标或围标等。</w:t>
      </w:r>
    </w:p>
    <w:p>
      <w:pPr>
        <w:pStyle w:val="12"/>
        <w:rPr>
          <w:color w:val="000000"/>
          <w:highlight w:val="none"/>
        </w:rPr>
      </w:pPr>
      <w:r>
        <w:rPr>
          <w:color w:val="000000"/>
          <w:highlight w:val="none"/>
        </w:rPr>
        <w:t>（6）</w:t>
      </w:r>
      <w:r>
        <w:rPr>
          <w:color w:val="000000"/>
          <w:highlight w:val="none"/>
        </w:rPr>
        <w:tab/>
      </w:r>
      <w:r>
        <w:rPr>
          <w:color w:val="000000"/>
          <w:highlight w:val="none"/>
        </w:rPr>
        <w:t>除支付合理评审费之外，不向评标专家提供其他财物或好处以影响或干扰其独立、客观和公正地履行评标职责。</w:t>
      </w:r>
    </w:p>
    <w:p>
      <w:pPr>
        <w:pStyle w:val="12"/>
        <w:rPr>
          <w:color w:val="000000"/>
          <w:highlight w:val="none"/>
        </w:rPr>
      </w:pPr>
      <w:r>
        <w:rPr>
          <w:color w:val="000000"/>
          <w:highlight w:val="none"/>
        </w:rPr>
        <w:t>（7）</w:t>
      </w:r>
      <w:r>
        <w:rPr>
          <w:color w:val="000000"/>
          <w:highlight w:val="none"/>
        </w:rPr>
        <w:tab/>
      </w:r>
      <w:r>
        <w:rPr>
          <w:color w:val="000000"/>
          <w:highlight w:val="none"/>
        </w:rPr>
        <w:t>严格遵守有关法律、法规和规章，自觉接受有关当事人及社会的监督。</w:t>
      </w:r>
    </w:p>
    <w:p>
      <w:pPr>
        <w:pStyle w:val="12"/>
        <w:rPr>
          <w:color w:val="000000"/>
          <w:highlight w:val="none"/>
        </w:rPr>
      </w:pPr>
      <w:r>
        <w:rPr>
          <w:color w:val="000000"/>
          <w:highlight w:val="none"/>
        </w:rPr>
        <w:t>（8）</w:t>
      </w:r>
      <w:r>
        <w:rPr>
          <w:color w:val="000000"/>
          <w:highlight w:val="none"/>
        </w:rPr>
        <w:tab/>
      </w:r>
      <w:r>
        <w:rPr>
          <w:color w:val="000000"/>
          <w:highlight w:val="none"/>
        </w:rPr>
        <w:t>积极配合有关监管部门采取的对各类违法、违规行为的调查和处理。如公司人员有违反上述规定行为，有关当事人均可向公司反映，或直接向有关监管部门或纪检、监察部门举报。</w:t>
      </w:r>
    </w:p>
    <w:p>
      <w:pPr>
        <w:pStyle w:val="12"/>
        <w:rPr>
          <w:color w:val="000000"/>
          <w:highlight w:val="none"/>
        </w:rPr>
      </w:pPr>
      <w:r>
        <w:rPr>
          <w:color w:val="000000"/>
          <w:highlight w:val="none"/>
        </w:rPr>
        <w:t>公司监督电话：</w:t>
      </w:r>
      <w:r>
        <w:rPr>
          <w:rFonts w:hint="eastAsia"/>
          <w:color w:val="000000"/>
          <w:highlight w:val="none"/>
        </w:rPr>
        <w:t>021-33312773</w:t>
      </w:r>
      <w:r>
        <w:rPr>
          <w:color w:val="000000"/>
          <w:highlight w:val="none"/>
        </w:rPr>
        <w:t xml:space="preserve">    ，传真：</w:t>
      </w:r>
      <w:r>
        <w:rPr>
          <w:rFonts w:hint="eastAsia"/>
          <w:color w:val="000000"/>
          <w:highlight w:val="none"/>
        </w:rPr>
        <w:t>021-33312773*809</w:t>
      </w:r>
    </w:p>
    <w:p>
      <w:pPr>
        <w:pStyle w:val="12"/>
        <w:wordWrap w:val="0"/>
        <w:jc w:val="right"/>
        <w:rPr>
          <w:rFonts w:hint="eastAsia"/>
          <w:color w:val="000000"/>
          <w:highlight w:val="none"/>
        </w:rPr>
      </w:pPr>
    </w:p>
    <w:p>
      <w:pPr>
        <w:pStyle w:val="12"/>
        <w:wordWrap w:val="0"/>
        <w:jc w:val="right"/>
        <w:rPr>
          <w:rFonts w:hint="eastAsia"/>
          <w:color w:val="000000"/>
          <w:highlight w:val="none"/>
        </w:rPr>
      </w:pPr>
      <w:r>
        <w:rPr>
          <w:rFonts w:hint="eastAsia"/>
          <w:color w:val="000000"/>
          <w:highlight w:val="none"/>
        </w:rPr>
        <w:t>招标代理机构名称：上海银鑫建设咨询有限公司</w:t>
      </w:r>
    </w:p>
    <w:p>
      <w:pPr>
        <w:rPr>
          <w:color w:val="000000"/>
          <w:highlight w:val="none"/>
        </w:rPr>
      </w:pPr>
    </w:p>
    <w:p>
      <w:pPr>
        <w:rPr>
          <w:color w:val="000000"/>
          <w:highlight w:val="none"/>
        </w:rPr>
        <w:sectPr>
          <w:footerReference r:id="rId20" w:type="first"/>
          <w:footerReference r:id="rId19" w:type="default"/>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pPr>
    </w:p>
    <w:p>
      <w:pPr>
        <w:rPr>
          <w:color w:val="000000"/>
          <w:highlight w:val="none"/>
        </w:rPr>
      </w:pPr>
      <w:bookmarkStart w:id="588" w:name="_Toc434897194"/>
    </w:p>
    <w:p>
      <w:pPr>
        <w:rPr>
          <w:color w:val="000000"/>
          <w:highlight w:val="none"/>
        </w:rPr>
      </w:pPr>
    </w:p>
    <w:p>
      <w:pPr>
        <w:rPr>
          <w:color w:val="000000"/>
          <w:highlight w:val="none"/>
        </w:rPr>
      </w:pPr>
    </w:p>
    <w:p>
      <w:pPr>
        <w:rPr>
          <w:color w:val="000000"/>
          <w:highlight w:val="none"/>
        </w:rPr>
      </w:pPr>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hint="eastAsia" w:eastAsia="楷体"/>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589" w:name="_Toc503130325"/>
      <w:r>
        <w:rPr>
          <w:rFonts w:ascii="Times New Roman" w:hAnsi="Times New Roman"/>
          <w:color w:val="000000"/>
          <w:highlight w:val="none"/>
        </w:rPr>
        <w:t xml:space="preserve">第二章  </w:t>
      </w:r>
      <w:r>
        <w:rPr>
          <w:rFonts w:hint="eastAsia" w:ascii="Times New Roman" w:hAnsi="Times New Roman"/>
          <w:color w:val="000000"/>
          <w:highlight w:val="none"/>
        </w:rPr>
        <w:t>采购</w:t>
      </w:r>
      <w:r>
        <w:rPr>
          <w:rFonts w:ascii="Times New Roman" w:hAnsi="Times New Roman"/>
          <w:color w:val="000000"/>
          <w:highlight w:val="none"/>
        </w:rPr>
        <w:t>需求一览表</w:t>
      </w:r>
      <w:bookmarkEnd w:id="589"/>
    </w:p>
    <w:bookmarkEnd w:id="588"/>
    <w:p>
      <w:pPr>
        <w:pStyle w:val="82"/>
        <w:rPr>
          <w:rFonts w:ascii="Times New Roman"/>
          <w:color w:val="000000"/>
          <w:highlight w:val="none"/>
        </w:rPr>
      </w:pPr>
      <w:r>
        <w:rPr>
          <w:rFonts w:ascii="Times New Roman"/>
          <w:color w:val="000000"/>
          <w:highlight w:val="none"/>
        </w:rPr>
        <w:br w:type="page"/>
      </w:r>
      <w:bookmarkStart w:id="590" w:name="_Toc503130398"/>
      <w:bookmarkStart w:id="591" w:name="_Toc2063847"/>
      <w:bookmarkStart w:id="592" w:name="_Toc8343724"/>
      <w:bookmarkStart w:id="593" w:name="_Toc389457475"/>
      <w:bookmarkStart w:id="594" w:name="_Toc2063716"/>
      <w:bookmarkStart w:id="595" w:name="_Toc301765386"/>
      <w:bookmarkStart w:id="596" w:name="_Toc2063944"/>
      <w:bookmarkStart w:id="597" w:name="_Toc13840"/>
      <w:bookmarkStart w:id="598" w:name="_Toc2063976"/>
      <w:bookmarkStart w:id="599" w:name="_Toc495398056"/>
      <w:bookmarkStart w:id="600" w:name="_Toc389465262"/>
      <w:bookmarkStart w:id="601" w:name="_Toc503130790"/>
      <w:bookmarkStart w:id="602" w:name="_Toc503130729"/>
      <w:bookmarkStart w:id="603" w:name="_Toc495406859"/>
      <w:bookmarkStart w:id="604" w:name="_Toc450211753"/>
      <w:bookmarkStart w:id="605" w:name="_Toc495398006"/>
      <w:bookmarkStart w:id="606" w:name="_Toc5116259"/>
      <w:bookmarkStart w:id="607" w:name="_Toc302374158"/>
      <w:bookmarkStart w:id="608" w:name="_Toc512602440"/>
      <w:bookmarkStart w:id="609" w:name="_Toc389653547"/>
      <w:bookmarkStart w:id="610" w:name="_Toc491700926"/>
      <w:bookmarkStart w:id="611" w:name="_Toc2063591"/>
      <w:r>
        <w:rPr>
          <w:rFonts w:hint="eastAsia" w:ascii="Times New Roman"/>
          <w:color w:val="000000"/>
          <w:highlight w:val="none"/>
        </w:rPr>
        <w:t>采购</w:t>
      </w:r>
      <w:r>
        <w:rPr>
          <w:rFonts w:ascii="Times New Roman"/>
          <w:color w:val="000000"/>
          <w:highlight w:val="none"/>
        </w:rPr>
        <w:t>需求一览表</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p>
    <w:p>
      <w:pPr>
        <w:numPr>
          <w:ilvl w:val="0"/>
          <w:numId w:val="7"/>
        </w:numPr>
        <w:snapToGrid w:val="0"/>
        <w:spacing w:before="120" w:beforeLines="50" w:after="120" w:afterLines="50" w:line="240" w:lineRule="auto"/>
        <w:outlineLvl w:val="0"/>
        <w:rPr>
          <w:rFonts w:ascii="Times New Roman" w:hAnsi="Times New Roman" w:eastAsia="宋体" w:cs="Times New Roman"/>
          <w:b/>
          <w:bCs/>
          <w:color w:val="000000"/>
          <w:kern w:val="44"/>
          <w:szCs w:val="24"/>
          <w:highlight w:val="none"/>
        </w:rPr>
      </w:pPr>
      <w:r>
        <w:rPr>
          <w:rFonts w:hint="eastAsia" w:ascii="Times New Roman" w:hAnsi="宋体" w:eastAsia="宋体" w:cs="Times New Roman"/>
          <w:b/>
          <w:bCs/>
          <w:color w:val="000000"/>
          <w:kern w:val="44"/>
          <w:szCs w:val="24"/>
          <w:highlight w:val="none"/>
        </w:rPr>
        <w:t>项目概况</w:t>
      </w:r>
      <w:r>
        <w:rPr>
          <w:rFonts w:hint="eastAsia" w:ascii="Times New Roman" w:hAnsi="宋体" w:eastAsia="宋体" w:cs="Times New Roman"/>
          <w:b/>
          <w:bCs/>
          <w:color w:val="000000"/>
          <w:kern w:val="44"/>
          <w:szCs w:val="24"/>
          <w:highlight w:val="none"/>
          <w:lang w:eastAsia="zh-CN"/>
        </w:rPr>
        <w:t>：</w:t>
      </w:r>
    </w:p>
    <w:p>
      <w:pPr>
        <w:pStyle w:val="82"/>
        <w:spacing w:before="0" w:after="0" w:line="360" w:lineRule="auto"/>
        <w:ind w:firstLine="480" w:firstLineChars="200"/>
        <w:jc w:val="left"/>
        <w:rPr>
          <w:rFonts w:hint="eastAsia" w:ascii="Times New Roman" w:hAnsi="宋体" w:eastAsia="宋体" w:cs="Times New Roman"/>
          <w:color w:val="000000"/>
          <w:sz w:val="24"/>
          <w:szCs w:val="24"/>
          <w:highlight w:val="none"/>
        </w:rPr>
      </w:pPr>
      <w:r>
        <w:rPr>
          <w:rFonts w:hint="eastAsia" w:ascii="Times New Roman" w:hAnsi="宋体" w:eastAsia="宋体" w:cs="Times New Roman"/>
          <w:color w:val="000000"/>
          <w:sz w:val="24"/>
          <w:szCs w:val="24"/>
          <w:highlight w:val="none"/>
        </w:rPr>
        <w:t>本次遮阳系统招标采购包含手动布帘（包括轨道、布帘、挂钩、绑带、安装配件等）、手动卷帘（包括制头、尾插、卷管、面料、拉珠、安装配件等）及电动卷帘（包括电机、卷管、面料、安装配件、控制系统）及相关配套设施的供货及安装，包括遮阳系统设备优化设计、材料送检、供货、运输及安装、调试、培训、验收、质保期内免费维修保养等。投标方提供的系统必须是一个完整的系统，除本招标文件中所明确列出的要求外，凡系统正常运行具备的功能和设备及配件，均应包括在本项目范围中。预埋管线不在本次采购范围内。</w:t>
      </w:r>
    </w:p>
    <w:p>
      <w:pPr>
        <w:numPr>
          <w:ilvl w:val="0"/>
          <w:numId w:val="7"/>
        </w:numPr>
        <w:snapToGrid w:val="0"/>
        <w:spacing w:before="120" w:beforeLines="50" w:after="120" w:afterLines="50" w:line="240" w:lineRule="auto"/>
        <w:outlineLvl w:val="0"/>
        <w:rPr>
          <w:rFonts w:hint="eastAsia" w:ascii="Times New Roman" w:hAnsi="宋体" w:eastAsia="宋体" w:cs="Times New Roman"/>
          <w:b/>
          <w:bCs/>
          <w:color w:val="000000"/>
          <w:kern w:val="44"/>
          <w:szCs w:val="24"/>
          <w:highlight w:val="none"/>
        </w:rPr>
      </w:pPr>
      <w:r>
        <w:rPr>
          <w:rFonts w:hint="eastAsia" w:ascii="Times New Roman" w:hAnsi="宋体" w:eastAsia="宋体" w:cs="Times New Roman"/>
          <w:b/>
          <w:bCs/>
          <w:color w:val="000000"/>
          <w:kern w:val="44"/>
          <w:sz w:val="24"/>
          <w:szCs w:val="24"/>
          <w:highlight w:val="none"/>
          <w:lang w:eastAsia="zh-CN"/>
        </w:rPr>
        <w:t>采购需求清单：</w:t>
      </w:r>
    </w:p>
    <w:tbl>
      <w:tblPr>
        <w:tblStyle w:val="33"/>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2125"/>
        <w:gridCol w:w="1080"/>
        <w:gridCol w:w="1080"/>
        <w:gridCol w:w="1080"/>
        <w:gridCol w:w="987"/>
        <w:gridCol w:w="1018"/>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楼层</w:t>
            </w:r>
          </w:p>
        </w:tc>
        <w:tc>
          <w:tcPr>
            <w:tcW w:w="212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区域</w:t>
            </w:r>
          </w:p>
        </w:tc>
        <w:tc>
          <w:tcPr>
            <w:tcW w:w="108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型号</w:t>
            </w:r>
          </w:p>
        </w:tc>
        <w:tc>
          <w:tcPr>
            <w:tcW w:w="2160" w:type="dxa"/>
            <w:gridSpan w:val="2"/>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尺寸/规格（m）</w:t>
            </w:r>
          </w:p>
        </w:tc>
        <w:tc>
          <w:tcPr>
            <w:tcW w:w="987"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套数</w:t>
            </w:r>
          </w:p>
        </w:tc>
        <w:tc>
          <w:tcPr>
            <w:tcW w:w="1018"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数量</w:t>
            </w:r>
          </w:p>
        </w:tc>
        <w:tc>
          <w:tcPr>
            <w:tcW w:w="1034"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c>
          <w:tcPr>
            <w:tcW w:w="2125"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c>
          <w:tcPr>
            <w:tcW w:w="1080"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c>
          <w:tcPr>
            <w:tcW w:w="1080"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宽</w:t>
            </w:r>
          </w:p>
        </w:tc>
        <w:tc>
          <w:tcPr>
            <w:tcW w:w="1080"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高</w:t>
            </w:r>
          </w:p>
        </w:tc>
        <w:tc>
          <w:tcPr>
            <w:tcW w:w="987"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c>
          <w:tcPr>
            <w:tcW w:w="1018"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c>
          <w:tcPr>
            <w:tcW w:w="1034" w:type="dxa"/>
            <w:vMerge w:val="continue"/>
            <w:noWrap w:val="0"/>
            <w:vAlign w:val="center"/>
          </w:tcPr>
          <w:p>
            <w:pPr>
              <w:widowControl/>
              <w:snapToGrid w:val="0"/>
              <w:spacing w:line="240" w:lineRule="auto"/>
              <w:jc w:val="center"/>
              <w:rPr>
                <w:rFonts w:hint="eastAsia" w:ascii="宋体" w:hAnsi="宋体" w:cs="宋体"/>
                <w:color w:val="000000"/>
                <w:sz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教师办公室</w:t>
            </w:r>
          </w:p>
        </w:tc>
        <w:tc>
          <w:tcPr>
            <w:tcW w:w="1080"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手动卷帘-透景</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12.75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三层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12.75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四层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8.50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五层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设备机房与硬件制作</w:t>
            </w:r>
            <w:r>
              <w:rPr>
                <w:rFonts w:hint="eastAsia" w:ascii="宋体" w:hAnsi="宋体" w:eastAsia="宋体" w:cs="宋体"/>
                <w:color w:val="000000"/>
                <w:sz w:val="20"/>
                <w:highlight w:val="none"/>
                <w:lang w:val="en-US" w:eastAsia="zh-CN" w:bidi="ar"/>
              </w:rPr>
              <w:t>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教室办公室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办公室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学生自主创新</w:t>
            </w:r>
            <w:r>
              <w:rPr>
                <w:rFonts w:hint="eastAsia" w:ascii="宋体" w:hAnsi="宋体" w:eastAsia="宋体" w:cs="宋体"/>
                <w:color w:val="000000"/>
                <w:sz w:val="20"/>
                <w:highlight w:val="none"/>
                <w:lang w:val="en-US" w:eastAsia="zh-CN" w:bidi="ar"/>
              </w:rPr>
              <w:t>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eastAsia="zh-CN" w:bidi="ar"/>
              </w:rPr>
            </w:pPr>
            <w:r>
              <w:rPr>
                <w:rFonts w:hint="default" w:ascii="宋体" w:hAnsi="宋体" w:eastAsia="宋体" w:cs="宋体"/>
                <w:color w:val="000000"/>
                <w:sz w:val="20"/>
                <w:highlight w:val="none"/>
                <w:lang w:val="en-US" w:eastAsia="zh-CN" w:bidi="ar"/>
              </w:rPr>
              <w:t>教室办公室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12.75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一层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动物细胞室</w:t>
            </w:r>
          </w:p>
        </w:tc>
        <w:tc>
          <w:tcPr>
            <w:tcW w:w="1080"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手动卷帘-遮光</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储能交叉预留实验室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14.28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诺奖与光学实验室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激光原理与应用实验室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数控综合制造实验室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4</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光机电集成实验室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4</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激光加工与3D打印实验室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光纤陀螺实验室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驱动控制实验室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体验区</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二层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交叉预留实验室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医疗器械实验室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r>
              <w:rPr>
                <w:rFonts w:hint="default" w:ascii="宋体" w:hAnsi="宋体" w:eastAsia="宋体" w:cs="宋体"/>
                <w:color w:val="000000"/>
                <w:sz w:val="20"/>
                <w:highlight w:val="none"/>
                <w:lang w:val="en-US" w:eastAsia="zh-CN" w:bidi="ar"/>
              </w:rPr>
              <w:t>医工交叉预留实验室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学生自主开发创新实验室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数值模拟实验室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987"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3</w:t>
            </w:r>
          </w:p>
        </w:tc>
        <w:tc>
          <w:tcPr>
            <w:tcW w:w="101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16.17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心血管器械实验室</w:t>
            </w:r>
          </w:p>
        </w:tc>
        <w:tc>
          <w:tcPr>
            <w:tcW w:w="1080"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手动卷帘-遮光</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骨科器械实验室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认知体验馆</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1.585</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15.45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三层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新工科预留实验室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大气化学实验室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大气物理实验室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物理海洋实验室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5.39</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未来技术学院预留实验室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9</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公共多功能会议室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天气预报实验室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16.17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海洋调查实验室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大气探测实验室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四层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光电材料生长与制备实验室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光学精密加工与检测实验室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光电薄膜实验室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更衣室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4.25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五层</w:t>
            </w: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电磁场与微波实验室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光通信与网络实验室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软件无线电实验室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计算机网络实验室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80"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一层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激光雷达实验室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机器视觉实验室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光源与照明基础实验室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光电测量基础实验室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一层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植物实验室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样品准备室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激光加工与3D打印实验室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应用光学基础实验室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12.48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92.40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30.84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24.00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24.00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近代光学基础实验室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12.48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51.60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激光原理与技术基础实验室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12.48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51.60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激光原理与技术基础实验室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光源与照明基础实验室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72.00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22.86</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92.40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31.14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光电测量基础实验室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37.60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三层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仪器设备标定室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四层</w:t>
            </w: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信息光学实验室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12.48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51.60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红外与太赫兹实验室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激光技术与精密光谱实验室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光电通讯与传感实验室</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34.40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12.48</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68.80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80"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w:t>
            </w:r>
          </w:p>
        </w:tc>
        <w:tc>
          <w:tcPr>
            <w:tcW w:w="1018" w:type="dxa"/>
            <w:noWrap w:val="0"/>
            <w:vAlign w:val="center"/>
          </w:tcPr>
          <w:p>
            <w:pPr>
              <w:widowControl/>
              <w:snapToGrid w:val="0"/>
              <w:spacing w:line="240" w:lineRule="auto"/>
              <w:jc w:val="center"/>
              <w:textAlignment w:val="center"/>
              <w:rPr>
                <w:rFonts w:hint="default"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23.20</w:t>
            </w:r>
          </w:p>
        </w:tc>
        <w:tc>
          <w:tcPr>
            <w:tcW w:w="1034" w:type="dxa"/>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17.20</w:t>
            </w:r>
          </w:p>
        </w:tc>
        <w:tc>
          <w:tcPr>
            <w:tcW w:w="0" w:type="auto"/>
            <w:noWrap w:val="0"/>
            <w:vAlign w:val="center"/>
          </w:tcPr>
          <w:p>
            <w:pPr>
              <w:widowControl/>
              <w:snapToGrid w:val="0"/>
              <w:spacing w:line="240" w:lineRule="auto"/>
              <w:jc w:val="center"/>
              <w:textAlignment w:val="center"/>
              <w:rPr>
                <w:rFonts w:hint="eastAsia" w:ascii="宋体" w:hAnsi="宋体" w:cs="宋体"/>
                <w:color w:val="000000"/>
                <w:sz w:val="20"/>
                <w:highlight w:val="none"/>
                <w:lang w:val="en-US" w:eastAsia="zh-CN" w:bidi="ar-SA"/>
              </w:rPr>
            </w:pPr>
            <w:r>
              <w:rPr>
                <w:rFonts w:hint="eastAsia" w:ascii="宋体" w:hAnsi="宋体" w:cs="宋体"/>
                <w:color w:val="000000"/>
                <w:sz w:val="20"/>
                <w:highlight w:val="none"/>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53"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2125" w:type="dxa"/>
            <w:vMerge w:val="continue"/>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8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98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w:t>
            </w:r>
          </w:p>
        </w:tc>
        <w:tc>
          <w:tcPr>
            <w:tcW w:w="101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w:t>
            </w:r>
          </w:p>
        </w:tc>
        <w:tc>
          <w:tcPr>
            <w:tcW w:w="0" w:type="auto"/>
            <w:noWrap w:val="0"/>
            <w:vAlign w:val="center"/>
          </w:tcPr>
          <w:p>
            <w:pPr>
              <w:widowControl/>
              <w:snapToGrid w:val="0"/>
              <w:spacing w:line="240" w:lineRule="auto"/>
              <w:jc w:val="center"/>
              <w:textAlignment w:val="center"/>
              <w:rPr>
                <w:rFonts w:hint="eastAsia" w:ascii="宋体" w:hAnsi="宋体" w:cs="宋体"/>
                <w:color w:val="000000"/>
                <w:sz w:val="20"/>
                <w:highlight w:val="none"/>
                <w:lang w:val="en-US" w:eastAsia="zh-CN" w:bidi="ar-SA"/>
              </w:rPr>
            </w:pPr>
            <w:r>
              <w:rPr>
                <w:rFonts w:hint="eastAsia" w:ascii="宋体" w:hAnsi="宋体" w:cs="宋体"/>
                <w:color w:val="000000"/>
                <w:sz w:val="20"/>
                <w:highlight w:val="none"/>
                <w:lang w:bidi="ar"/>
              </w:rPr>
              <w:t>m</w:t>
            </w:r>
          </w:p>
        </w:tc>
      </w:tr>
    </w:tbl>
    <w:p>
      <w:pPr>
        <w:rPr>
          <w:b/>
          <w:color w:val="000000"/>
          <w:highlight w:val="none"/>
        </w:rPr>
      </w:pPr>
      <w:r>
        <w:rPr>
          <w:b/>
          <w:color w:val="000000"/>
          <w:highlight w:val="none"/>
        </w:rPr>
        <w:t>注：</w:t>
      </w:r>
      <w:r>
        <w:rPr>
          <w:rFonts w:hint="eastAsia"/>
          <w:b/>
          <w:color w:val="000000"/>
          <w:highlight w:val="none"/>
        </w:rPr>
        <w:t>投标人的投标报价均不得超过对应的预算金额或最高限价。若投标人的任意一项投标报价超过对应的预算金额或最高限价，则评标委员会将对其投标文件做否决处理</w:t>
      </w:r>
      <w:r>
        <w:rPr>
          <w:b/>
          <w:color w:val="000000"/>
          <w:highlight w:val="none"/>
        </w:rPr>
        <w:t>。</w:t>
      </w:r>
    </w:p>
    <w:p>
      <w:pPr>
        <w:rPr>
          <w:color w:val="000000"/>
          <w:highlight w:val="none"/>
        </w:rPr>
        <w:sectPr>
          <w:footerReference r:id="rId22" w:type="first"/>
          <w:footerReference r:id="rId21" w:type="default"/>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pPr>
    </w:p>
    <w:p>
      <w:pPr>
        <w:rPr>
          <w:color w:val="000000"/>
          <w:highlight w:val="none"/>
        </w:rPr>
      </w:pPr>
      <w:bookmarkStart w:id="612" w:name="_Toc434897195"/>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240"/>
        <w:jc w:val="center"/>
        <w:rPr>
          <w:rFonts w:hint="eastAsia" w:eastAsia="楷体"/>
          <w:color w:val="000000"/>
          <w:szCs w:val="22"/>
          <w:highlight w:val="none"/>
        </w:rPr>
      </w:pPr>
    </w:p>
    <w:p>
      <w:pPr>
        <w:rPr>
          <w:color w:val="000000"/>
          <w:highlight w:val="none"/>
        </w:rPr>
      </w:pPr>
    </w:p>
    <w:p>
      <w:pPr>
        <w:rPr>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613" w:name="_Toc503130326"/>
      <w:r>
        <w:rPr>
          <w:rFonts w:ascii="Times New Roman" w:hAnsi="Times New Roman"/>
          <w:color w:val="000000"/>
          <w:highlight w:val="none"/>
        </w:rPr>
        <w:t>第三章  技术规格</w:t>
      </w:r>
      <w:bookmarkEnd w:id="613"/>
    </w:p>
    <w:bookmarkEnd w:id="612"/>
    <w:p>
      <w:pPr>
        <w:tabs>
          <w:tab w:val="center" w:pos="4153"/>
          <w:tab w:val="right" w:pos="8306"/>
        </w:tabs>
        <w:spacing w:before="320" w:after="160" w:line="240" w:lineRule="atLeast"/>
        <w:jc w:val="center"/>
        <w:rPr>
          <w:color w:val="000000"/>
          <w:highlight w:val="none"/>
        </w:rPr>
      </w:pPr>
    </w:p>
    <w:p>
      <w:pPr>
        <w:pStyle w:val="82"/>
        <w:rPr>
          <w:rFonts w:ascii="Times New Roman"/>
          <w:color w:val="000000"/>
          <w:highlight w:val="none"/>
        </w:rPr>
      </w:pPr>
      <w:r>
        <w:rPr>
          <w:rFonts w:ascii="Times New Roman"/>
          <w:color w:val="000000"/>
          <w:highlight w:val="none"/>
        </w:rPr>
        <w:br w:type="page"/>
      </w:r>
      <w:bookmarkStart w:id="614" w:name="_Toc479109407"/>
      <w:bookmarkStart w:id="615" w:name="_Toc503130399"/>
      <w:bookmarkStart w:id="616" w:name="_Toc495406860"/>
      <w:bookmarkStart w:id="617" w:name="_Toc479109521"/>
      <w:bookmarkStart w:id="618" w:name="_Toc503130730"/>
      <w:bookmarkStart w:id="619" w:name="_Toc393275730"/>
      <w:bookmarkStart w:id="620" w:name="_Toc32165"/>
      <w:bookmarkStart w:id="621" w:name="_Toc503130791"/>
      <w:bookmarkStart w:id="622" w:name="_Toc393272313"/>
      <w:bookmarkStart w:id="623" w:name="_Toc512602441"/>
      <w:bookmarkStart w:id="624" w:name="_Toc495398007"/>
      <w:bookmarkStart w:id="625" w:name="_Toc394324233"/>
      <w:bookmarkStart w:id="626" w:name="_Toc462676750"/>
      <w:bookmarkStart w:id="627" w:name="_Toc5116260"/>
      <w:bookmarkStart w:id="628" w:name="_Toc393275631"/>
      <w:bookmarkStart w:id="629" w:name="_Toc495398057"/>
      <w:bookmarkStart w:id="630" w:name="_Toc491700927"/>
      <w:bookmarkStart w:id="631" w:name="_Toc2063977"/>
      <w:bookmarkStart w:id="632" w:name="_Toc2063945"/>
      <w:bookmarkStart w:id="633" w:name="_Toc301765387"/>
      <w:bookmarkStart w:id="634" w:name="_Toc2063592"/>
      <w:bookmarkStart w:id="635" w:name="_Toc2063848"/>
      <w:bookmarkStart w:id="636" w:name="_Toc8343725"/>
      <w:r>
        <w:rPr>
          <w:rFonts w:ascii="Times New Roman"/>
          <w:color w:val="000000"/>
          <w:highlight w:val="none"/>
        </w:rPr>
        <w:t>一、总则</w:t>
      </w:r>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pPr>
        <w:rPr>
          <w:color w:val="000000"/>
          <w:highlight w:val="none"/>
        </w:rPr>
      </w:pPr>
      <w:r>
        <w:rPr>
          <w:color w:val="000000"/>
          <w:highlight w:val="none"/>
        </w:rPr>
        <w:t>1. 本</w:t>
      </w:r>
      <w:r>
        <w:rPr>
          <w:rStyle w:val="41"/>
          <w:rFonts w:ascii="Times New Roman"/>
          <w:color w:val="000000"/>
          <w:highlight w:val="none"/>
        </w:rPr>
        <w:t>技术规格</w:t>
      </w:r>
      <w:r>
        <w:rPr>
          <w:color w:val="000000"/>
          <w:highlight w:val="none"/>
        </w:rPr>
        <w:t>所提出的要求是对本次招标欲采购货物及伴随服务的基本技术要求，并未涉及所有技术细节，也未充分引述有关标准、规范的全部条款。投标人应保证其提供的货物及伴随服务除了满足本</w:t>
      </w:r>
      <w:r>
        <w:rPr>
          <w:rStyle w:val="41"/>
          <w:rFonts w:ascii="Times New Roman"/>
          <w:color w:val="000000"/>
          <w:highlight w:val="none"/>
        </w:rPr>
        <w:t>技术规格</w:t>
      </w:r>
      <w:r>
        <w:rPr>
          <w:color w:val="000000"/>
          <w:highlight w:val="none"/>
        </w:rPr>
        <w:t>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w:t>
      </w:r>
      <w:r>
        <w:rPr>
          <w:rStyle w:val="41"/>
          <w:rFonts w:ascii="Times New Roman"/>
          <w:color w:val="000000"/>
          <w:highlight w:val="none"/>
        </w:rPr>
        <w:t>技术规格</w:t>
      </w:r>
      <w:r>
        <w:rPr>
          <w:color w:val="000000"/>
          <w:highlight w:val="none"/>
        </w:rPr>
        <w:t>的规定之间存在差异时，应以本</w:t>
      </w:r>
      <w:r>
        <w:rPr>
          <w:rStyle w:val="41"/>
          <w:rFonts w:ascii="Times New Roman"/>
          <w:color w:val="000000"/>
          <w:highlight w:val="none"/>
        </w:rPr>
        <w:t>技术规格</w:t>
      </w:r>
      <w:r>
        <w:rPr>
          <w:color w:val="000000"/>
          <w:highlight w:val="none"/>
        </w:rPr>
        <w:t>为准。</w:t>
      </w:r>
    </w:p>
    <w:p>
      <w:pPr>
        <w:rPr>
          <w:color w:val="000000"/>
          <w:highlight w:val="none"/>
        </w:rPr>
      </w:pPr>
      <w:r>
        <w:rPr>
          <w:color w:val="000000"/>
          <w:highlight w:val="none"/>
        </w:rPr>
        <w:t>2. 除有特殊说明之外，本</w:t>
      </w:r>
      <w:r>
        <w:rPr>
          <w:rStyle w:val="41"/>
          <w:rFonts w:ascii="Times New Roman"/>
          <w:color w:val="000000"/>
          <w:highlight w:val="none"/>
        </w:rPr>
        <w:t>技术规格</w:t>
      </w:r>
      <w:r>
        <w:rPr>
          <w:color w:val="000000"/>
          <w:highlight w:val="none"/>
        </w:rPr>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pPr>
        <w:rPr>
          <w:color w:val="000000"/>
          <w:highlight w:val="none"/>
        </w:rPr>
      </w:pPr>
      <w:r>
        <w:rPr>
          <w:color w:val="000000"/>
          <w:highlight w:val="none"/>
        </w:rPr>
        <w:t>3. 本</w:t>
      </w:r>
      <w:r>
        <w:rPr>
          <w:rStyle w:val="41"/>
          <w:rFonts w:ascii="Times New Roman"/>
          <w:color w:val="000000"/>
          <w:highlight w:val="none"/>
        </w:rPr>
        <w:t>技术规格</w:t>
      </w:r>
      <w:r>
        <w:rPr>
          <w:color w:val="000000"/>
          <w:highlight w:val="none"/>
        </w:rPr>
        <w:t>中指定的工艺、材料和设备的标准以及参照的商标、品牌、原产地或型号（若有时）仅起说明作用，并没有任何限制性。投标人在投标中可以选用替代工艺、材料、标准、商标、品牌、原产地或型号，但这些替代要实质上满足或优于本</w:t>
      </w:r>
      <w:r>
        <w:rPr>
          <w:rStyle w:val="41"/>
          <w:rFonts w:ascii="Times New Roman"/>
          <w:color w:val="000000"/>
          <w:highlight w:val="none"/>
        </w:rPr>
        <w:t>技术规格</w:t>
      </w:r>
      <w:r>
        <w:rPr>
          <w:color w:val="000000"/>
          <w:highlight w:val="none"/>
        </w:rPr>
        <w:t>的要求。</w:t>
      </w:r>
    </w:p>
    <w:p>
      <w:pPr>
        <w:rPr>
          <w:b/>
          <w:color w:val="000000"/>
          <w:highlight w:val="none"/>
        </w:rPr>
      </w:pPr>
      <w:r>
        <w:rPr>
          <w:b/>
          <w:color w:val="000000"/>
          <w:highlight w:val="none"/>
        </w:rPr>
        <w:t>4. 本</w:t>
      </w:r>
      <w:r>
        <w:rPr>
          <w:rStyle w:val="41"/>
          <w:rFonts w:ascii="Times New Roman"/>
          <w:b/>
          <w:color w:val="000000"/>
          <w:highlight w:val="none"/>
        </w:rPr>
        <w:t>技术规格</w:t>
      </w:r>
      <w:r>
        <w:rPr>
          <w:b/>
          <w:color w:val="000000"/>
          <w:highlight w:val="none"/>
        </w:rPr>
        <w:t>中所有加注“★”号的要求均为主要要求，投标人在投标文件中应对这些要求作出实质性响应，如果投标人对任意一项主要要求未作出实质性响应，其投标将被否决。投标人</w:t>
      </w:r>
      <w:r>
        <w:rPr>
          <w:rFonts w:hint="eastAsia"/>
          <w:b/>
          <w:color w:val="000000"/>
          <w:highlight w:val="none"/>
        </w:rPr>
        <w:t>应</w:t>
      </w:r>
      <w:r>
        <w:rPr>
          <w:b/>
          <w:color w:val="000000"/>
          <w:highlight w:val="none"/>
        </w:rPr>
        <w:t>对主要要求进行详细说明，并按要求提供技术支持资料（如带有参数证明的检测报告，制造商公开发布的印刷资料，用户使用证明等），未按要求提供技术支持资料的，将可能被评标委员会作出不利的评估。</w:t>
      </w:r>
    </w:p>
    <w:p>
      <w:pPr>
        <w:pStyle w:val="82"/>
        <w:rPr>
          <w:rFonts w:ascii="Times New Roman"/>
          <w:color w:val="000000"/>
          <w:highlight w:val="none"/>
        </w:rPr>
      </w:pPr>
      <w:r>
        <w:rPr>
          <w:rFonts w:ascii="Times New Roman"/>
          <w:color w:val="000000"/>
          <w:highlight w:val="none"/>
        </w:rPr>
        <w:br w:type="page"/>
      </w:r>
      <w:bookmarkEnd w:id="631"/>
      <w:bookmarkEnd w:id="632"/>
      <w:bookmarkEnd w:id="633"/>
      <w:bookmarkEnd w:id="634"/>
      <w:bookmarkEnd w:id="635"/>
      <w:bookmarkEnd w:id="636"/>
      <w:bookmarkStart w:id="637" w:name="_Toc479109522"/>
      <w:bookmarkStart w:id="638" w:name="_Toc479109408"/>
      <w:bookmarkStart w:id="639" w:name="_Toc393275632"/>
      <w:bookmarkStart w:id="640" w:name="_Toc393275731"/>
      <w:bookmarkStart w:id="641" w:name="_Toc491700928"/>
      <w:bookmarkStart w:id="642" w:name="_Toc393272314"/>
      <w:bookmarkStart w:id="643" w:name="_Toc462676751"/>
      <w:bookmarkStart w:id="644" w:name="_Toc394324234"/>
      <w:bookmarkStart w:id="645" w:name="_Toc495398058"/>
      <w:bookmarkStart w:id="646" w:name="_Toc495406861"/>
      <w:bookmarkStart w:id="647" w:name="_Toc512602442"/>
      <w:bookmarkStart w:id="648" w:name="_Toc495398008"/>
      <w:bookmarkStart w:id="649" w:name="_Toc503130792"/>
      <w:bookmarkStart w:id="650" w:name="_Toc5116261"/>
      <w:bookmarkStart w:id="651" w:name="_Toc503130731"/>
      <w:bookmarkStart w:id="652" w:name="_Toc503130400"/>
      <w:bookmarkStart w:id="653" w:name="_Toc15723"/>
      <w:r>
        <w:rPr>
          <w:rFonts w:ascii="Times New Roman"/>
          <w:color w:val="000000"/>
          <w:highlight w:val="none"/>
        </w:rPr>
        <w:t>二、</w:t>
      </w:r>
      <w:bookmarkEnd w:id="637"/>
      <w:bookmarkEnd w:id="638"/>
      <w:bookmarkEnd w:id="639"/>
      <w:bookmarkEnd w:id="640"/>
      <w:bookmarkEnd w:id="641"/>
      <w:bookmarkEnd w:id="642"/>
      <w:bookmarkEnd w:id="643"/>
      <w:bookmarkEnd w:id="644"/>
      <w:r>
        <w:rPr>
          <w:rFonts w:ascii="Times New Roman"/>
          <w:color w:val="000000"/>
          <w:highlight w:val="none"/>
        </w:rPr>
        <w:t>技术规格</w:t>
      </w:r>
      <w:bookmarkEnd w:id="645"/>
      <w:bookmarkEnd w:id="646"/>
      <w:bookmarkEnd w:id="647"/>
      <w:bookmarkEnd w:id="648"/>
      <w:bookmarkEnd w:id="649"/>
      <w:bookmarkEnd w:id="650"/>
      <w:bookmarkEnd w:id="651"/>
      <w:bookmarkEnd w:id="652"/>
      <w:bookmarkEnd w:id="653"/>
    </w:p>
    <w:p>
      <w:pPr>
        <w:numPr>
          <w:ilvl w:val="0"/>
          <w:numId w:val="8"/>
        </w:numPr>
        <w:snapToGrid w:val="0"/>
        <w:spacing w:before="120" w:beforeLines="50" w:after="120" w:afterLines="50" w:line="240" w:lineRule="auto"/>
        <w:outlineLvl w:val="0"/>
        <w:rPr>
          <w:b/>
          <w:bCs/>
          <w:color w:val="000000"/>
          <w:kern w:val="44"/>
          <w:szCs w:val="24"/>
          <w:highlight w:val="none"/>
        </w:rPr>
      </w:pPr>
      <w:bookmarkStart w:id="654" w:name="_Toc2061028"/>
      <w:bookmarkStart w:id="655" w:name="_Toc2060869"/>
      <w:bookmarkStart w:id="656" w:name="_Toc2061633"/>
      <w:bookmarkStart w:id="657" w:name="_Toc2046569"/>
      <w:bookmarkStart w:id="658" w:name="_Toc8344095"/>
      <w:r>
        <w:rPr>
          <w:rFonts w:hint="eastAsia" w:hAnsi="宋体"/>
          <w:b/>
          <w:bCs/>
          <w:color w:val="000000"/>
          <w:kern w:val="44"/>
          <w:szCs w:val="24"/>
          <w:highlight w:val="none"/>
        </w:rPr>
        <w:t>项目概况</w:t>
      </w:r>
    </w:p>
    <w:bookmarkEnd w:id="654"/>
    <w:bookmarkEnd w:id="655"/>
    <w:bookmarkEnd w:id="656"/>
    <w:bookmarkEnd w:id="657"/>
    <w:bookmarkEnd w:id="658"/>
    <w:p>
      <w:pPr>
        <w:numPr>
          <w:ilvl w:val="1"/>
          <w:numId w:val="8"/>
        </w:numPr>
        <w:snapToGrid w:val="0"/>
        <w:spacing w:line="360" w:lineRule="auto"/>
        <w:outlineLvl w:val="1"/>
        <w:rPr>
          <w:rFonts w:hint="eastAsia" w:hAnsi="宋体"/>
          <w:color w:val="000000"/>
          <w:szCs w:val="24"/>
          <w:highlight w:val="none"/>
        </w:rPr>
      </w:pPr>
      <w:r>
        <w:rPr>
          <w:rFonts w:hint="eastAsia" w:hAnsi="宋体"/>
          <w:color w:val="000000"/>
          <w:szCs w:val="24"/>
          <w:highlight w:val="none"/>
        </w:rPr>
        <w:t>本次遮阳系统招标采购包含手动布帘（包括轨道、布帘、挂钩、绑带、安装配件等）、手动卷帘（包括制头、尾插、卷管、面料、拉珠、安装配件等）及电动卷帘（包括电机、卷管、面料、安装配件、控制系统）及相关配套设施的供货及安装，包括遮阳系统设备优化设计、材料送检、供货、运输及安装、调试、培训、验收、质保期内免费维修保养等。投标方提供的系统必须是一个完整的系统，除本招标文件中所明确列出的要求外，凡系统正常运行具备的功能和设备及配件，均应包括在本项目范围中。预埋管线不在本次采购范围内。</w:t>
      </w:r>
    </w:p>
    <w:p>
      <w:pPr>
        <w:numPr>
          <w:ilvl w:val="1"/>
          <w:numId w:val="8"/>
        </w:numPr>
        <w:snapToGrid w:val="0"/>
        <w:spacing w:line="360" w:lineRule="auto"/>
        <w:outlineLvl w:val="1"/>
        <w:rPr>
          <w:rFonts w:hint="eastAsia" w:hAnsi="宋体"/>
          <w:color w:val="000000"/>
          <w:szCs w:val="24"/>
          <w:highlight w:val="none"/>
        </w:rPr>
      </w:pPr>
      <w:r>
        <w:rPr>
          <w:rFonts w:hint="eastAsia" w:hAnsi="宋体"/>
          <w:color w:val="000000"/>
          <w:szCs w:val="24"/>
          <w:highlight w:val="none"/>
        </w:rPr>
        <w:t>预算金额： 42 万元</w:t>
      </w:r>
    </w:p>
    <w:p>
      <w:pPr>
        <w:numPr>
          <w:ilvl w:val="1"/>
          <w:numId w:val="8"/>
        </w:numPr>
        <w:snapToGrid w:val="0"/>
        <w:spacing w:line="360" w:lineRule="auto"/>
        <w:outlineLvl w:val="1"/>
        <w:rPr>
          <w:rFonts w:hint="eastAsia" w:hAnsi="宋体"/>
          <w:color w:val="000000"/>
          <w:szCs w:val="24"/>
          <w:highlight w:val="none"/>
        </w:rPr>
      </w:pPr>
      <w:r>
        <w:rPr>
          <w:rFonts w:hint="eastAsia" w:hAnsi="宋体"/>
          <w:color w:val="000000"/>
          <w:szCs w:val="24"/>
          <w:highlight w:val="none"/>
        </w:rPr>
        <w:t>是否允许联合体投标：否</w:t>
      </w:r>
    </w:p>
    <w:p>
      <w:pPr>
        <w:numPr>
          <w:ilvl w:val="1"/>
          <w:numId w:val="8"/>
        </w:numPr>
        <w:snapToGrid w:val="0"/>
        <w:spacing w:line="360" w:lineRule="auto"/>
        <w:outlineLvl w:val="1"/>
        <w:rPr>
          <w:rFonts w:hAnsi="宋体"/>
          <w:color w:val="000000"/>
          <w:szCs w:val="24"/>
          <w:highlight w:val="none"/>
        </w:rPr>
      </w:pPr>
      <w:r>
        <w:rPr>
          <w:rFonts w:hint="eastAsia" w:hAnsi="宋体"/>
          <w:color w:val="000000"/>
          <w:szCs w:val="24"/>
          <w:highlight w:val="none"/>
        </w:rPr>
        <w:t>是否允许分包：否</w:t>
      </w:r>
    </w:p>
    <w:p>
      <w:pPr>
        <w:numPr>
          <w:ilvl w:val="0"/>
          <w:numId w:val="8"/>
        </w:numPr>
        <w:snapToGrid w:val="0"/>
        <w:spacing w:before="200" w:after="180" w:line="240" w:lineRule="auto"/>
        <w:outlineLvl w:val="0"/>
        <w:rPr>
          <w:rFonts w:hAnsi="宋体"/>
          <w:b/>
          <w:bCs/>
          <w:color w:val="000000"/>
          <w:kern w:val="44"/>
          <w:szCs w:val="24"/>
          <w:highlight w:val="none"/>
        </w:rPr>
      </w:pPr>
      <w:r>
        <w:rPr>
          <w:rFonts w:hint="eastAsia" w:hAnsi="宋体"/>
          <w:b/>
          <w:bCs/>
          <w:color w:val="000000"/>
          <w:kern w:val="44"/>
          <w:szCs w:val="24"/>
          <w:highlight w:val="none"/>
        </w:rPr>
        <w:t>主要技术指标</w:t>
      </w:r>
    </w:p>
    <w:p>
      <w:pPr>
        <w:numPr>
          <w:ilvl w:val="1"/>
          <w:numId w:val="8"/>
        </w:numPr>
        <w:spacing w:line="360" w:lineRule="auto"/>
        <w:outlineLvl w:val="1"/>
        <w:rPr>
          <w:rFonts w:hint="eastAsia"/>
          <w:b/>
          <w:bCs/>
          <w:color w:val="000000"/>
          <w:highlight w:val="none"/>
        </w:rPr>
      </w:pPr>
      <w:r>
        <w:rPr>
          <w:rFonts w:hint="eastAsia"/>
          <w:b/>
          <w:bCs/>
          <w:color w:val="000000"/>
          <w:highlight w:val="none"/>
        </w:rPr>
        <w:t>手动开合帘</w:t>
      </w:r>
    </w:p>
    <w:p>
      <w:pPr>
        <w:numPr>
          <w:ilvl w:val="2"/>
          <w:numId w:val="8"/>
        </w:numPr>
        <w:spacing w:line="360" w:lineRule="auto"/>
        <w:outlineLvl w:val="1"/>
        <w:rPr>
          <w:rFonts w:hint="eastAsia"/>
          <w:b/>
          <w:bCs/>
          <w:color w:val="000000"/>
          <w:highlight w:val="none"/>
        </w:rPr>
      </w:pPr>
      <w:r>
        <w:rPr>
          <w:rFonts w:hint="eastAsia"/>
          <w:b/>
          <w:bCs/>
          <w:color w:val="000000"/>
          <w:highlight w:val="none"/>
        </w:rPr>
        <w:t>布帘</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窗帘需进行防水、防腐、防蛀和防尘处理，能防止尘螨及霉菌等滋生。</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式样：需采用法式窗帘，2</w:t>
      </w:r>
      <w:r>
        <w:rPr>
          <w:color w:val="000000"/>
          <w:highlight w:val="none"/>
        </w:rPr>
        <w:t>2</w:t>
      </w:r>
      <w:r>
        <w:rPr>
          <w:rFonts w:hint="eastAsia"/>
          <w:color w:val="000000"/>
          <w:highlight w:val="none"/>
        </w:rPr>
        <w:t>0%完整窗口及边部宽度。</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drawing>
          <wp:anchor distT="0" distB="0" distL="114300" distR="114300" simplePos="0" relativeHeight="251663360" behindDoc="0" locked="0" layoutInCell="1" allowOverlap="1">
            <wp:simplePos x="0" y="0"/>
            <wp:positionH relativeFrom="column">
              <wp:posOffset>4563745</wp:posOffset>
            </wp:positionH>
            <wp:positionV relativeFrom="paragraph">
              <wp:posOffset>2540</wp:posOffset>
            </wp:positionV>
            <wp:extent cx="1595120" cy="1831340"/>
            <wp:effectExtent l="0" t="0" r="5080" b="16510"/>
            <wp:wrapSquare wrapText="bothSides"/>
            <wp:docPr id="5" name="图片 36" descr="C:\Users\Administrator\Desktop\黑色布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6" descr="C:\Users\Administrator\Desktop\黑色布帘2.jpg"/>
                    <pic:cNvPicPr>
                      <a:picLocks noChangeAspect="1"/>
                    </pic:cNvPicPr>
                  </pic:nvPicPr>
                  <pic:blipFill>
                    <a:blip r:embed="rId36"/>
                    <a:stretch>
                      <a:fillRect/>
                    </a:stretch>
                  </pic:blipFill>
                  <pic:spPr>
                    <a:xfrm>
                      <a:off x="0" y="0"/>
                      <a:ext cx="1595120" cy="1831340"/>
                    </a:xfrm>
                    <a:prstGeom prst="rect">
                      <a:avLst/>
                    </a:prstGeom>
                    <a:noFill/>
                    <a:ln>
                      <a:noFill/>
                    </a:ln>
                  </pic:spPr>
                </pic:pic>
              </a:graphicData>
            </a:graphic>
          </wp:anchor>
        </w:drawing>
      </w:r>
      <w:r>
        <w:rPr>
          <w:rFonts w:hint="eastAsia"/>
          <w:color w:val="000000"/>
          <w:highlight w:val="none"/>
        </w:rPr>
        <w:t>布料质量：需做到表面无明显疵点，包括破洞、跳纱、油污等。</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水洗色牢度：洗涤五次色牢度在 3 级以上，即肉眼观看无明显色差。</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光照色牢度：按国家标准测试方式，在3个月中阳光直射部位的面料颜色无明显变化。</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阻燃：需做到洗涤 30 次以上，仍有阻燃效果，布面无异味、不发硬、不变潮、不析粉。</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面料：能防紫外线、绿色环保无污染、可水洗干洗、无毒无味无挥发且隔音隔热和满足国家相关消防和环保要求。</w:t>
      </w:r>
    </w:p>
    <w:p>
      <w:pPr>
        <w:numPr>
          <w:ilvl w:val="2"/>
          <w:numId w:val="8"/>
        </w:numPr>
        <w:spacing w:line="360" w:lineRule="auto"/>
        <w:outlineLvl w:val="1"/>
        <w:rPr>
          <w:rFonts w:hint="eastAsia"/>
          <w:b/>
          <w:bCs/>
          <w:color w:val="000000"/>
          <w:highlight w:val="none"/>
        </w:rPr>
      </w:pPr>
      <w:r>
        <w:rPr>
          <w:rFonts w:hint="eastAsia"/>
          <w:b/>
          <w:bCs/>
          <w:color w:val="000000"/>
          <w:highlight w:val="none"/>
        </w:rPr>
        <w:br w:type="page"/>
      </w:r>
      <w:r>
        <w:rPr>
          <w:rFonts w:hint="eastAsia"/>
          <w:b/>
          <w:bCs/>
          <w:color w:val="000000"/>
          <w:highlight w:val="none"/>
        </w:rPr>
        <w:t>布帘面料参数要求</w:t>
      </w:r>
    </w:p>
    <w:p>
      <w:pPr>
        <w:numPr>
          <w:ilvl w:val="3"/>
          <w:numId w:val="8"/>
        </w:numPr>
        <w:spacing w:line="360" w:lineRule="auto"/>
        <w:outlineLvl w:val="1"/>
        <w:rPr>
          <w:rFonts w:hint="eastAsia"/>
          <w:color w:val="000000"/>
          <w:highlight w:val="none"/>
        </w:rPr>
      </w:pPr>
      <w:r>
        <w:rPr>
          <w:rFonts w:hint="eastAsia"/>
          <w:color w:val="000000"/>
          <w:highlight w:val="none"/>
        </w:rPr>
        <w:t>成份：100%涤纶（聚酯纤维）</w:t>
      </w:r>
    </w:p>
    <w:p>
      <w:pPr>
        <w:numPr>
          <w:ilvl w:val="3"/>
          <w:numId w:val="8"/>
        </w:numPr>
        <w:spacing w:line="360" w:lineRule="auto"/>
        <w:outlineLvl w:val="1"/>
        <w:rPr>
          <w:rFonts w:hint="eastAsia"/>
          <w:color w:val="000000"/>
          <w:highlight w:val="none"/>
        </w:rPr>
      </w:pPr>
      <w:r>
        <w:rPr>
          <w:rFonts w:ascii="宋体" w:hAnsi="宋体" w:cs="宋体"/>
          <w:b/>
          <w:bCs/>
          <w:color w:val="000000"/>
          <w:kern w:val="2"/>
          <w:sz w:val="21"/>
          <w:szCs w:val="21"/>
          <w:highlight w:val="none"/>
        </w:rPr>
        <w:drawing>
          <wp:anchor distT="0" distB="0" distL="114300" distR="114300" simplePos="0" relativeHeight="251664384" behindDoc="0" locked="0" layoutInCell="1" allowOverlap="1">
            <wp:simplePos x="0" y="0"/>
            <wp:positionH relativeFrom="column">
              <wp:posOffset>4739640</wp:posOffset>
            </wp:positionH>
            <wp:positionV relativeFrom="paragraph">
              <wp:posOffset>38100</wp:posOffset>
            </wp:positionV>
            <wp:extent cx="1181100" cy="1143000"/>
            <wp:effectExtent l="0" t="0" r="0" b="0"/>
            <wp:wrapSquare wrapText="bothSides"/>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37"/>
                    <a:stretch>
                      <a:fillRect/>
                    </a:stretch>
                  </pic:blipFill>
                  <pic:spPr>
                    <a:xfrm>
                      <a:off x="0" y="0"/>
                      <a:ext cx="1181100" cy="1143000"/>
                    </a:xfrm>
                    <a:prstGeom prst="rect">
                      <a:avLst/>
                    </a:prstGeom>
                    <a:noFill/>
                    <a:ln>
                      <a:noFill/>
                    </a:ln>
                  </pic:spPr>
                </pic:pic>
              </a:graphicData>
            </a:graphic>
          </wp:anchor>
        </w:drawing>
      </w:r>
      <w:r>
        <w:rPr>
          <w:rFonts w:hint="eastAsia"/>
          <w:color w:val="000000"/>
          <w:highlight w:val="none"/>
        </w:rPr>
        <w:t>门幅：280cm</w:t>
      </w:r>
    </w:p>
    <w:p>
      <w:pPr>
        <w:numPr>
          <w:ilvl w:val="3"/>
          <w:numId w:val="8"/>
        </w:numPr>
        <w:spacing w:line="360" w:lineRule="auto"/>
        <w:outlineLvl w:val="1"/>
        <w:rPr>
          <w:rFonts w:hint="eastAsia"/>
          <w:color w:val="000000"/>
          <w:highlight w:val="none"/>
        </w:rPr>
      </w:pPr>
      <w:r>
        <w:rPr>
          <w:rFonts w:hint="eastAsia"/>
          <w:color w:val="000000"/>
          <w:highlight w:val="none"/>
        </w:rPr>
        <w:t>克重：≥350g/㎡</w:t>
      </w:r>
    </w:p>
    <w:p>
      <w:pPr>
        <w:numPr>
          <w:ilvl w:val="3"/>
          <w:numId w:val="8"/>
        </w:numPr>
        <w:spacing w:line="360" w:lineRule="auto"/>
        <w:outlineLvl w:val="1"/>
        <w:rPr>
          <w:rFonts w:hint="eastAsia"/>
          <w:color w:val="000000"/>
          <w:highlight w:val="none"/>
        </w:rPr>
      </w:pPr>
      <w:r>
        <w:rPr>
          <w:rFonts w:hint="eastAsia"/>
          <w:color w:val="000000"/>
          <w:highlight w:val="none"/>
        </w:rPr>
        <w:t>遮光率：≥9</w:t>
      </w:r>
      <w:r>
        <w:rPr>
          <w:color w:val="000000"/>
          <w:highlight w:val="none"/>
        </w:rPr>
        <w:t>9</w:t>
      </w:r>
      <w:r>
        <w:rPr>
          <w:rFonts w:hint="eastAsia"/>
          <w:color w:val="000000"/>
          <w:highlight w:val="none"/>
        </w:rPr>
        <w:t>%</w:t>
      </w:r>
    </w:p>
    <w:p>
      <w:pPr>
        <w:numPr>
          <w:ilvl w:val="3"/>
          <w:numId w:val="8"/>
        </w:numPr>
        <w:spacing w:line="360" w:lineRule="auto"/>
        <w:outlineLvl w:val="1"/>
        <w:rPr>
          <w:rFonts w:hint="eastAsia"/>
          <w:color w:val="000000"/>
          <w:highlight w:val="none"/>
        </w:rPr>
      </w:pPr>
      <w:r>
        <w:rPr>
          <w:rFonts w:hint="eastAsia"/>
          <w:color w:val="000000"/>
          <w:highlight w:val="none"/>
        </w:rPr>
        <w:t>经向：300D</w:t>
      </w:r>
    </w:p>
    <w:p>
      <w:pPr>
        <w:numPr>
          <w:ilvl w:val="3"/>
          <w:numId w:val="8"/>
        </w:numPr>
        <w:spacing w:line="360" w:lineRule="auto"/>
        <w:outlineLvl w:val="1"/>
        <w:rPr>
          <w:rFonts w:hint="eastAsia"/>
          <w:color w:val="000000"/>
          <w:highlight w:val="none"/>
        </w:rPr>
      </w:pPr>
      <w:r>
        <w:rPr>
          <w:rFonts w:hint="eastAsia"/>
          <w:color w:val="000000"/>
          <w:highlight w:val="none"/>
        </w:rPr>
        <w:t>纬向：75D</w:t>
      </w:r>
    </w:p>
    <w:p>
      <w:pPr>
        <w:numPr>
          <w:ilvl w:val="3"/>
          <w:numId w:val="8"/>
        </w:numPr>
        <w:spacing w:line="360" w:lineRule="auto"/>
        <w:outlineLvl w:val="1"/>
        <w:rPr>
          <w:rFonts w:ascii="宋体" w:hAnsi="宋体" w:cs="宋体"/>
          <w:color w:val="000000"/>
          <w:sz w:val="21"/>
          <w:szCs w:val="21"/>
          <w:highlight w:val="none"/>
        </w:rPr>
      </w:pPr>
      <w:r>
        <w:rPr>
          <w:rFonts w:hint="eastAsia"/>
          <w:color w:val="000000"/>
          <w:highlight w:val="none"/>
        </w:rPr>
        <w:t>阻燃等级：B1级</w:t>
      </w:r>
    </w:p>
    <w:p>
      <w:pPr>
        <w:spacing w:line="360" w:lineRule="auto"/>
        <w:outlineLvl w:val="1"/>
        <w:rPr>
          <w:rFonts w:ascii="宋体" w:hAnsi="宋体" w:cs="宋体"/>
          <w:color w:val="000000"/>
          <w:sz w:val="21"/>
          <w:szCs w:val="21"/>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轨道</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 xml:space="preserve">材质：高强度铝合金6063-T5，壁厚≥2.5mm </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drawing>
          <wp:anchor distT="0" distB="0" distL="114300" distR="114300" simplePos="0" relativeHeight="251669504" behindDoc="0" locked="0" layoutInCell="1" allowOverlap="1">
            <wp:simplePos x="0" y="0"/>
            <wp:positionH relativeFrom="column">
              <wp:posOffset>4436110</wp:posOffset>
            </wp:positionH>
            <wp:positionV relativeFrom="paragraph">
              <wp:posOffset>353060</wp:posOffset>
            </wp:positionV>
            <wp:extent cx="1429385" cy="1429385"/>
            <wp:effectExtent l="0" t="0" r="18415" b="18415"/>
            <wp:wrapSquare wrapText="bothSides"/>
            <wp:docPr id="11" name="图片 41" descr="C:\Users\Administrator\Desktop\1541ae7954395bf2ebca841cf9bb7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1" descr="C:\Users\Administrator\Desktop\1541ae7954395bf2ebca841cf9bb7dd.jpg"/>
                    <pic:cNvPicPr>
                      <a:picLocks noChangeAspect="1"/>
                    </pic:cNvPicPr>
                  </pic:nvPicPr>
                  <pic:blipFill>
                    <a:blip r:embed="rId38"/>
                    <a:stretch>
                      <a:fillRect/>
                    </a:stretch>
                  </pic:blipFill>
                  <pic:spPr>
                    <a:xfrm>
                      <a:off x="0" y="0"/>
                      <a:ext cx="1429385" cy="1429385"/>
                    </a:xfrm>
                    <a:prstGeom prst="rect">
                      <a:avLst/>
                    </a:prstGeom>
                    <a:noFill/>
                    <a:ln>
                      <a:noFill/>
                    </a:ln>
                  </pic:spPr>
                </pic:pic>
              </a:graphicData>
            </a:graphic>
          </wp:anchor>
        </w:drawing>
      </w:r>
      <w:r>
        <w:rPr>
          <w:rFonts w:hint="eastAsia"/>
          <w:color w:val="000000"/>
          <w:highlight w:val="none"/>
        </w:rPr>
        <w:t>表面处理：电泳黑色，电泳层厚度≥60μm；色泽均匀，内、外壁光滑平整，无气泡。</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耐久性：需采用工字型结构设计，吊轮滚动平滑顺畅；轨道及吊轮须保证滑动两万次以上无明显磨损。</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承重力：支架承重力≥50KG以上；挂钩承重力≥20KG以上。</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弯弧性能：内部需采用三角结构设计，轨道弯弧不变形，适用重复弯弧。</w:t>
      </w:r>
    </w:p>
    <w:p>
      <w:pPr>
        <w:spacing w:line="400" w:lineRule="exact"/>
        <w:rPr>
          <w:rFonts w:ascii="宋体" w:hAnsi="宋体" w:cs="宋体"/>
          <w:color w:val="000000"/>
          <w:kern w:val="2"/>
          <w:szCs w:val="24"/>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辅料及加工要求</w:t>
      </w:r>
    </w:p>
    <w:p>
      <w:pPr>
        <w:numPr>
          <w:ilvl w:val="3"/>
          <w:numId w:val="8"/>
        </w:numPr>
        <w:spacing w:line="360" w:lineRule="auto"/>
        <w:outlineLvl w:val="1"/>
        <w:rPr>
          <w:rFonts w:hint="eastAsia"/>
          <w:color w:val="000000"/>
          <w:highlight w:val="none"/>
        </w:rPr>
      </w:pPr>
      <w:r>
        <w:rPr>
          <w:rFonts w:hint="eastAsia"/>
          <w:color w:val="000000"/>
          <w:highlight w:val="none"/>
        </w:rPr>
        <w:t>辅料配件：符合GB-18401-2010B类标准，PH：符合BG18401-2010B类标准</w:t>
      </w:r>
    </w:p>
    <w:p>
      <w:pPr>
        <w:numPr>
          <w:ilvl w:val="3"/>
          <w:numId w:val="8"/>
        </w:numPr>
        <w:spacing w:line="360" w:lineRule="auto"/>
        <w:outlineLvl w:val="1"/>
        <w:rPr>
          <w:rFonts w:hint="eastAsia"/>
          <w:color w:val="000000"/>
          <w:highlight w:val="none"/>
        </w:rPr>
      </w:pPr>
      <w:r>
        <w:rPr>
          <w:rFonts w:hint="eastAsia"/>
          <w:color w:val="000000"/>
          <w:highlight w:val="none"/>
        </w:rPr>
        <w:t>裁剪加工要求：宽度不能小于单片窗帘的宽度。</w:t>
      </w:r>
    </w:p>
    <w:p>
      <w:pPr>
        <w:numPr>
          <w:ilvl w:val="3"/>
          <w:numId w:val="8"/>
        </w:numPr>
        <w:spacing w:line="360" w:lineRule="auto"/>
        <w:outlineLvl w:val="1"/>
        <w:rPr>
          <w:rFonts w:hint="eastAsia"/>
          <w:color w:val="000000"/>
          <w:highlight w:val="none"/>
        </w:rPr>
      </w:pPr>
      <w:r>
        <w:rPr>
          <w:rFonts w:hint="eastAsia"/>
          <w:color w:val="000000"/>
          <w:highlight w:val="none"/>
        </w:rPr>
        <w:t>制作流程及工艺要求：预留卷底边量不小于12-15cm。上下预留不少于2cm缝头。</w:t>
      </w:r>
    </w:p>
    <w:p>
      <w:pPr>
        <w:adjustRightInd/>
        <w:spacing w:line="400" w:lineRule="exact"/>
        <w:textAlignment w:val="auto"/>
        <w:rPr>
          <w:rFonts w:ascii="宋体" w:hAnsi="宋体" w:cs="宋体"/>
          <w:color w:val="000000"/>
          <w:kern w:val="2"/>
          <w:sz w:val="21"/>
          <w:szCs w:val="21"/>
          <w:highlight w:val="none"/>
        </w:rPr>
      </w:pPr>
    </w:p>
    <w:p>
      <w:pPr>
        <w:numPr>
          <w:ilvl w:val="1"/>
          <w:numId w:val="8"/>
        </w:numPr>
        <w:spacing w:line="360" w:lineRule="auto"/>
        <w:outlineLvl w:val="1"/>
        <w:rPr>
          <w:rFonts w:hint="eastAsia"/>
          <w:b/>
          <w:bCs/>
          <w:color w:val="000000"/>
          <w:highlight w:val="none"/>
        </w:rPr>
      </w:pPr>
      <w:r>
        <w:rPr>
          <w:rFonts w:hint="eastAsia"/>
          <w:b/>
          <w:bCs/>
          <w:color w:val="000000"/>
          <w:highlight w:val="none"/>
        </w:rPr>
        <w:br w:type="page"/>
      </w:r>
      <w:r>
        <w:rPr>
          <w:rFonts w:hint="eastAsia"/>
          <w:b/>
          <w:bCs/>
          <w:color w:val="000000"/>
          <w:highlight w:val="none"/>
        </w:rPr>
        <w:t>手动卷帘</w:t>
      </w:r>
    </w:p>
    <w:p>
      <w:pPr>
        <w:numPr>
          <w:ilvl w:val="2"/>
          <w:numId w:val="8"/>
        </w:numPr>
        <w:spacing w:line="360" w:lineRule="auto"/>
        <w:outlineLvl w:val="1"/>
        <w:rPr>
          <w:rFonts w:hint="eastAsia"/>
          <w:b/>
          <w:bCs/>
          <w:color w:val="000000"/>
          <w:highlight w:val="none"/>
        </w:rPr>
      </w:pPr>
      <w:r>
        <w:rPr>
          <w:rFonts w:hint="eastAsia"/>
          <w:b/>
          <w:bCs/>
          <w:color w:val="000000"/>
          <w:highlight w:val="none"/>
        </w:rPr>
        <w:t>卷帘系统</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3"/>
        <w:gridCol w:w="3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6443" w:type="dxa"/>
            <w:noWrap w:val="0"/>
            <w:vAlign w:val="center"/>
          </w:tcPr>
          <w:p>
            <w:pPr>
              <w:adjustRightInd/>
              <w:spacing w:before="120" w:beforeLines="50" w:line="360" w:lineRule="auto"/>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制头制尾：需采用行星齿轮减速机构，减速比应不低于1：1.5，可以做到减小收帘时的拉力；需配置离合扭簧自锁机构，保证面料在任何高度都可以停止而不会自行下滑，同时在展帘时，操作力基本恒定，运行平稳，弹簧伸缩尾插。</w:t>
            </w:r>
          </w:p>
        </w:tc>
        <w:tc>
          <w:tcPr>
            <w:tcW w:w="2835" w:type="dxa"/>
            <w:noWrap w:val="0"/>
            <w:vAlign w:val="center"/>
          </w:tcPr>
          <w:p>
            <w:pPr>
              <w:adjustRightInd/>
              <w:spacing w:line="276" w:lineRule="auto"/>
              <w:ind w:right="3036" w:rightChars="1265"/>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drawing>
                <wp:anchor distT="0" distB="0" distL="114300" distR="114300" simplePos="0" relativeHeight="251660288" behindDoc="0" locked="0" layoutInCell="1" allowOverlap="1">
                  <wp:simplePos x="0" y="0"/>
                  <wp:positionH relativeFrom="column">
                    <wp:posOffset>289560</wp:posOffset>
                  </wp:positionH>
                  <wp:positionV relativeFrom="paragraph">
                    <wp:posOffset>325755</wp:posOffset>
                  </wp:positionV>
                  <wp:extent cx="1299210" cy="739775"/>
                  <wp:effectExtent l="0" t="0" r="15240" b="3175"/>
                  <wp:wrapNone/>
                  <wp:docPr id="2" name="图片 31" descr="E:\360YUNPAN\3-常用文件\!-公司文件\J-技术文件\窗帘\武士C 制头制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1" descr="E:\360YUNPAN\3-常用文件\!-公司文件\J-技术文件\窗帘\武士C 制头制尾.png"/>
                          <pic:cNvPicPr>
                            <a:picLocks noChangeAspect="1"/>
                          </pic:cNvPicPr>
                        </pic:nvPicPr>
                        <pic:blipFill>
                          <a:blip r:embed="rId39"/>
                          <a:stretch>
                            <a:fillRect/>
                          </a:stretch>
                        </pic:blipFill>
                        <pic:spPr>
                          <a:xfrm>
                            <a:off x="0" y="0"/>
                            <a:ext cx="1299210" cy="73977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6443" w:type="dxa"/>
            <w:noWrap w:val="0"/>
            <w:vAlign w:val="center"/>
          </w:tcPr>
          <w:p>
            <w:pPr>
              <w:adjustRightInd/>
              <w:spacing w:before="120" w:beforeLines="50" w:line="360" w:lineRule="auto"/>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安装支架：需采用</w:t>
            </w:r>
            <w:r>
              <w:rPr>
                <w:rFonts w:ascii="宋体" w:hAnsi="宋体" w:cs="宋体"/>
                <w:color w:val="000000"/>
                <w:kern w:val="2"/>
                <w:sz w:val="21"/>
                <w:szCs w:val="21"/>
                <w:highlight w:val="none"/>
              </w:rPr>
              <w:t>08F</w:t>
            </w:r>
            <w:r>
              <w:rPr>
                <w:rFonts w:hint="eastAsia" w:ascii="宋体" w:hAnsi="宋体" w:cs="宋体"/>
                <w:color w:val="000000"/>
                <w:kern w:val="2"/>
                <w:sz w:val="21"/>
                <w:szCs w:val="21"/>
                <w:highlight w:val="none"/>
              </w:rPr>
              <w:t>冷轧钢板压制而成，表面需镀锌处理，能具有防锈功能，表面外罩装饰罩壳。</w:t>
            </w:r>
          </w:p>
        </w:tc>
        <w:tc>
          <w:tcPr>
            <w:tcW w:w="2835" w:type="dxa"/>
            <w:noWrap w:val="0"/>
            <w:vAlign w:val="center"/>
          </w:tcPr>
          <w:p>
            <w:pPr>
              <w:adjustRightInd/>
              <w:spacing w:line="276" w:lineRule="auto"/>
              <w:ind w:right="3036" w:rightChars="1265"/>
              <w:textAlignment w:val="auto"/>
              <w:rPr>
                <w:rFonts w:ascii="宋体" w:hAnsi="宋体" w:cs="宋体"/>
                <w:color w:val="000000"/>
                <w:kern w:val="2"/>
                <w:sz w:val="21"/>
                <w:szCs w:val="21"/>
                <w:highlight w:val="none"/>
              </w:rPr>
            </w:pPr>
            <w:r>
              <w:rPr>
                <w:rFonts w:ascii="宋体" w:hAnsi="宋体" w:cs="宋体"/>
                <w:color w:val="000000"/>
                <w:kern w:val="2"/>
                <w:sz w:val="21"/>
                <w:szCs w:val="21"/>
                <w:highlight w:val="none"/>
              </w:rPr>
              <w:drawing>
                <wp:anchor distT="0" distB="0" distL="114300" distR="114300" simplePos="0" relativeHeight="251659264" behindDoc="0" locked="0" layoutInCell="1" allowOverlap="1">
                  <wp:simplePos x="0" y="0"/>
                  <wp:positionH relativeFrom="column">
                    <wp:posOffset>319405</wp:posOffset>
                  </wp:positionH>
                  <wp:positionV relativeFrom="paragraph">
                    <wp:posOffset>215900</wp:posOffset>
                  </wp:positionV>
                  <wp:extent cx="1122045" cy="837565"/>
                  <wp:effectExtent l="0" t="0" r="1905" b="635"/>
                  <wp:wrapNone/>
                  <wp:docPr id="1" name="图片 30" descr="E:\360YUNPAN\3-常用文件\!-公司文件\J-技术文件\窗帘\安装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0" descr="E:\360YUNPAN\3-常用文件\!-公司文件\J-技术文件\窗帘\安装码.png"/>
                          <pic:cNvPicPr>
                            <a:picLocks noChangeAspect="1"/>
                          </pic:cNvPicPr>
                        </pic:nvPicPr>
                        <pic:blipFill>
                          <a:blip r:embed="rId40"/>
                          <a:stretch>
                            <a:fillRect/>
                          </a:stretch>
                        </pic:blipFill>
                        <pic:spPr>
                          <a:xfrm>
                            <a:off x="0" y="0"/>
                            <a:ext cx="1122045" cy="83756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6443" w:type="dxa"/>
            <w:noWrap w:val="0"/>
            <w:vAlign w:val="center"/>
          </w:tcPr>
          <w:p>
            <w:pPr>
              <w:adjustRightInd/>
              <w:spacing w:before="120" w:beforeLines="50" w:line="360" w:lineRule="auto"/>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卷管</w:t>
            </w:r>
            <w:r>
              <w:rPr>
                <w:rFonts w:ascii="宋体" w:hAnsi="宋体" w:cs="宋体"/>
                <w:color w:val="000000"/>
                <w:kern w:val="2"/>
                <w:sz w:val="21"/>
                <w:szCs w:val="21"/>
                <w:highlight w:val="none"/>
              </w:rPr>
              <w:t>：</w:t>
            </w:r>
            <w:r>
              <w:rPr>
                <w:rFonts w:hint="eastAsia" w:ascii="宋体" w:hAnsi="宋体" w:cs="宋体"/>
                <w:color w:val="000000"/>
                <w:kern w:val="2"/>
                <w:sz w:val="21"/>
                <w:szCs w:val="21"/>
                <w:highlight w:val="none"/>
              </w:rPr>
              <w:t>需采用高强度铝合金材质6063-T5（GB/T 3190），管径≥38mm，壁厚≥1.2mm，需不低于4条加强筋，能具备抗弯能力强的特性，并应保证在3.0m范围内不产生弯曲变形。卷管表面应进行阳极氧化处理。卷管表面需带面料固定槽，帘布应插入卷管的卡槽内，确保帘布与卷筒、底杆插接后强度，可承载最大重量不低于10KG。</w:t>
            </w:r>
          </w:p>
        </w:tc>
        <w:tc>
          <w:tcPr>
            <w:tcW w:w="2835" w:type="dxa"/>
            <w:noWrap w:val="0"/>
            <w:vAlign w:val="center"/>
          </w:tcPr>
          <w:p>
            <w:pPr>
              <w:adjustRightInd/>
              <w:spacing w:line="276" w:lineRule="auto"/>
              <w:ind w:right="3036" w:rightChars="1265"/>
              <w:textAlignment w:val="auto"/>
              <w:rPr>
                <w:rFonts w:ascii="宋体" w:hAnsi="宋体" w:cs="宋体"/>
                <w:color w:val="000000"/>
                <w:kern w:val="2"/>
                <w:sz w:val="21"/>
                <w:szCs w:val="21"/>
                <w:highlight w:val="none"/>
              </w:rPr>
            </w:pPr>
            <w:r>
              <w:rPr>
                <w:color w:val="000000"/>
                <w:kern w:val="2"/>
                <w:sz w:val="21"/>
                <w:szCs w:val="24"/>
                <w:highlight w:val="none"/>
              </w:rPr>
              <w:drawing>
                <wp:anchor distT="0" distB="0" distL="114300" distR="114300" simplePos="0" relativeHeight="251675648" behindDoc="0" locked="0" layoutInCell="1" allowOverlap="1">
                  <wp:simplePos x="0" y="0"/>
                  <wp:positionH relativeFrom="column">
                    <wp:posOffset>461645</wp:posOffset>
                  </wp:positionH>
                  <wp:positionV relativeFrom="paragraph">
                    <wp:posOffset>182245</wp:posOffset>
                  </wp:positionV>
                  <wp:extent cx="807085" cy="1011555"/>
                  <wp:effectExtent l="0" t="0" r="12065" b="17145"/>
                  <wp:wrapNone/>
                  <wp:docPr id="1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5"/>
                          <pic:cNvPicPr>
                            <a:picLocks noChangeAspect="1"/>
                          </pic:cNvPicPr>
                        </pic:nvPicPr>
                        <pic:blipFill>
                          <a:blip r:embed="rId41"/>
                          <a:stretch>
                            <a:fillRect/>
                          </a:stretch>
                        </pic:blipFill>
                        <pic:spPr>
                          <a:xfrm>
                            <a:off x="0" y="0"/>
                            <a:ext cx="807085" cy="101155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6443" w:type="dxa"/>
            <w:noWrap w:val="0"/>
            <w:vAlign w:val="center"/>
          </w:tcPr>
          <w:p>
            <w:pPr>
              <w:adjustRightInd/>
              <w:spacing w:before="120" w:beforeLines="50" w:line="360" w:lineRule="auto"/>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底槽</w:t>
            </w:r>
            <w:r>
              <w:rPr>
                <w:rFonts w:ascii="宋体" w:hAnsi="宋体" w:cs="宋体"/>
                <w:color w:val="000000"/>
                <w:kern w:val="2"/>
                <w:sz w:val="21"/>
                <w:szCs w:val="21"/>
                <w:highlight w:val="none"/>
              </w:rPr>
              <w:t>：</w:t>
            </w:r>
            <w:r>
              <w:rPr>
                <w:rFonts w:hint="eastAsia" w:ascii="宋体" w:hAnsi="宋体" w:cs="宋体"/>
                <w:color w:val="000000"/>
                <w:kern w:val="2"/>
                <w:sz w:val="21"/>
                <w:szCs w:val="21"/>
                <w:highlight w:val="none"/>
              </w:rPr>
              <w:t>需采用高强度铝合金材质 6063-T5，壁厚1.3mm～1.5 mm，重量不大于0.32kg/m，表面需进行磨砂氧化处理（颜色为灰色）可根据窗帘高度及面积增加配重，保证面料平整。</w:t>
            </w:r>
          </w:p>
        </w:tc>
        <w:tc>
          <w:tcPr>
            <w:tcW w:w="2835" w:type="dxa"/>
            <w:noWrap w:val="0"/>
            <w:vAlign w:val="center"/>
          </w:tcPr>
          <w:p>
            <w:pPr>
              <w:adjustRightInd/>
              <w:spacing w:line="276" w:lineRule="auto"/>
              <w:ind w:right="3036" w:rightChars="1265"/>
              <w:textAlignment w:val="auto"/>
              <w:rPr>
                <w:rFonts w:ascii="宋体" w:hAnsi="宋体" w:cs="宋体"/>
                <w:color w:val="000000"/>
                <w:kern w:val="2"/>
                <w:sz w:val="21"/>
                <w:szCs w:val="21"/>
                <w:highlight w:val="none"/>
              </w:rPr>
            </w:pPr>
            <w:r>
              <w:rPr>
                <w:rFonts w:ascii="宋体" w:hAnsi="宋体" w:cs="宋体"/>
                <w:color w:val="000000"/>
                <w:kern w:val="2"/>
                <w:sz w:val="21"/>
                <w:szCs w:val="21"/>
                <w:highlight w:val="none"/>
              </w:rPr>
              <w:drawing>
                <wp:anchor distT="0" distB="0" distL="114300" distR="114300" simplePos="0" relativeHeight="251661312" behindDoc="0" locked="0" layoutInCell="1" allowOverlap="1">
                  <wp:simplePos x="0" y="0"/>
                  <wp:positionH relativeFrom="column">
                    <wp:posOffset>354965</wp:posOffset>
                  </wp:positionH>
                  <wp:positionV relativeFrom="paragraph">
                    <wp:posOffset>280670</wp:posOffset>
                  </wp:positionV>
                  <wp:extent cx="978535" cy="764540"/>
                  <wp:effectExtent l="34290" t="0" r="111125" b="0"/>
                  <wp:wrapNone/>
                  <wp:docPr id="3" name="图片 34" descr="E:\360YUNPAN\3-常用文件\!-公司文件\J-技术文件\窗帘\底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4" descr="E:\360YUNPAN\3-常用文件\!-公司文件\J-技术文件\窗帘\底槽.png"/>
                          <pic:cNvPicPr>
                            <a:picLocks noChangeAspect="1"/>
                          </pic:cNvPicPr>
                        </pic:nvPicPr>
                        <pic:blipFill>
                          <a:blip r:embed="rId42"/>
                          <a:stretch>
                            <a:fillRect/>
                          </a:stretch>
                        </pic:blipFill>
                        <pic:spPr>
                          <a:xfrm rot="2566419" flipH="1">
                            <a:off x="0" y="0"/>
                            <a:ext cx="978535" cy="76454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6443" w:type="dxa"/>
            <w:noWrap w:val="0"/>
            <w:vAlign w:val="center"/>
          </w:tcPr>
          <w:p>
            <w:pPr>
              <w:adjustRightInd/>
              <w:spacing w:before="120" w:beforeLines="50" w:line="360" w:lineRule="auto"/>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拉珠</w:t>
            </w:r>
            <w:r>
              <w:rPr>
                <w:rFonts w:ascii="宋体" w:hAnsi="宋体" w:cs="宋体"/>
                <w:color w:val="000000"/>
                <w:kern w:val="2"/>
                <w:sz w:val="21"/>
                <w:szCs w:val="21"/>
                <w:highlight w:val="none"/>
              </w:rPr>
              <w:t>：</w:t>
            </w:r>
            <w:r>
              <w:rPr>
                <w:rFonts w:hint="eastAsia" w:ascii="宋体" w:hAnsi="宋体" w:cs="宋体"/>
                <w:color w:val="000000"/>
                <w:kern w:val="2"/>
                <w:sz w:val="21"/>
                <w:szCs w:val="21"/>
                <w:highlight w:val="none"/>
              </w:rPr>
              <w:t>进口塑料材质，应做到颗粒圆整、间距均匀，表面光洁、不易褪色，用手接触无毛刺感，需具有自润滑作用，拉珠颜色和系统外观颜色应保持一致。</w:t>
            </w:r>
          </w:p>
        </w:tc>
        <w:tc>
          <w:tcPr>
            <w:tcW w:w="2835" w:type="dxa"/>
            <w:noWrap w:val="0"/>
            <w:vAlign w:val="center"/>
          </w:tcPr>
          <w:p>
            <w:pPr>
              <w:adjustRightInd/>
              <w:spacing w:line="276" w:lineRule="auto"/>
              <w:ind w:right="3036" w:rightChars="1265"/>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drawing>
                <wp:anchor distT="0" distB="0" distL="114300" distR="114300" simplePos="0" relativeHeight="251662336" behindDoc="0" locked="0" layoutInCell="1" allowOverlap="1">
                  <wp:simplePos x="0" y="0"/>
                  <wp:positionH relativeFrom="column">
                    <wp:posOffset>317500</wp:posOffset>
                  </wp:positionH>
                  <wp:positionV relativeFrom="paragraph">
                    <wp:posOffset>597535</wp:posOffset>
                  </wp:positionV>
                  <wp:extent cx="1105535" cy="89535"/>
                  <wp:effectExtent l="0" t="0" r="18415" b="5715"/>
                  <wp:wrapNone/>
                  <wp:docPr id="4" name="图片 33" descr="E:\360YUNPAN\3-常用文件\!-公司文件\J-技术文件\窗帘\拉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3" descr="E:\360YUNPAN\3-常用文件\!-公司文件\J-技术文件\窗帘\拉珠.png"/>
                          <pic:cNvPicPr>
                            <a:picLocks noChangeAspect="1"/>
                          </pic:cNvPicPr>
                        </pic:nvPicPr>
                        <pic:blipFill>
                          <a:blip r:embed="rId43"/>
                          <a:stretch>
                            <a:fillRect/>
                          </a:stretch>
                        </pic:blipFill>
                        <pic:spPr>
                          <a:xfrm>
                            <a:off x="0" y="0"/>
                            <a:ext cx="1105535" cy="89535"/>
                          </a:xfrm>
                          <a:prstGeom prst="rect">
                            <a:avLst/>
                          </a:prstGeom>
                          <a:noFill/>
                          <a:ln>
                            <a:noFill/>
                          </a:ln>
                        </pic:spPr>
                      </pic:pic>
                    </a:graphicData>
                  </a:graphic>
                </wp:anchor>
              </w:drawing>
            </w:r>
          </w:p>
        </w:tc>
      </w:tr>
    </w:tbl>
    <w:p>
      <w:pPr>
        <w:adjustRightInd/>
        <w:spacing w:line="240" w:lineRule="auto"/>
        <w:textAlignment w:val="auto"/>
        <w:rPr>
          <w:color w:val="000000"/>
          <w:kern w:val="2"/>
          <w:sz w:val="21"/>
          <w:szCs w:val="24"/>
          <w:highlight w:val="none"/>
        </w:rPr>
      </w:pPr>
    </w:p>
    <w:p>
      <w:pPr>
        <w:adjustRightInd/>
        <w:spacing w:line="240" w:lineRule="auto"/>
        <w:textAlignment w:val="auto"/>
        <w:rPr>
          <w:color w:val="000000"/>
          <w:kern w:val="2"/>
          <w:sz w:val="21"/>
          <w:szCs w:val="24"/>
          <w:highlight w:val="none"/>
        </w:rPr>
      </w:pPr>
      <w:r>
        <w:rPr>
          <w:color w:val="000000"/>
          <w:kern w:val="2"/>
          <w:sz w:val="21"/>
          <w:szCs w:val="24"/>
          <w:highlight w:val="none"/>
        </w:rPr>
        <w:br w:type="page"/>
      </w:r>
    </w:p>
    <w:p>
      <w:pPr>
        <w:numPr>
          <w:ilvl w:val="2"/>
          <w:numId w:val="8"/>
        </w:numPr>
        <w:spacing w:line="360" w:lineRule="auto"/>
        <w:outlineLvl w:val="1"/>
        <w:rPr>
          <w:rFonts w:hint="eastAsia"/>
          <w:b/>
          <w:bCs/>
          <w:color w:val="000000"/>
          <w:highlight w:val="none"/>
        </w:rPr>
      </w:pPr>
      <w:r>
        <w:rPr>
          <w:rFonts w:hint="eastAsia"/>
          <w:b/>
          <w:bCs/>
          <w:color w:val="000000"/>
          <w:highlight w:val="none"/>
        </w:rPr>
        <w:t>面料参数</w:t>
      </w:r>
    </w:p>
    <w:tbl>
      <w:tblPr>
        <w:tblStyle w:val="33"/>
        <w:tblW w:w="47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4"/>
        <w:gridCol w:w="1624"/>
        <w:gridCol w:w="1626"/>
        <w:gridCol w:w="1624"/>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pct"/>
            <w:vMerge w:val="restart"/>
            <w:noWrap w:val="0"/>
            <w:vAlign w:val="center"/>
          </w:tcPr>
          <w:p>
            <w:pPr>
              <w:jc w:val="center"/>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卷帘</w:t>
            </w:r>
            <w:r>
              <w:rPr>
                <w:rFonts w:ascii="宋体" w:hAnsi="宋体" w:cs="宋体"/>
                <w:b/>
                <w:color w:val="000000"/>
                <w:kern w:val="2"/>
                <w:sz w:val="21"/>
                <w:szCs w:val="21"/>
                <w:highlight w:val="none"/>
              </w:rPr>
              <w:t>面料参数</w:t>
            </w:r>
          </w:p>
        </w:tc>
        <w:tc>
          <w:tcPr>
            <w:tcW w:w="1743" w:type="pct"/>
            <w:gridSpan w:val="2"/>
            <w:tcBorders>
              <w:bottom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遮光面料</w:t>
            </w:r>
          </w:p>
        </w:tc>
        <w:tc>
          <w:tcPr>
            <w:tcW w:w="1741" w:type="pct"/>
            <w:gridSpan w:val="2"/>
            <w:tcBorders>
              <w:top w:val="single" w:color="000000" w:sz="4" w:space="0"/>
              <w:bottom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透景面料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pct"/>
            <w:vMerge w:val="continue"/>
            <w:noWrap w:val="0"/>
            <w:vAlign w:val="center"/>
          </w:tcPr>
          <w:p>
            <w:pPr>
              <w:jc w:val="center"/>
              <w:rPr>
                <w:rFonts w:ascii="宋体" w:hAnsi="宋体" w:cs="宋体"/>
                <w:b/>
                <w:color w:val="000000"/>
                <w:kern w:val="2"/>
                <w:sz w:val="21"/>
                <w:szCs w:val="21"/>
                <w:highlight w:val="none"/>
              </w:rPr>
            </w:pPr>
          </w:p>
        </w:tc>
        <w:tc>
          <w:tcPr>
            <w:tcW w:w="871" w:type="pct"/>
            <w:tcBorders>
              <w:top w:val="single" w:color="000000" w:sz="4" w:space="0"/>
              <w:bottom w:val="single" w:color="000000" w:sz="4" w:space="0"/>
              <w:right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正面</w:t>
            </w:r>
          </w:p>
        </w:tc>
        <w:tc>
          <w:tcPr>
            <w:tcW w:w="872" w:type="pct"/>
            <w:tcBorders>
              <w:top w:val="single" w:color="000000" w:sz="4" w:space="0"/>
              <w:left w:val="single" w:color="000000" w:sz="4" w:space="0"/>
              <w:bottom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背面</w:t>
            </w:r>
          </w:p>
        </w:tc>
        <w:tc>
          <w:tcPr>
            <w:tcW w:w="871" w:type="pct"/>
            <w:tcBorders>
              <w:top w:val="single" w:color="000000" w:sz="4" w:space="0"/>
              <w:bottom w:val="single" w:color="000000" w:sz="4" w:space="0"/>
              <w:right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正面</w:t>
            </w:r>
          </w:p>
        </w:tc>
        <w:tc>
          <w:tcPr>
            <w:tcW w:w="870" w:type="pct"/>
            <w:tcBorders>
              <w:top w:val="single" w:color="000000" w:sz="4" w:space="0"/>
              <w:bottom w:val="single" w:color="000000" w:sz="4" w:space="0"/>
              <w:right w:val="single" w:color="000000" w:sz="4" w:space="0"/>
            </w:tcBorders>
            <w:noWrap w:val="0"/>
            <w:vAlign w:val="center"/>
          </w:tcPr>
          <w:p>
            <w:pPr>
              <w:adjustRightInd/>
              <w:spacing w:line="240" w:lineRule="auto"/>
              <w:jc w:val="center"/>
              <w:textAlignment w:val="auto"/>
              <w:rPr>
                <w:b/>
                <w:color w:val="000000"/>
                <w:kern w:val="2"/>
                <w:sz w:val="21"/>
                <w:szCs w:val="24"/>
                <w:highlight w:val="none"/>
              </w:rPr>
            </w:pPr>
            <w:r>
              <w:rPr>
                <w:rFonts w:hint="eastAsia"/>
                <w:b/>
                <w:color w:val="000000"/>
                <w:kern w:val="2"/>
                <w:sz w:val="21"/>
                <w:szCs w:val="24"/>
                <w:highlight w:val="none"/>
              </w:rPr>
              <w:t>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jc w:val="center"/>
        </w:trPr>
        <w:tc>
          <w:tcPr>
            <w:tcW w:w="1515" w:type="pct"/>
            <w:vMerge w:val="continue"/>
            <w:noWrap w:val="0"/>
            <w:vAlign w:val="center"/>
          </w:tcPr>
          <w:p>
            <w:pPr>
              <w:jc w:val="center"/>
              <w:rPr>
                <w:rFonts w:ascii="宋体" w:hAnsi="宋体" w:cs="宋体"/>
                <w:b/>
                <w:color w:val="000000"/>
                <w:kern w:val="2"/>
                <w:sz w:val="21"/>
                <w:szCs w:val="21"/>
                <w:highlight w:val="none"/>
              </w:rPr>
            </w:pPr>
          </w:p>
        </w:tc>
        <w:tc>
          <w:tcPr>
            <w:tcW w:w="871" w:type="pct"/>
            <w:tcBorders>
              <w:top w:val="single" w:color="000000" w:sz="4" w:space="0"/>
              <w:bottom w:val="single" w:color="000000" w:sz="4" w:space="0"/>
              <w:right w:val="single" w:color="000000" w:sz="4" w:space="0"/>
            </w:tcBorders>
            <w:noWrap w:val="0"/>
            <w:vAlign w:val="top"/>
          </w:tcPr>
          <w:p>
            <w:pPr>
              <w:spacing w:before="120"/>
              <w:ind w:firstLine="422" w:firstLineChars="200"/>
              <w:jc w:val="center"/>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drawing>
                <wp:anchor distT="0" distB="0" distL="114300" distR="114300" simplePos="0" relativeHeight="251665408" behindDoc="0" locked="0" layoutInCell="1" allowOverlap="1">
                  <wp:simplePos x="0" y="0"/>
                  <wp:positionH relativeFrom="column">
                    <wp:posOffset>18415</wp:posOffset>
                  </wp:positionH>
                  <wp:positionV relativeFrom="paragraph">
                    <wp:posOffset>90170</wp:posOffset>
                  </wp:positionV>
                  <wp:extent cx="899795" cy="852170"/>
                  <wp:effectExtent l="0" t="0" r="14605" b="5080"/>
                  <wp:wrapNone/>
                  <wp:docPr id="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8"/>
                          <pic:cNvPicPr>
                            <a:picLocks noChangeAspect="1"/>
                          </pic:cNvPicPr>
                        </pic:nvPicPr>
                        <pic:blipFill>
                          <a:blip r:embed="rId44"/>
                          <a:stretch>
                            <a:fillRect/>
                          </a:stretch>
                        </pic:blipFill>
                        <pic:spPr>
                          <a:xfrm>
                            <a:off x="0" y="0"/>
                            <a:ext cx="899795" cy="852170"/>
                          </a:xfrm>
                          <a:prstGeom prst="rect">
                            <a:avLst/>
                          </a:prstGeom>
                          <a:noFill/>
                          <a:ln>
                            <a:noFill/>
                          </a:ln>
                        </pic:spPr>
                      </pic:pic>
                    </a:graphicData>
                  </a:graphic>
                </wp:anchor>
              </w:drawing>
            </w:r>
          </w:p>
        </w:tc>
        <w:tc>
          <w:tcPr>
            <w:tcW w:w="872" w:type="pct"/>
            <w:tcBorders>
              <w:top w:val="single" w:color="000000" w:sz="4" w:space="0"/>
              <w:left w:val="single" w:color="000000" w:sz="4" w:space="0"/>
              <w:bottom w:val="single" w:color="000000" w:sz="4" w:space="0"/>
            </w:tcBorders>
            <w:noWrap w:val="0"/>
            <w:vAlign w:val="top"/>
          </w:tcPr>
          <w:p>
            <w:pPr>
              <w:spacing w:before="120"/>
              <w:ind w:firstLine="422" w:firstLineChars="200"/>
              <w:jc w:val="center"/>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drawing>
                <wp:anchor distT="0" distB="0" distL="114300" distR="114300" simplePos="0" relativeHeight="251666432" behindDoc="0" locked="0" layoutInCell="1" allowOverlap="1">
                  <wp:simplePos x="0" y="0"/>
                  <wp:positionH relativeFrom="column">
                    <wp:posOffset>-6350</wp:posOffset>
                  </wp:positionH>
                  <wp:positionV relativeFrom="paragraph">
                    <wp:posOffset>90170</wp:posOffset>
                  </wp:positionV>
                  <wp:extent cx="899795" cy="852170"/>
                  <wp:effectExtent l="0" t="0" r="14605" b="5080"/>
                  <wp:wrapNone/>
                  <wp:docPr id="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7"/>
                          <pic:cNvPicPr>
                            <a:picLocks noChangeAspect="1"/>
                          </pic:cNvPicPr>
                        </pic:nvPicPr>
                        <pic:blipFill>
                          <a:blip r:embed="rId45"/>
                          <a:stretch>
                            <a:fillRect/>
                          </a:stretch>
                        </pic:blipFill>
                        <pic:spPr>
                          <a:xfrm>
                            <a:off x="0" y="0"/>
                            <a:ext cx="899795" cy="852170"/>
                          </a:xfrm>
                          <a:prstGeom prst="rect">
                            <a:avLst/>
                          </a:prstGeom>
                          <a:noFill/>
                          <a:ln>
                            <a:noFill/>
                          </a:ln>
                        </pic:spPr>
                      </pic:pic>
                    </a:graphicData>
                  </a:graphic>
                </wp:anchor>
              </w:drawing>
            </w:r>
          </w:p>
        </w:tc>
        <w:tc>
          <w:tcPr>
            <w:tcW w:w="871" w:type="pct"/>
            <w:tcBorders>
              <w:top w:val="single" w:color="000000" w:sz="4" w:space="0"/>
              <w:bottom w:val="single" w:color="000000" w:sz="4" w:space="0"/>
              <w:right w:val="single" w:color="000000" w:sz="4" w:space="0"/>
            </w:tcBorders>
            <w:noWrap w:val="0"/>
            <w:vAlign w:val="top"/>
          </w:tcPr>
          <w:p>
            <w:pPr>
              <w:spacing w:before="120"/>
              <w:ind w:firstLine="422" w:firstLineChars="200"/>
              <w:jc w:val="center"/>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drawing>
                <wp:anchor distT="0" distB="0" distL="114300" distR="114300" simplePos="0" relativeHeight="251667456" behindDoc="0" locked="0" layoutInCell="1" allowOverlap="1">
                  <wp:simplePos x="0" y="0"/>
                  <wp:positionH relativeFrom="column">
                    <wp:posOffset>8255</wp:posOffset>
                  </wp:positionH>
                  <wp:positionV relativeFrom="paragraph">
                    <wp:posOffset>90170</wp:posOffset>
                  </wp:positionV>
                  <wp:extent cx="899795" cy="879475"/>
                  <wp:effectExtent l="0" t="0" r="14605" b="15875"/>
                  <wp:wrapNone/>
                  <wp:docPr id="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0"/>
                          <pic:cNvPicPr>
                            <a:picLocks noChangeAspect="1"/>
                          </pic:cNvPicPr>
                        </pic:nvPicPr>
                        <pic:blipFill>
                          <a:blip r:embed="rId46"/>
                          <a:stretch>
                            <a:fillRect/>
                          </a:stretch>
                        </pic:blipFill>
                        <pic:spPr>
                          <a:xfrm>
                            <a:off x="0" y="0"/>
                            <a:ext cx="899795" cy="879475"/>
                          </a:xfrm>
                          <a:prstGeom prst="rect">
                            <a:avLst/>
                          </a:prstGeom>
                          <a:noFill/>
                          <a:ln>
                            <a:noFill/>
                          </a:ln>
                        </pic:spPr>
                      </pic:pic>
                    </a:graphicData>
                  </a:graphic>
                </wp:anchor>
              </w:drawing>
            </w:r>
          </w:p>
        </w:tc>
        <w:tc>
          <w:tcPr>
            <w:tcW w:w="870" w:type="pct"/>
            <w:tcBorders>
              <w:top w:val="single" w:color="000000" w:sz="4" w:space="0"/>
              <w:left w:val="single" w:color="000000" w:sz="4" w:space="0"/>
              <w:bottom w:val="single" w:color="000000" w:sz="4" w:space="0"/>
            </w:tcBorders>
            <w:noWrap w:val="0"/>
            <w:vAlign w:val="top"/>
          </w:tcPr>
          <w:p>
            <w:pPr>
              <w:spacing w:before="120"/>
              <w:ind w:firstLine="422" w:firstLineChars="200"/>
              <w:jc w:val="center"/>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drawing>
                <wp:anchor distT="0" distB="0" distL="114300" distR="114300" simplePos="0" relativeHeight="251668480" behindDoc="0" locked="0" layoutInCell="1" allowOverlap="1">
                  <wp:simplePos x="0" y="0"/>
                  <wp:positionH relativeFrom="column">
                    <wp:posOffset>3175</wp:posOffset>
                  </wp:positionH>
                  <wp:positionV relativeFrom="paragraph">
                    <wp:posOffset>90170</wp:posOffset>
                  </wp:positionV>
                  <wp:extent cx="899795" cy="879475"/>
                  <wp:effectExtent l="0" t="0" r="14605" b="15875"/>
                  <wp:wrapNone/>
                  <wp:docPr id="1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9"/>
                          <pic:cNvPicPr>
                            <a:picLocks noChangeAspect="1"/>
                          </pic:cNvPicPr>
                        </pic:nvPicPr>
                        <pic:blipFill>
                          <a:blip r:embed="rId46"/>
                          <a:stretch>
                            <a:fillRect/>
                          </a:stretch>
                        </pic:blipFill>
                        <pic:spPr>
                          <a:xfrm>
                            <a:off x="0" y="0"/>
                            <a:ext cx="899795" cy="87947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开孔率：</w:t>
            </w:r>
          </w:p>
        </w:tc>
        <w:tc>
          <w:tcPr>
            <w:tcW w:w="1743" w:type="pct"/>
            <w:gridSpan w:val="2"/>
            <w:tcBorders>
              <w:top w:val="single" w:color="000000" w:sz="4" w:space="0"/>
            </w:tcBorders>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0</w:t>
            </w:r>
            <w:r>
              <w:rPr>
                <w:rFonts w:ascii="宋体" w:hAnsi="宋体" w:cs="宋体"/>
                <w:color w:val="000000"/>
                <w:kern w:val="2"/>
                <w:sz w:val="21"/>
                <w:szCs w:val="21"/>
                <w:highlight w:val="none"/>
              </w:rPr>
              <w:t>%</w:t>
            </w:r>
          </w:p>
        </w:tc>
        <w:tc>
          <w:tcPr>
            <w:tcW w:w="1741" w:type="pct"/>
            <w:gridSpan w:val="2"/>
            <w:tcBorders>
              <w:top w:val="single" w:color="000000" w:sz="4" w:space="0"/>
            </w:tcBorders>
            <w:noWrap w:val="0"/>
            <w:vAlign w:val="center"/>
          </w:tcPr>
          <w:p>
            <w:pPr>
              <w:adjustRightInd/>
              <w:jc w:val="center"/>
              <w:textAlignment w:val="auto"/>
              <w:rPr>
                <w:rFonts w:ascii="宋体" w:hAnsi="宋体" w:cs="宋体"/>
                <w:color w:val="000000"/>
                <w:kern w:val="2"/>
                <w:sz w:val="21"/>
                <w:szCs w:val="21"/>
                <w:highlight w:val="none"/>
              </w:rPr>
            </w:pPr>
            <w:r>
              <w:rPr>
                <w:rFonts w:ascii="宋体" w:hAnsi="宋体" w:cs="宋体"/>
                <w:color w:val="000000"/>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成分：</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不低于30</w:t>
            </w:r>
            <w:r>
              <w:rPr>
                <w:rFonts w:ascii="宋体" w:hAnsi="宋体" w:cs="宋体"/>
                <w:color w:val="000000"/>
                <w:kern w:val="2"/>
                <w:sz w:val="21"/>
                <w:szCs w:val="21"/>
                <w:highlight w:val="none"/>
              </w:rPr>
              <w:t>%Polyester+70%PVC</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不低于30</w:t>
            </w:r>
            <w:r>
              <w:rPr>
                <w:rFonts w:ascii="宋体" w:hAnsi="宋体" w:cs="宋体"/>
                <w:color w:val="000000"/>
                <w:kern w:val="2"/>
                <w:sz w:val="21"/>
                <w:szCs w:val="21"/>
                <w:highlight w:val="none"/>
              </w:rPr>
              <w:t>%Polyester+70%PVC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幅宽：</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2000/2500/3000</w:t>
            </w:r>
            <w:r>
              <w:rPr>
                <w:rFonts w:ascii="宋体" w:hAnsi="宋体" w:cs="宋体"/>
                <w:color w:val="000000"/>
                <w:kern w:val="2"/>
                <w:sz w:val="21"/>
                <w:szCs w:val="21"/>
                <w:highlight w:val="none"/>
              </w:rPr>
              <w:t>mm</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2000/2500/3000</w:t>
            </w:r>
            <w:r>
              <w:rPr>
                <w:rFonts w:ascii="宋体" w:hAnsi="宋体" w:cs="宋体"/>
                <w:color w:val="000000"/>
                <w:kern w:val="2"/>
                <w:sz w:val="21"/>
                <w:szCs w:val="21"/>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克重：</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不低于630/㎡</w:t>
            </w:r>
            <w:r>
              <w:rPr>
                <w:rFonts w:ascii="宋体" w:hAnsi="宋体" w:cs="宋体"/>
                <w:color w:val="000000"/>
                <w:kern w:val="2"/>
                <w:sz w:val="21"/>
                <w:szCs w:val="21"/>
                <w:highlight w:val="none"/>
              </w:rPr>
              <w:t>±5%</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w:t>
            </w:r>
            <w:r>
              <w:rPr>
                <w:rFonts w:ascii="宋体" w:hAnsi="宋体" w:cs="宋体"/>
                <w:color w:val="000000"/>
                <w:kern w:val="2"/>
                <w:sz w:val="21"/>
                <w:szCs w:val="21"/>
                <w:highlight w:val="none"/>
              </w:rPr>
              <w:t>410</w:t>
            </w:r>
            <w:r>
              <w:rPr>
                <w:rFonts w:hint="eastAsia" w:ascii="宋体" w:hAnsi="宋体" w:cs="宋体"/>
                <w:color w:val="000000"/>
                <w:kern w:val="2"/>
                <w:sz w:val="21"/>
                <w:szCs w:val="21"/>
                <w:highlight w:val="none"/>
              </w:rPr>
              <w:t>/㎡</w:t>
            </w:r>
            <w:r>
              <w:rPr>
                <w:rFonts w:ascii="宋体" w:hAnsi="宋体" w:cs="宋体"/>
                <w:color w:val="000000"/>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厚度：</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不低于0.75</w:t>
            </w:r>
            <w:r>
              <w:rPr>
                <w:rFonts w:ascii="宋体" w:hAnsi="宋体" w:cs="宋体"/>
                <w:color w:val="000000"/>
                <w:kern w:val="2"/>
                <w:sz w:val="21"/>
                <w:szCs w:val="21"/>
                <w:highlight w:val="none"/>
              </w:rPr>
              <w:t>mm±5%</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不低于0.</w:t>
            </w:r>
            <w:r>
              <w:rPr>
                <w:rFonts w:ascii="宋体" w:hAnsi="宋体" w:cs="宋体"/>
                <w:color w:val="000000"/>
                <w:kern w:val="2"/>
                <w:sz w:val="21"/>
                <w:szCs w:val="21"/>
                <w:highlight w:val="none"/>
              </w:rPr>
              <w:t>5mm±5%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抗拉</w:t>
            </w:r>
            <w:r>
              <w:rPr>
                <w:rFonts w:ascii="宋体" w:hAnsi="宋体" w:cs="宋体"/>
                <w:b/>
                <w:color w:val="000000"/>
                <w:kern w:val="2"/>
                <w:sz w:val="21"/>
                <w:szCs w:val="21"/>
                <w:highlight w:val="none"/>
              </w:rPr>
              <w:t>强度</w:t>
            </w:r>
            <w:r>
              <w:rPr>
                <w:rFonts w:hint="eastAsia" w:ascii="宋体" w:hAnsi="宋体" w:cs="宋体"/>
                <w:b/>
                <w:color w:val="000000"/>
                <w:kern w:val="2"/>
                <w:sz w:val="21"/>
                <w:szCs w:val="21"/>
                <w:highlight w:val="none"/>
              </w:rPr>
              <w:t>：</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不低于1650N/5</w:t>
            </w:r>
            <w:r>
              <w:rPr>
                <w:rFonts w:ascii="宋体" w:hAnsi="宋体" w:cs="宋体"/>
                <w:color w:val="000000"/>
                <w:kern w:val="2"/>
                <w:sz w:val="21"/>
                <w:szCs w:val="21"/>
                <w:highlight w:val="none"/>
              </w:rPr>
              <w:t>CM</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不低于1650N/5</w:t>
            </w:r>
            <w:r>
              <w:rPr>
                <w:rFonts w:ascii="宋体" w:hAnsi="宋体" w:cs="宋体"/>
                <w:color w:val="000000"/>
                <w:kern w:val="2"/>
                <w:sz w:val="21"/>
                <w:szCs w:val="21"/>
                <w:highlight w:val="none"/>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阻燃</w:t>
            </w:r>
            <w:r>
              <w:rPr>
                <w:rFonts w:ascii="宋体" w:hAnsi="宋体" w:cs="宋体"/>
                <w:b/>
                <w:color w:val="000000"/>
                <w:kern w:val="2"/>
                <w:sz w:val="21"/>
                <w:szCs w:val="21"/>
                <w:highlight w:val="none"/>
              </w:rPr>
              <w:t>等级</w:t>
            </w:r>
            <w:r>
              <w:rPr>
                <w:rFonts w:hint="eastAsia" w:ascii="宋体" w:hAnsi="宋体" w:cs="宋体"/>
                <w:b/>
                <w:color w:val="000000"/>
                <w:kern w:val="2"/>
                <w:sz w:val="21"/>
                <w:szCs w:val="21"/>
                <w:highlight w:val="none"/>
              </w:rPr>
              <w:t>：</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不低于B1级</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不低于B1级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5" w:type="pct"/>
            <w:noWrap w:val="0"/>
            <w:vAlign w:val="center"/>
          </w:tcPr>
          <w:p>
            <w:pPr>
              <w:adjustRightInd/>
              <w:jc w:val="center"/>
              <w:textAlignment w:val="auto"/>
              <w:rPr>
                <w:rFonts w:ascii="宋体" w:hAnsi="宋体" w:cs="宋体"/>
                <w:b/>
                <w:color w:val="000000"/>
                <w:kern w:val="2"/>
                <w:sz w:val="21"/>
                <w:szCs w:val="21"/>
                <w:highlight w:val="none"/>
              </w:rPr>
            </w:pPr>
            <w:r>
              <w:rPr>
                <w:rFonts w:hint="eastAsia" w:ascii="宋体" w:hAnsi="宋体" w:cs="宋体"/>
                <w:b/>
                <w:color w:val="000000"/>
                <w:kern w:val="2"/>
                <w:sz w:val="21"/>
                <w:szCs w:val="21"/>
                <w:highlight w:val="none"/>
              </w:rPr>
              <w:t>耐光</w:t>
            </w:r>
            <w:r>
              <w:rPr>
                <w:rFonts w:ascii="宋体" w:hAnsi="宋体" w:cs="宋体"/>
                <w:b/>
                <w:color w:val="000000"/>
                <w:kern w:val="2"/>
                <w:sz w:val="21"/>
                <w:szCs w:val="21"/>
                <w:highlight w:val="none"/>
              </w:rPr>
              <w:t>色</w:t>
            </w:r>
            <w:r>
              <w:rPr>
                <w:rFonts w:hint="eastAsia" w:ascii="宋体" w:hAnsi="宋体" w:cs="宋体"/>
                <w:b/>
                <w:color w:val="000000"/>
                <w:kern w:val="2"/>
                <w:sz w:val="21"/>
                <w:szCs w:val="21"/>
                <w:highlight w:val="none"/>
              </w:rPr>
              <w:t>牢</w:t>
            </w:r>
            <w:r>
              <w:rPr>
                <w:rFonts w:ascii="宋体" w:hAnsi="宋体" w:cs="宋体"/>
                <w:b/>
                <w:color w:val="000000"/>
                <w:kern w:val="2"/>
                <w:sz w:val="21"/>
                <w:szCs w:val="21"/>
                <w:highlight w:val="none"/>
              </w:rPr>
              <w:t>度</w:t>
            </w:r>
            <w:r>
              <w:rPr>
                <w:rFonts w:hint="eastAsia" w:ascii="宋体" w:hAnsi="宋体" w:cs="宋体"/>
                <w:b/>
                <w:color w:val="000000"/>
                <w:kern w:val="2"/>
                <w:sz w:val="21"/>
                <w:szCs w:val="21"/>
                <w:highlight w:val="none"/>
              </w:rPr>
              <w:t>：</w:t>
            </w:r>
          </w:p>
        </w:tc>
        <w:tc>
          <w:tcPr>
            <w:tcW w:w="1743"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不低于5级</w:t>
            </w:r>
          </w:p>
        </w:tc>
        <w:tc>
          <w:tcPr>
            <w:tcW w:w="1741" w:type="pct"/>
            <w:gridSpan w:val="2"/>
            <w:noWrap w:val="0"/>
            <w:vAlign w:val="center"/>
          </w:tcPr>
          <w:p>
            <w:pPr>
              <w:adjustRightInd/>
              <w:jc w:val="center"/>
              <w:textAlignment w:val="auto"/>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不低于5级</w:t>
            </w:r>
          </w:p>
        </w:tc>
      </w:tr>
    </w:tbl>
    <w:p>
      <w:pPr>
        <w:spacing w:line="360" w:lineRule="auto"/>
        <w:outlineLvl w:val="1"/>
        <w:rPr>
          <w:rFonts w:hint="eastAsia"/>
          <w:b/>
          <w:bCs/>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加工工艺要求</w:t>
      </w:r>
    </w:p>
    <w:p>
      <w:pPr>
        <w:numPr>
          <w:ilvl w:val="3"/>
          <w:numId w:val="8"/>
        </w:numPr>
        <w:spacing w:line="360" w:lineRule="auto"/>
        <w:outlineLvl w:val="1"/>
        <w:rPr>
          <w:rFonts w:hint="eastAsia"/>
          <w:color w:val="000000"/>
          <w:highlight w:val="none"/>
        </w:rPr>
      </w:pPr>
      <w:r>
        <w:rPr>
          <w:rFonts w:hint="eastAsia"/>
          <w:color w:val="000000"/>
          <w:highlight w:val="none"/>
        </w:rPr>
        <w:t>面料与卷管的连接：面料包裹 PVC 材料后插入卷管的凹槽内，需保证面料不脱落，抗弯能力强</w:t>
      </w:r>
    </w:p>
    <w:p>
      <w:pPr>
        <w:numPr>
          <w:ilvl w:val="3"/>
          <w:numId w:val="8"/>
        </w:numPr>
        <w:spacing w:line="360" w:lineRule="auto"/>
        <w:outlineLvl w:val="1"/>
        <w:rPr>
          <w:rFonts w:hint="eastAsia"/>
          <w:color w:val="000000"/>
          <w:highlight w:val="none"/>
        </w:rPr>
      </w:pPr>
      <w:r>
        <w:rPr>
          <w:rFonts w:hint="eastAsia"/>
          <w:color w:val="000000"/>
          <w:highlight w:val="none"/>
        </w:rPr>
        <w:t>面料与底槽的连接：面料经高温焊接圆棒后插入底槽，面料与底槽不脱离，不能采用钉书机钉包装带插入的方法</w:t>
      </w:r>
    </w:p>
    <w:p>
      <w:pPr>
        <w:numPr>
          <w:ilvl w:val="3"/>
          <w:numId w:val="8"/>
        </w:numPr>
        <w:spacing w:line="360" w:lineRule="auto"/>
        <w:outlineLvl w:val="1"/>
        <w:rPr>
          <w:rFonts w:hint="eastAsia"/>
          <w:color w:val="000000"/>
          <w:highlight w:val="none"/>
        </w:rPr>
      </w:pPr>
      <w:r>
        <w:rPr>
          <w:rFonts w:hint="eastAsia"/>
          <w:color w:val="000000"/>
          <w:highlight w:val="none"/>
        </w:rPr>
        <w:t>面料封边工艺：对织物面料裁切口需进行热压封边，使面料边缘整齐平整，应做到杜绝毛细纤维的散出，不产生毛边。</w:t>
      </w:r>
    </w:p>
    <w:p>
      <w:pPr>
        <w:spacing w:line="400" w:lineRule="exact"/>
        <w:ind w:left="420"/>
        <w:rPr>
          <w:rFonts w:ascii="宋体" w:hAnsi="宋体" w:cs="宋体"/>
          <w:color w:val="000000"/>
          <w:kern w:val="2"/>
          <w:sz w:val="21"/>
          <w:szCs w:val="21"/>
          <w:highlight w:val="none"/>
        </w:rPr>
      </w:pPr>
      <w:r>
        <w:rPr>
          <w:rFonts w:ascii="宋体" w:hAnsi="宋体" w:cs="宋体"/>
          <w:color w:val="000000"/>
          <w:kern w:val="2"/>
          <w:sz w:val="21"/>
          <w:szCs w:val="21"/>
          <w:highlight w:val="none"/>
        </w:rPr>
        <w:br w:type="page"/>
      </w:r>
    </w:p>
    <w:p>
      <w:pPr>
        <w:numPr>
          <w:ilvl w:val="1"/>
          <w:numId w:val="8"/>
        </w:numPr>
        <w:spacing w:line="360" w:lineRule="auto"/>
        <w:outlineLvl w:val="1"/>
        <w:rPr>
          <w:rFonts w:hint="eastAsia"/>
          <w:b/>
          <w:bCs/>
          <w:color w:val="000000"/>
          <w:highlight w:val="none"/>
        </w:rPr>
      </w:pPr>
      <w:r>
        <w:rPr>
          <w:rFonts w:hint="eastAsia"/>
          <w:b/>
          <w:bCs/>
          <w:color w:val="000000"/>
          <w:highlight w:val="none"/>
        </w:rPr>
        <w:t>电动卷帘</w:t>
      </w:r>
    </w:p>
    <w:p>
      <w:pPr>
        <w:numPr>
          <w:ilvl w:val="2"/>
          <w:numId w:val="8"/>
        </w:numPr>
        <w:spacing w:line="360" w:lineRule="auto"/>
        <w:outlineLvl w:val="1"/>
        <w:rPr>
          <w:rFonts w:hint="eastAsia"/>
          <w:b/>
          <w:bCs/>
          <w:color w:val="000000"/>
          <w:highlight w:val="none"/>
        </w:rPr>
      </w:pPr>
      <w:r>
        <w:rPr>
          <w:rFonts w:hint="eastAsia"/>
          <w:b/>
          <w:bCs/>
          <w:color w:val="000000"/>
          <w:highlight w:val="none"/>
        </w:rPr>
        <w:t>电机要求</w:t>
      </w:r>
    </w:p>
    <w:p>
      <w:pPr>
        <w:numPr>
          <w:ilvl w:val="3"/>
          <w:numId w:val="8"/>
        </w:numPr>
        <w:spacing w:line="360" w:lineRule="auto"/>
        <w:outlineLvl w:val="1"/>
        <w:rPr>
          <w:rFonts w:hint="eastAsia"/>
          <w:color w:val="000000"/>
          <w:highlight w:val="none"/>
        </w:rPr>
      </w:pPr>
      <w:r>
        <w:rPr>
          <w:rFonts w:hint="eastAsia"/>
          <w:color w:val="000000"/>
          <w:highlight w:val="none"/>
        </w:rPr>
        <w:t>控制：需具备智能管状电机，并同时具备RS-485通信协议功能</w:t>
      </w:r>
    </w:p>
    <w:p>
      <w:pPr>
        <w:numPr>
          <w:ilvl w:val="3"/>
          <w:numId w:val="8"/>
        </w:numPr>
        <w:spacing w:line="360" w:lineRule="auto"/>
        <w:outlineLvl w:val="1"/>
        <w:rPr>
          <w:rFonts w:hint="eastAsia"/>
          <w:color w:val="000000"/>
          <w:highlight w:val="none"/>
        </w:rPr>
      </w:pPr>
      <w:r>
        <w:rPr>
          <w:rFonts w:hint="eastAsia"/>
          <w:color w:val="000000"/>
          <w:highlight w:val="none"/>
        </w:rPr>
        <w:t>额定扭矩：≥6Nm</w:t>
      </w:r>
    </w:p>
    <w:p>
      <w:pPr>
        <w:numPr>
          <w:ilvl w:val="3"/>
          <w:numId w:val="8"/>
        </w:numPr>
        <w:spacing w:line="360" w:lineRule="auto"/>
        <w:outlineLvl w:val="1"/>
        <w:rPr>
          <w:rFonts w:hint="eastAsia"/>
          <w:color w:val="000000"/>
          <w:highlight w:val="none"/>
        </w:rPr>
      </w:pPr>
      <w:r>
        <w:rPr>
          <w:rFonts w:hint="eastAsia"/>
          <w:color w:val="000000"/>
          <w:highlight w:val="none"/>
        </w:rPr>
        <w:drawing>
          <wp:anchor distT="0" distB="0" distL="114300" distR="114300" simplePos="0" relativeHeight="251670528" behindDoc="0" locked="0" layoutInCell="1" allowOverlap="1">
            <wp:simplePos x="0" y="0"/>
            <wp:positionH relativeFrom="column">
              <wp:posOffset>3602990</wp:posOffset>
            </wp:positionH>
            <wp:positionV relativeFrom="paragraph">
              <wp:posOffset>92075</wp:posOffset>
            </wp:positionV>
            <wp:extent cx="2364740" cy="639445"/>
            <wp:effectExtent l="0" t="0" r="16510" b="8255"/>
            <wp:wrapSquare wrapText="bothSides"/>
            <wp:docPr id="1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2"/>
                    <pic:cNvPicPr>
                      <a:picLocks noChangeAspect="1"/>
                    </pic:cNvPicPr>
                  </pic:nvPicPr>
                  <pic:blipFill>
                    <a:blip r:embed="rId47"/>
                    <a:stretch>
                      <a:fillRect/>
                    </a:stretch>
                  </pic:blipFill>
                  <pic:spPr>
                    <a:xfrm>
                      <a:off x="0" y="0"/>
                      <a:ext cx="2364740" cy="639445"/>
                    </a:xfrm>
                    <a:prstGeom prst="rect">
                      <a:avLst/>
                    </a:prstGeom>
                    <a:noFill/>
                    <a:ln>
                      <a:noFill/>
                    </a:ln>
                  </pic:spPr>
                </pic:pic>
              </a:graphicData>
            </a:graphic>
          </wp:anchor>
        </w:drawing>
      </w:r>
      <w:r>
        <w:rPr>
          <w:rFonts w:hint="eastAsia"/>
          <w:color w:val="000000"/>
          <w:highlight w:val="none"/>
        </w:rPr>
        <w:t>额定电压：230V</w:t>
      </w:r>
    </w:p>
    <w:p>
      <w:pPr>
        <w:numPr>
          <w:ilvl w:val="3"/>
          <w:numId w:val="8"/>
        </w:numPr>
        <w:spacing w:line="360" w:lineRule="auto"/>
        <w:outlineLvl w:val="1"/>
        <w:rPr>
          <w:rFonts w:hint="eastAsia"/>
          <w:color w:val="000000"/>
          <w:highlight w:val="none"/>
        </w:rPr>
      </w:pPr>
      <w:r>
        <w:rPr>
          <w:rFonts w:hint="eastAsia"/>
          <w:color w:val="000000"/>
          <w:highlight w:val="none"/>
        </w:rPr>
        <w:t>额定电流：≤0.6A</w:t>
      </w:r>
    </w:p>
    <w:p>
      <w:pPr>
        <w:numPr>
          <w:ilvl w:val="3"/>
          <w:numId w:val="8"/>
        </w:numPr>
        <w:spacing w:line="360" w:lineRule="auto"/>
        <w:outlineLvl w:val="1"/>
        <w:rPr>
          <w:rFonts w:hint="eastAsia"/>
          <w:color w:val="000000"/>
          <w:highlight w:val="none"/>
        </w:rPr>
      </w:pPr>
      <w:r>
        <w:rPr>
          <w:rFonts w:hint="eastAsia"/>
          <w:color w:val="000000"/>
          <w:highlight w:val="none"/>
        </w:rPr>
        <w:t>额定功率：≤140W</w:t>
      </w:r>
    </w:p>
    <w:p>
      <w:pPr>
        <w:numPr>
          <w:ilvl w:val="3"/>
          <w:numId w:val="8"/>
        </w:numPr>
        <w:spacing w:line="360" w:lineRule="auto"/>
        <w:outlineLvl w:val="1"/>
        <w:rPr>
          <w:rFonts w:hint="eastAsia"/>
          <w:color w:val="000000"/>
          <w:highlight w:val="none"/>
        </w:rPr>
      </w:pPr>
      <w:r>
        <w:rPr>
          <w:rFonts w:hint="eastAsia"/>
          <w:color w:val="000000"/>
          <w:highlight w:val="none"/>
        </w:rPr>
        <w:t>噪音（dB）：≤32dB</w:t>
      </w:r>
    </w:p>
    <w:p>
      <w:pPr>
        <w:numPr>
          <w:ilvl w:val="3"/>
          <w:numId w:val="8"/>
        </w:numPr>
        <w:spacing w:line="360" w:lineRule="auto"/>
        <w:outlineLvl w:val="1"/>
        <w:rPr>
          <w:rFonts w:hint="eastAsia"/>
          <w:color w:val="000000"/>
          <w:highlight w:val="none"/>
        </w:rPr>
      </w:pPr>
      <w:r>
        <w:rPr>
          <w:rFonts w:hint="eastAsia"/>
          <w:color w:val="000000"/>
          <w:highlight w:val="none"/>
        </w:rPr>
        <w:t xml:space="preserve">防护等数：不低于IP44 </w:t>
      </w:r>
    </w:p>
    <w:p>
      <w:pPr>
        <w:numPr>
          <w:ilvl w:val="3"/>
          <w:numId w:val="8"/>
        </w:numPr>
        <w:spacing w:line="360" w:lineRule="auto"/>
        <w:outlineLvl w:val="1"/>
        <w:rPr>
          <w:rFonts w:hint="eastAsia"/>
          <w:color w:val="000000"/>
          <w:highlight w:val="none"/>
        </w:rPr>
      </w:pPr>
      <w:r>
        <w:rPr>
          <w:rFonts w:hint="eastAsia"/>
          <w:color w:val="000000"/>
          <w:highlight w:val="none"/>
        </w:rPr>
        <w:t>产品认证：需具备3C认证</w:t>
      </w:r>
    </w:p>
    <w:p>
      <w:pPr>
        <w:spacing w:line="360" w:lineRule="auto"/>
        <w:outlineLvl w:val="1"/>
        <w:rPr>
          <w:rFonts w:hint="eastAsia"/>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智能控制-主机</w:t>
      </w:r>
    </w:p>
    <w:p>
      <w:pPr>
        <w:numPr>
          <w:ilvl w:val="3"/>
          <w:numId w:val="8"/>
        </w:numPr>
        <w:spacing w:line="360" w:lineRule="auto"/>
        <w:outlineLvl w:val="1"/>
        <w:rPr>
          <w:rFonts w:hint="eastAsia"/>
          <w:color w:val="000000"/>
          <w:highlight w:val="none"/>
        </w:rPr>
      </w:pPr>
      <w:r>
        <w:rPr>
          <w:rFonts w:hint="eastAsia"/>
          <w:color w:val="000000"/>
          <w:highlight w:val="none"/>
        </w:rPr>
        <w:drawing>
          <wp:anchor distT="0" distB="0" distL="114300" distR="114300" simplePos="0" relativeHeight="251671552" behindDoc="0" locked="0" layoutInCell="1" allowOverlap="1">
            <wp:simplePos x="0" y="0"/>
            <wp:positionH relativeFrom="column">
              <wp:posOffset>3899535</wp:posOffset>
            </wp:positionH>
            <wp:positionV relativeFrom="paragraph">
              <wp:posOffset>132080</wp:posOffset>
            </wp:positionV>
            <wp:extent cx="2099310" cy="1870075"/>
            <wp:effectExtent l="0" t="0" r="15240" b="15875"/>
            <wp:wrapSquare wrapText="bothSides"/>
            <wp:docPr id="13" name="图片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067"/>
                    <pic:cNvPicPr>
                      <a:picLocks noChangeAspect="1"/>
                    </pic:cNvPicPr>
                  </pic:nvPicPr>
                  <pic:blipFill>
                    <a:blip r:embed="rId48"/>
                    <a:stretch>
                      <a:fillRect/>
                    </a:stretch>
                  </pic:blipFill>
                  <pic:spPr>
                    <a:xfrm>
                      <a:off x="0" y="0"/>
                      <a:ext cx="2099310" cy="1870075"/>
                    </a:xfrm>
                    <a:prstGeom prst="rect">
                      <a:avLst/>
                    </a:prstGeom>
                    <a:noFill/>
                    <a:ln>
                      <a:noFill/>
                    </a:ln>
                  </pic:spPr>
                </pic:pic>
              </a:graphicData>
            </a:graphic>
          </wp:anchor>
        </w:drawing>
      </w:r>
      <w:r>
        <w:rPr>
          <w:rFonts w:hint="eastAsia"/>
          <w:color w:val="000000"/>
          <w:highlight w:val="none"/>
        </w:rPr>
        <w:t>需支持最大存储不少于400个设备，RS-485通信节点数不低于60个（双BUS，每个485口节点数不低于30个），CAN节点数不低于40个。</w:t>
      </w:r>
    </w:p>
    <w:p>
      <w:pPr>
        <w:numPr>
          <w:ilvl w:val="3"/>
          <w:numId w:val="8"/>
        </w:numPr>
        <w:spacing w:line="360" w:lineRule="auto"/>
        <w:outlineLvl w:val="1"/>
        <w:rPr>
          <w:rFonts w:hint="eastAsia"/>
          <w:color w:val="000000"/>
          <w:highlight w:val="none"/>
        </w:rPr>
      </w:pPr>
      <w:r>
        <w:rPr>
          <w:rFonts w:hint="eastAsia"/>
          <w:color w:val="000000"/>
          <w:highlight w:val="none"/>
        </w:rPr>
        <w:t>支持最大存储不低于200个场景，不低于50个定时器，不低于50个序列，不低于50个自动化，不低于8个账户（本地支持不低于5个同时登录）。</w:t>
      </w:r>
    </w:p>
    <w:p>
      <w:pPr>
        <w:numPr>
          <w:ilvl w:val="3"/>
          <w:numId w:val="8"/>
        </w:numPr>
        <w:spacing w:line="360" w:lineRule="auto"/>
        <w:outlineLvl w:val="1"/>
        <w:rPr>
          <w:rFonts w:hint="eastAsia"/>
          <w:color w:val="000000"/>
          <w:highlight w:val="none"/>
        </w:rPr>
      </w:pPr>
      <w:r>
        <w:rPr>
          <w:rFonts w:hint="eastAsia"/>
          <w:color w:val="000000"/>
          <w:highlight w:val="none"/>
        </w:rPr>
        <w:t>RS-485通信总线支持设备：包括电机、灯光等。</w:t>
      </w:r>
    </w:p>
    <w:p>
      <w:pPr>
        <w:numPr>
          <w:ilvl w:val="3"/>
          <w:numId w:val="8"/>
        </w:numPr>
        <w:spacing w:line="360" w:lineRule="auto"/>
        <w:outlineLvl w:val="1"/>
        <w:rPr>
          <w:rFonts w:hint="eastAsia"/>
          <w:color w:val="000000"/>
          <w:highlight w:val="none"/>
        </w:rPr>
      </w:pPr>
      <w:r>
        <w:rPr>
          <w:rFonts w:hint="eastAsia"/>
          <w:color w:val="000000"/>
          <w:highlight w:val="none"/>
        </w:rPr>
        <w:t>需支持PC工具备份恢复数据。</w:t>
      </w:r>
    </w:p>
    <w:p>
      <w:pPr>
        <w:numPr>
          <w:ilvl w:val="3"/>
          <w:numId w:val="8"/>
        </w:numPr>
        <w:spacing w:line="360" w:lineRule="auto"/>
        <w:outlineLvl w:val="1"/>
        <w:rPr>
          <w:rFonts w:hint="eastAsia"/>
          <w:color w:val="000000"/>
          <w:highlight w:val="none"/>
        </w:rPr>
      </w:pPr>
      <w:r>
        <w:rPr>
          <w:rFonts w:hint="eastAsia"/>
          <w:color w:val="000000"/>
          <w:highlight w:val="none"/>
        </w:rPr>
        <w:t>通讯协议：不少于TCP/IP、RS-485、CAN-BUS。</w:t>
      </w:r>
    </w:p>
    <w:p>
      <w:pPr>
        <w:numPr>
          <w:ilvl w:val="3"/>
          <w:numId w:val="8"/>
        </w:numPr>
        <w:spacing w:line="360" w:lineRule="auto"/>
        <w:outlineLvl w:val="1"/>
        <w:rPr>
          <w:rFonts w:hint="eastAsia"/>
          <w:color w:val="000000"/>
          <w:highlight w:val="none"/>
        </w:rPr>
      </w:pPr>
      <w:r>
        <w:rPr>
          <w:rFonts w:hint="eastAsia"/>
          <w:color w:val="000000"/>
          <w:highlight w:val="none"/>
        </w:rPr>
        <w:t>面板材质：PC阻燃</w:t>
      </w:r>
    </w:p>
    <w:p>
      <w:pPr>
        <w:numPr>
          <w:ilvl w:val="3"/>
          <w:numId w:val="8"/>
        </w:numPr>
        <w:spacing w:line="360" w:lineRule="auto"/>
        <w:outlineLvl w:val="1"/>
        <w:rPr>
          <w:rFonts w:hint="eastAsia"/>
          <w:color w:val="000000"/>
          <w:highlight w:val="none"/>
        </w:rPr>
      </w:pPr>
      <w:r>
        <w:rPr>
          <w:rFonts w:hint="eastAsia"/>
          <w:color w:val="000000"/>
          <w:highlight w:val="none"/>
        </w:rPr>
        <w:t>供电电压：DC24V</w:t>
      </w:r>
    </w:p>
    <w:p>
      <w:pPr>
        <w:spacing w:line="360" w:lineRule="auto"/>
        <w:outlineLvl w:val="1"/>
        <w:rPr>
          <w:rFonts w:hint="eastAsia"/>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智能控制-智能面板要求</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智能控制面板需采用RS-485有线通信协议，面板上应设有多组按键，可以控制多区域内的电动窗帘；智能控制面板要求通过软件编程，定义每个按键可进行窗帘开合、场景模式等控制。</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智能金属面板按键名称可按照业主要求定制雕刻。</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drawing>
          <wp:anchor distT="0" distB="0" distL="114300" distR="114300" simplePos="0" relativeHeight="251672576" behindDoc="0" locked="0" layoutInCell="1" allowOverlap="1">
            <wp:simplePos x="0" y="0"/>
            <wp:positionH relativeFrom="column">
              <wp:posOffset>4527550</wp:posOffset>
            </wp:positionH>
            <wp:positionV relativeFrom="paragraph">
              <wp:posOffset>370840</wp:posOffset>
            </wp:positionV>
            <wp:extent cx="1594485" cy="1605915"/>
            <wp:effectExtent l="0" t="0" r="5715" b="13335"/>
            <wp:wrapSquare wrapText="bothSides"/>
            <wp:docPr id="14" name="图片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068"/>
                    <pic:cNvPicPr>
                      <a:picLocks noChangeAspect="1"/>
                    </pic:cNvPicPr>
                  </pic:nvPicPr>
                  <pic:blipFill>
                    <a:blip r:embed="rId49"/>
                    <a:stretch>
                      <a:fillRect/>
                    </a:stretch>
                  </pic:blipFill>
                  <pic:spPr>
                    <a:xfrm>
                      <a:off x="0" y="0"/>
                      <a:ext cx="1594485" cy="1605915"/>
                    </a:xfrm>
                    <a:prstGeom prst="rect">
                      <a:avLst/>
                    </a:prstGeom>
                    <a:noFill/>
                    <a:ln>
                      <a:noFill/>
                    </a:ln>
                  </pic:spPr>
                </pic:pic>
              </a:graphicData>
            </a:graphic>
          </wp:anchor>
        </w:drawing>
      </w:r>
      <w:r>
        <w:rPr>
          <w:rFonts w:hint="eastAsia"/>
          <w:color w:val="000000"/>
          <w:highlight w:val="none"/>
        </w:rPr>
        <w:t>智能金属面板应具备按键背景灯设计，按键背景灯会根据房间亮度自动调整文字亮度，夜间环境变暗时文字灯光也会随之变暗，也可直接关闭面板灯光。</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智能面板应具备清理锁定模式，防止在清洁智能面板时误触发智能控制功能。</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智能面板必须符合精装修颜色匹配要求，根据色卡提供样品。</w:t>
      </w:r>
    </w:p>
    <w:p>
      <w:pPr>
        <w:numPr>
          <w:ilvl w:val="3"/>
          <w:numId w:val="8"/>
        </w:numPr>
        <w:spacing w:line="360" w:lineRule="auto"/>
        <w:ind w:right="2563" w:rightChars="1068"/>
        <w:outlineLvl w:val="1"/>
        <w:rPr>
          <w:rFonts w:hint="eastAsia"/>
          <w:color w:val="000000"/>
          <w:highlight w:val="none"/>
        </w:rPr>
      </w:pPr>
      <w:r>
        <w:rPr>
          <w:rFonts w:hint="eastAsia"/>
          <w:color w:val="000000"/>
          <w:highlight w:val="none"/>
        </w:rPr>
        <w:t>实验室第三方智能控制，能够支持RS-485协议控制，远程控制不同场景模式的窗帘开启范围需求</w:t>
      </w:r>
    </w:p>
    <w:p>
      <w:pPr>
        <w:spacing w:line="360" w:lineRule="auto"/>
        <w:outlineLvl w:val="1"/>
        <w:rPr>
          <w:rFonts w:hint="eastAsia"/>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drawing>
          <wp:anchor distT="0" distB="0" distL="114300" distR="114300" simplePos="0" relativeHeight="251673600" behindDoc="0" locked="0" layoutInCell="1" allowOverlap="1">
            <wp:simplePos x="0" y="0"/>
            <wp:positionH relativeFrom="column">
              <wp:posOffset>4632325</wp:posOffset>
            </wp:positionH>
            <wp:positionV relativeFrom="paragraph">
              <wp:posOffset>162560</wp:posOffset>
            </wp:positionV>
            <wp:extent cx="1382395" cy="2041525"/>
            <wp:effectExtent l="0" t="0" r="8255" b="15875"/>
            <wp:wrapSquare wrapText="bothSides"/>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50"/>
                    <a:stretch>
                      <a:fillRect/>
                    </a:stretch>
                  </pic:blipFill>
                  <pic:spPr>
                    <a:xfrm>
                      <a:off x="0" y="0"/>
                      <a:ext cx="1382395" cy="2041525"/>
                    </a:xfrm>
                    <a:prstGeom prst="rect">
                      <a:avLst/>
                    </a:prstGeom>
                    <a:noFill/>
                    <a:ln>
                      <a:noFill/>
                    </a:ln>
                  </pic:spPr>
                </pic:pic>
              </a:graphicData>
            </a:graphic>
          </wp:anchor>
        </w:drawing>
      </w:r>
      <w:r>
        <w:rPr>
          <w:rFonts w:hint="eastAsia"/>
          <w:b/>
          <w:bCs/>
          <w:color w:val="000000"/>
          <w:highlight w:val="none"/>
        </w:rPr>
        <w:t>安装支架要求</w:t>
      </w:r>
    </w:p>
    <w:p>
      <w:pPr>
        <w:numPr>
          <w:ilvl w:val="3"/>
          <w:numId w:val="8"/>
        </w:numPr>
        <w:spacing w:line="360" w:lineRule="auto"/>
        <w:outlineLvl w:val="1"/>
        <w:rPr>
          <w:rFonts w:hint="eastAsia"/>
          <w:color w:val="000000"/>
          <w:highlight w:val="none"/>
        </w:rPr>
      </w:pPr>
      <w:r>
        <w:rPr>
          <w:rFonts w:hint="eastAsia"/>
          <w:color w:val="000000"/>
          <w:highlight w:val="none"/>
        </w:rPr>
        <w:t>材料：厚度≥4.0mmQ235-A冷轧钢板冲压成型，表面光亮，打磨镀锌，具有防锈功能</w:t>
      </w:r>
    </w:p>
    <w:p>
      <w:pPr>
        <w:numPr>
          <w:ilvl w:val="3"/>
          <w:numId w:val="8"/>
        </w:numPr>
        <w:spacing w:line="360" w:lineRule="auto"/>
        <w:outlineLvl w:val="1"/>
        <w:rPr>
          <w:rFonts w:hint="eastAsia"/>
          <w:color w:val="000000"/>
          <w:highlight w:val="none"/>
        </w:rPr>
      </w:pPr>
      <w:r>
        <w:rPr>
          <w:rFonts w:hint="eastAsia"/>
          <w:color w:val="000000"/>
          <w:highlight w:val="none"/>
        </w:rPr>
        <w:t>需配尼龙尾塞，表面应经过镀锌处理，具有防锈功能，需具有大面积加强筋，确保支架不变形</w:t>
      </w:r>
    </w:p>
    <w:p>
      <w:pPr>
        <w:numPr>
          <w:ilvl w:val="3"/>
          <w:numId w:val="8"/>
        </w:numPr>
        <w:spacing w:line="360" w:lineRule="auto"/>
        <w:outlineLvl w:val="1"/>
        <w:rPr>
          <w:rFonts w:hint="eastAsia"/>
          <w:color w:val="000000"/>
          <w:highlight w:val="none"/>
        </w:rPr>
      </w:pPr>
      <w:r>
        <w:rPr>
          <w:rFonts w:hint="eastAsia"/>
          <w:color w:val="000000"/>
          <w:highlight w:val="none"/>
        </w:rPr>
        <w:t>需具备专业设计调整型安装U型孔，便于定位精确安装；无尖锐角，确保安装过程不伤手不刮伤帘布；转角折弯应采用槽口设计，不会发生壁厚扭曲变形；适合不同的安装面</w:t>
      </w:r>
    </w:p>
    <w:p>
      <w:pPr>
        <w:spacing w:line="360" w:lineRule="auto"/>
        <w:outlineLvl w:val="1"/>
        <w:rPr>
          <w:rFonts w:hint="eastAsia"/>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卷管</w:t>
      </w:r>
    </w:p>
    <w:p>
      <w:pPr>
        <w:numPr>
          <w:ilvl w:val="3"/>
          <w:numId w:val="8"/>
        </w:numPr>
        <w:spacing w:line="360" w:lineRule="auto"/>
        <w:ind w:right="2323" w:rightChars="968"/>
        <w:outlineLvl w:val="1"/>
        <w:rPr>
          <w:rFonts w:hint="eastAsia"/>
          <w:color w:val="000000"/>
          <w:highlight w:val="none"/>
        </w:rPr>
      </w:pPr>
      <w:r>
        <w:rPr>
          <w:rFonts w:hint="eastAsia"/>
          <w:color w:val="000000"/>
          <w:highlight w:val="none"/>
        </w:rPr>
        <w:drawing>
          <wp:anchor distT="0" distB="0" distL="114300" distR="114300" simplePos="0" relativeHeight="251674624" behindDoc="0" locked="0" layoutInCell="1" allowOverlap="1">
            <wp:simplePos x="0" y="0"/>
            <wp:positionH relativeFrom="column">
              <wp:posOffset>4661535</wp:posOffset>
            </wp:positionH>
            <wp:positionV relativeFrom="paragraph">
              <wp:posOffset>275590</wp:posOffset>
            </wp:positionV>
            <wp:extent cx="1209675" cy="810260"/>
            <wp:effectExtent l="0" t="0" r="9525" b="8890"/>
            <wp:wrapSquare wrapText="bothSides"/>
            <wp:docPr id="16" name="图片 44" descr="E:\360YUNPAN\3-常用文件\!-公司文件\J-技术文件\窗帘\卷管.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4" descr="E:\360YUNPAN\3-常用文件\!-公司文件\J-技术文件\窗帘\卷管.png"/>
                    <pic:cNvPicPr>
                      <a:picLocks noChangeAspect="1"/>
                    </pic:cNvPicPr>
                  </pic:nvPicPr>
                  <pic:blipFill>
                    <a:blip r:embed="rId51"/>
                    <a:stretch>
                      <a:fillRect/>
                    </a:stretch>
                  </pic:blipFill>
                  <pic:spPr>
                    <a:xfrm>
                      <a:off x="0" y="0"/>
                      <a:ext cx="1209675" cy="810260"/>
                    </a:xfrm>
                    <a:prstGeom prst="rect">
                      <a:avLst/>
                    </a:prstGeom>
                    <a:noFill/>
                    <a:ln>
                      <a:noFill/>
                    </a:ln>
                  </pic:spPr>
                </pic:pic>
              </a:graphicData>
            </a:graphic>
          </wp:anchor>
        </w:drawing>
      </w:r>
      <w:r>
        <w:rPr>
          <w:rFonts w:hint="eastAsia"/>
          <w:color w:val="000000"/>
          <w:highlight w:val="none"/>
        </w:rPr>
        <w:t>材质：高强度铝合金6063-T5，管径≥62mm，管材壁厚≥2.0mm，内有不少于十根加强筋，以提高卷管的抗弯强度</w:t>
      </w:r>
    </w:p>
    <w:p>
      <w:pPr>
        <w:numPr>
          <w:ilvl w:val="3"/>
          <w:numId w:val="8"/>
        </w:numPr>
        <w:spacing w:line="360" w:lineRule="auto"/>
        <w:ind w:right="2323" w:rightChars="968"/>
        <w:outlineLvl w:val="1"/>
        <w:rPr>
          <w:rFonts w:hint="eastAsia"/>
          <w:color w:val="000000"/>
          <w:highlight w:val="none"/>
        </w:rPr>
      </w:pPr>
      <w:r>
        <w:rPr>
          <w:rFonts w:hint="eastAsia"/>
          <w:color w:val="000000"/>
          <w:highlight w:val="none"/>
        </w:rPr>
        <w:t>卷管工艺处理：表面需进行阳极氧化</w:t>
      </w:r>
    </w:p>
    <w:p>
      <w:pPr>
        <w:numPr>
          <w:ilvl w:val="3"/>
          <w:numId w:val="8"/>
        </w:numPr>
        <w:spacing w:line="360" w:lineRule="auto"/>
        <w:ind w:right="2323" w:rightChars="968"/>
        <w:outlineLvl w:val="1"/>
        <w:rPr>
          <w:rFonts w:hint="eastAsia"/>
          <w:color w:val="000000"/>
          <w:highlight w:val="none"/>
        </w:rPr>
      </w:pPr>
      <w:r>
        <w:rPr>
          <w:rFonts w:hint="eastAsia"/>
          <w:color w:val="000000"/>
          <w:highlight w:val="none"/>
        </w:rPr>
        <w:t>面料连接工艺：管材外表面应带插槽，帘布经高温高頻焊烫接插条后，可直接插入卷筒表面的凹槽中，可以承受不低于20KG的张力要求</w:t>
      </w:r>
    </w:p>
    <w:p>
      <w:pPr>
        <w:spacing w:line="360" w:lineRule="auto"/>
        <w:outlineLvl w:val="1"/>
        <w:rPr>
          <w:rFonts w:hint="eastAsia"/>
          <w:color w:val="000000"/>
          <w:highlight w:val="none"/>
        </w:rPr>
      </w:pPr>
      <w:r>
        <w:rPr>
          <w:rFonts w:hint="eastAsia"/>
          <w:b/>
          <w:bCs/>
          <w:color w:val="000000"/>
          <w:highlight w:val="none"/>
        </w:rPr>
        <w:drawing>
          <wp:anchor distT="0" distB="0" distL="114300" distR="114300" simplePos="0" relativeHeight="251676672" behindDoc="0" locked="0" layoutInCell="1" allowOverlap="1">
            <wp:simplePos x="0" y="0"/>
            <wp:positionH relativeFrom="column">
              <wp:posOffset>4827270</wp:posOffset>
            </wp:positionH>
            <wp:positionV relativeFrom="paragraph">
              <wp:posOffset>156845</wp:posOffset>
            </wp:positionV>
            <wp:extent cx="1202055" cy="939165"/>
            <wp:effectExtent l="0" t="0" r="17145" b="13335"/>
            <wp:wrapSquare wrapText="bothSides"/>
            <wp:docPr id="18" name="图片 46" descr="E:\360YUNPAN\3-常用文件\!-公司文件\J-技术文件\窗帘\底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6" descr="E:\360YUNPAN\3-常用文件\!-公司文件\J-技术文件\窗帘\底槽.png"/>
                    <pic:cNvPicPr>
                      <a:picLocks noChangeAspect="1"/>
                    </pic:cNvPicPr>
                  </pic:nvPicPr>
                  <pic:blipFill>
                    <a:blip r:embed="rId42"/>
                    <a:stretch>
                      <a:fillRect/>
                    </a:stretch>
                  </pic:blipFill>
                  <pic:spPr>
                    <a:xfrm>
                      <a:off x="0" y="0"/>
                      <a:ext cx="1202055" cy="939165"/>
                    </a:xfrm>
                    <a:prstGeom prst="rect">
                      <a:avLst/>
                    </a:prstGeom>
                    <a:noFill/>
                    <a:ln>
                      <a:noFill/>
                    </a:ln>
                  </pic:spPr>
                </pic:pic>
              </a:graphicData>
            </a:graphic>
          </wp:anchor>
        </w:drawing>
      </w:r>
    </w:p>
    <w:p>
      <w:pPr>
        <w:numPr>
          <w:ilvl w:val="2"/>
          <w:numId w:val="8"/>
        </w:numPr>
        <w:spacing w:line="360" w:lineRule="auto"/>
        <w:outlineLvl w:val="1"/>
        <w:rPr>
          <w:rFonts w:hint="eastAsia"/>
          <w:b/>
          <w:bCs/>
          <w:color w:val="000000"/>
          <w:highlight w:val="none"/>
        </w:rPr>
      </w:pPr>
      <w:r>
        <w:rPr>
          <w:rFonts w:hint="eastAsia"/>
          <w:b/>
          <w:bCs/>
          <w:color w:val="000000"/>
          <w:highlight w:val="none"/>
        </w:rPr>
        <w:t>底杆</w:t>
      </w:r>
    </w:p>
    <w:p>
      <w:pPr>
        <w:numPr>
          <w:ilvl w:val="3"/>
          <w:numId w:val="8"/>
        </w:numPr>
        <w:spacing w:line="360" w:lineRule="auto"/>
        <w:outlineLvl w:val="1"/>
        <w:rPr>
          <w:rFonts w:hint="eastAsia"/>
          <w:color w:val="000000"/>
          <w:highlight w:val="none"/>
        </w:rPr>
      </w:pPr>
      <w:r>
        <w:rPr>
          <w:rFonts w:hint="eastAsia"/>
          <w:color w:val="000000"/>
          <w:highlight w:val="none"/>
        </w:rPr>
        <w:t>材质：高强度铝合金6063-T5，方形形状，重量不大于0.75KG/m，壁厚不低于1.5mm</w:t>
      </w:r>
    </w:p>
    <w:p>
      <w:pPr>
        <w:numPr>
          <w:ilvl w:val="3"/>
          <w:numId w:val="8"/>
        </w:numPr>
        <w:spacing w:line="360" w:lineRule="auto"/>
        <w:outlineLvl w:val="1"/>
        <w:rPr>
          <w:rFonts w:hint="eastAsia"/>
          <w:color w:val="000000"/>
          <w:highlight w:val="none"/>
        </w:rPr>
      </w:pPr>
      <w:r>
        <w:rPr>
          <w:rFonts w:hint="eastAsia"/>
          <w:color w:val="000000"/>
          <w:highlight w:val="none"/>
        </w:rPr>
        <w:t>帘布底端插到下轨内，应采用压条均匀压入的连接方法，保证底部不起皱。</w:t>
      </w:r>
    </w:p>
    <w:p>
      <w:pPr>
        <w:spacing w:line="360" w:lineRule="auto"/>
        <w:outlineLvl w:val="1"/>
        <w:rPr>
          <w:rFonts w:hint="eastAsia"/>
          <w:color w:val="000000"/>
          <w:highlight w:val="none"/>
        </w:rPr>
      </w:pPr>
    </w:p>
    <w:p>
      <w:pPr>
        <w:numPr>
          <w:ilvl w:val="2"/>
          <w:numId w:val="8"/>
        </w:numPr>
        <w:spacing w:line="360" w:lineRule="auto"/>
        <w:outlineLvl w:val="1"/>
        <w:rPr>
          <w:rFonts w:hint="eastAsia"/>
          <w:b/>
          <w:bCs/>
          <w:color w:val="000000"/>
          <w:highlight w:val="none"/>
        </w:rPr>
      </w:pPr>
      <w:r>
        <w:rPr>
          <w:rFonts w:hint="eastAsia"/>
          <w:b/>
          <w:bCs/>
          <w:color w:val="000000"/>
          <w:highlight w:val="none"/>
        </w:rPr>
        <w:t>面料参数</w:t>
      </w:r>
    </w:p>
    <w:p>
      <w:pPr>
        <w:numPr>
          <w:ilvl w:val="3"/>
          <w:numId w:val="8"/>
        </w:numPr>
        <w:spacing w:line="360" w:lineRule="auto"/>
        <w:outlineLvl w:val="1"/>
        <w:rPr>
          <w:rFonts w:hint="eastAsia"/>
          <w:color w:val="000000"/>
          <w:highlight w:val="none"/>
        </w:rPr>
      </w:pPr>
      <w:r>
        <w:rPr>
          <w:rFonts w:hint="eastAsia"/>
          <w:color w:val="000000"/>
          <w:highlight w:val="none"/>
        </w:rPr>
        <w:t>开孔率：0%</w:t>
      </w:r>
    </w:p>
    <w:p>
      <w:pPr>
        <w:numPr>
          <w:ilvl w:val="3"/>
          <w:numId w:val="8"/>
        </w:numPr>
        <w:spacing w:line="360" w:lineRule="auto"/>
        <w:outlineLvl w:val="1"/>
        <w:rPr>
          <w:rFonts w:hint="eastAsia"/>
          <w:color w:val="000000"/>
          <w:highlight w:val="none"/>
        </w:rPr>
      </w:pPr>
      <w:r>
        <w:rPr>
          <w:rFonts w:hint="eastAsia"/>
          <w:color w:val="000000"/>
          <w:highlight w:val="none"/>
        </w:rPr>
        <w:t>厚度：不低于0.75mm±5%</w:t>
      </w:r>
    </w:p>
    <w:p>
      <w:pPr>
        <w:numPr>
          <w:ilvl w:val="3"/>
          <w:numId w:val="8"/>
        </w:numPr>
        <w:spacing w:line="360" w:lineRule="auto"/>
        <w:outlineLvl w:val="1"/>
        <w:rPr>
          <w:rFonts w:hint="eastAsia"/>
          <w:color w:val="000000"/>
          <w:highlight w:val="none"/>
        </w:rPr>
      </w:pPr>
      <w:r>
        <w:rPr>
          <w:rFonts w:hint="eastAsia"/>
          <w:color w:val="000000"/>
          <w:highlight w:val="none"/>
        </w:rPr>
        <w:t>成分：不低于30%Polyester+70%PVC</w:t>
      </w:r>
    </w:p>
    <w:p>
      <w:pPr>
        <w:numPr>
          <w:ilvl w:val="3"/>
          <w:numId w:val="8"/>
        </w:numPr>
        <w:spacing w:line="360" w:lineRule="auto"/>
        <w:outlineLvl w:val="1"/>
        <w:rPr>
          <w:rFonts w:hint="eastAsia"/>
          <w:color w:val="000000"/>
          <w:highlight w:val="none"/>
        </w:rPr>
      </w:pPr>
      <w:r>
        <w:rPr>
          <w:rFonts w:hint="eastAsia"/>
          <w:color w:val="000000"/>
          <w:highlight w:val="none"/>
        </w:rPr>
        <w:t>抗拉强度：不低于1650N/5CM</w:t>
      </w:r>
    </w:p>
    <w:p>
      <w:pPr>
        <w:numPr>
          <w:ilvl w:val="3"/>
          <w:numId w:val="8"/>
        </w:numPr>
        <w:spacing w:line="360" w:lineRule="auto"/>
        <w:outlineLvl w:val="1"/>
        <w:rPr>
          <w:rFonts w:hint="eastAsia"/>
          <w:color w:val="000000"/>
          <w:highlight w:val="none"/>
        </w:rPr>
      </w:pPr>
      <w:r>
        <w:rPr>
          <w:rFonts w:hint="eastAsia"/>
          <w:color w:val="000000"/>
          <w:highlight w:val="none"/>
        </w:rPr>
        <w:t>幅宽：2000/2500/3000mm</w:t>
      </w:r>
    </w:p>
    <w:p>
      <w:pPr>
        <w:numPr>
          <w:ilvl w:val="3"/>
          <w:numId w:val="8"/>
        </w:numPr>
        <w:spacing w:line="360" w:lineRule="auto"/>
        <w:outlineLvl w:val="1"/>
        <w:rPr>
          <w:rFonts w:hint="eastAsia"/>
          <w:color w:val="000000"/>
          <w:highlight w:val="none"/>
        </w:rPr>
      </w:pPr>
      <w:r>
        <w:rPr>
          <w:rFonts w:hint="eastAsia"/>
          <w:color w:val="000000"/>
          <w:highlight w:val="none"/>
        </w:rPr>
        <w:t>阻燃等级：不低于B1级</w:t>
      </w:r>
    </w:p>
    <w:p>
      <w:pPr>
        <w:numPr>
          <w:ilvl w:val="3"/>
          <w:numId w:val="8"/>
        </w:numPr>
        <w:spacing w:line="360" w:lineRule="auto"/>
        <w:outlineLvl w:val="1"/>
        <w:rPr>
          <w:rFonts w:hint="eastAsia"/>
          <w:color w:val="000000"/>
          <w:highlight w:val="none"/>
        </w:rPr>
      </w:pPr>
      <w:r>
        <w:rPr>
          <w:rFonts w:hint="eastAsia"/>
          <w:color w:val="000000"/>
          <w:highlight w:val="none"/>
        </w:rPr>
        <w:t>克重：不低于630/㎡±5%</w:t>
      </w:r>
    </w:p>
    <w:p>
      <w:pPr>
        <w:numPr>
          <w:ilvl w:val="3"/>
          <w:numId w:val="8"/>
        </w:numPr>
        <w:spacing w:line="360" w:lineRule="auto"/>
        <w:outlineLvl w:val="1"/>
        <w:rPr>
          <w:rFonts w:hint="eastAsia"/>
          <w:color w:val="000000"/>
          <w:highlight w:val="none"/>
        </w:rPr>
      </w:pPr>
      <w:r>
        <w:rPr>
          <w:rFonts w:hint="eastAsia"/>
          <w:color w:val="000000"/>
          <w:highlight w:val="none"/>
        </w:rPr>
        <w:t>耐光色牢度：不低于5级</w:t>
      </w:r>
    </w:p>
    <w:p>
      <w:pPr>
        <w:rPr>
          <w:color w:val="000000"/>
          <w:highlight w:val="none"/>
        </w:rPr>
      </w:pPr>
    </w:p>
    <w:p>
      <w:pPr>
        <w:numPr>
          <w:ilvl w:val="0"/>
          <w:numId w:val="8"/>
        </w:numPr>
        <w:spacing w:before="200" w:after="180"/>
        <w:outlineLvl w:val="0"/>
        <w:rPr>
          <w:rFonts w:ascii="Arial" w:eastAsia="黑体"/>
          <w:color w:val="000000"/>
          <w:kern w:val="44"/>
          <w:highlight w:val="none"/>
        </w:rPr>
      </w:pPr>
      <w:r>
        <w:rPr>
          <w:rFonts w:hint="eastAsia" w:ascii="Arial" w:eastAsia="黑体"/>
          <w:color w:val="000000"/>
          <w:kern w:val="44"/>
          <w:highlight w:val="none"/>
        </w:rPr>
        <w:t>相关规范及标准</w:t>
      </w:r>
    </w:p>
    <w:p>
      <w:pPr>
        <w:numPr>
          <w:ilvl w:val="1"/>
          <w:numId w:val="8"/>
        </w:numPr>
        <w:spacing w:line="360" w:lineRule="auto"/>
        <w:outlineLvl w:val="1"/>
        <w:rPr>
          <w:rFonts w:hint="eastAsia"/>
          <w:color w:val="000000"/>
          <w:highlight w:val="none"/>
        </w:rPr>
      </w:pPr>
      <w:r>
        <w:rPr>
          <w:rFonts w:hint="eastAsia"/>
          <w:color w:val="000000"/>
          <w:highlight w:val="none"/>
        </w:rPr>
        <w:t>GB/T19817-2005《纺织品装饰用织物》；</w:t>
      </w:r>
    </w:p>
    <w:p>
      <w:pPr>
        <w:numPr>
          <w:ilvl w:val="1"/>
          <w:numId w:val="8"/>
        </w:numPr>
        <w:spacing w:line="360" w:lineRule="auto"/>
        <w:outlineLvl w:val="1"/>
        <w:rPr>
          <w:rFonts w:hint="eastAsia"/>
          <w:color w:val="000000"/>
          <w:highlight w:val="none"/>
        </w:rPr>
      </w:pPr>
      <w:r>
        <w:rPr>
          <w:rFonts w:hint="eastAsia"/>
          <w:color w:val="000000"/>
          <w:highlight w:val="none"/>
        </w:rPr>
        <w:t>GB50222-95《建筑内部装修设计规范》；</w:t>
      </w:r>
    </w:p>
    <w:p>
      <w:pPr>
        <w:numPr>
          <w:ilvl w:val="1"/>
          <w:numId w:val="8"/>
        </w:numPr>
        <w:spacing w:line="360" w:lineRule="auto"/>
        <w:outlineLvl w:val="1"/>
        <w:rPr>
          <w:rFonts w:hint="eastAsia"/>
          <w:color w:val="000000"/>
          <w:highlight w:val="none"/>
        </w:rPr>
      </w:pPr>
      <w:r>
        <w:rPr>
          <w:rFonts w:hint="eastAsia"/>
          <w:color w:val="000000"/>
          <w:highlight w:val="none"/>
        </w:rPr>
        <w:t>QBL838--93《室内装饰工程质量规范》；</w:t>
      </w:r>
    </w:p>
    <w:p>
      <w:pPr>
        <w:numPr>
          <w:ilvl w:val="1"/>
          <w:numId w:val="8"/>
        </w:numPr>
        <w:spacing w:line="360" w:lineRule="auto"/>
        <w:outlineLvl w:val="1"/>
        <w:rPr>
          <w:rFonts w:hint="eastAsia"/>
          <w:color w:val="000000"/>
          <w:highlight w:val="none"/>
        </w:rPr>
      </w:pPr>
      <w:r>
        <w:rPr>
          <w:rFonts w:hint="eastAsia"/>
          <w:color w:val="000000"/>
          <w:highlight w:val="none"/>
        </w:rPr>
        <w:t>GB18401-2003《国家纺织产品基本安全技术规范》；</w:t>
      </w:r>
    </w:p>
    <w:p>
      <w:pPr>
        <w:numPr>
          <w:ilvl w:val="1"/>
          <w:numId w:val="8"/>
        </w:numPr>
        <w:spacing w:line="360" w:lineRule="auto"/>
        <w:outlineLvl w:val="1"/>
        <w:rPr>
          <w:rFonts w:hint="eastAsia"/>
          <w:color w:val="000000"/>
          <w:highlight w:val="none"/>
        </w:rPr>
      </w:pPr>
      <w:r>
        <w:rPr>
          <w:rFonts w:hint="eastAsia"/>
          <w:color w:val="000000"/>
          <w:highlight w:val="none"/>
        </w:rPr>
        <w:t>JGJ237-2011《建筑遮阳工程技术规范》；</w:t>
      </w:r>
    </w:p>
    <w:p>
      <w:pPr>
        <w:numPr>
          <w:ilvl w:val="1"/>
          <w:numId w:val="8"/>
        </w:numPr>
        <w:spacing w:line="360" w:lineRule="auto"/>
        <w:outlineLvl w:val="1"/>
        <w:rPr>
          <w:rFonts w:hint="eastAsia"/>
          <w:color w:val="000000"/>
          <w:highlight w:val="none"/>
        </w:rPr>
      </w:pPr>
      <w:r>
        <w:rPr>
          <w:rFonts w:hint="eastAsia"/>
          <w:color w:val="000000"/>
          <w:highlight w:val="none"/>
        </w:rPr>
        <w:t>GB50411《建筑节能工程施工质量验收规范》；</w:t>
      </w:r>
    </w:p>
    <w:p>
      <w:pPr>
        <w:numPr>
          <w:ilvl w:val="1"/>
          <w:numId w:val="8"/>
        </w:numPr>
        <w:spacing w:line="360" w:lineRule="auto"/>
        <w:outlineLvl w:val="1"/>
        <w:rPr>
          <w:rFonts w:hint="eastAsia"/>
          <w:color w:val="000000"/>
          <w:highlight w:val="none"/>
        </w:rPr>
      </w:pPr>
      <w:r>
        <w:rPr>
          <w:rFonts w:hint="eastAsia"/>
          <w:color w:val="000000"/>
          <w:highlight w:val="none"/>
        </w:rPr>
        <w:t>DGJ32/J19《建筑节能工程施工质量验收规程》；</w:t>
      </w:r>
    </w:p>
    <w:p>
      <w:pPr>
        <w:numPr>
          <w:ilvl w:val="1"/>
          <w:numId w:val="8"/>
        </w:numPr>
        <w:spacing w:line="360" w:lineRule="auto"/>
        <w:outlineLvl w:val="1"/>
        <w:rPr>
          <w:rFonts w:hint="eastAsia"/>
          <w:color w:val="000000"/>
          <w:highlight w:val="none"/>
        </w:rPr>
      </w:pPr>
      <w:r>
        <w:rPr>
          <w:rFonts w:hint="eastAsia"/>
          <w:color w:val="000000"/>
          <w:highlight w:val="none"/>
        </w:rPr>
        <w:t>GBJ300--305-88《建筑安装工程质量检验评定标准》；</w:t>
      </w:r>
    </w:p>
    <w:p>
      <w:pPr>
        <w:numPr>
          <w:ilvl w:val="1"/>
          <w:numId w:val="8"/>
        </w:numPr>
        <w:spacing w:line="360" w:lineRule="auto"/>
        <w:outlineLvl w:val="1"/>
        <w:rPr>
          <w:color w:val="000000"/>
          <w:highlight w:val="none"/>
        </w:rPr>
      </w:pPr>
      <w:r>
        <w:rPr>
          <w:rFonts w:hint="eastAsia"/>
          <w:color w:val="000000"/>
          <w:highlight w:val="none"/>
        </w:rPr>
        <w:t>中华人民共和国现行《装饰材料的施工和验收标准》；</w:t>
      </w:r>
    </w:p>
    <w:p>
      <w:pPr>
        <w:numPr>
          <w:ilvl w:val="0"/>
          <w:numId w:val="1"/>
        </w:numPr>
        <w:spacing w:before="200" w:after="180"/>
        <w:outlineLvl w:val="0"/>
        <w:rPr>
          <w:rFonts w:ascii="Arial" w:eastAsia="黑体"/>
          <w:color w:val="000000"/>
          <w:kern w:val="44"/>
          <w:highlight w:val="none"/>
        </w:rPr>
      </w:pPr>
      <w:r>
        <w:rPr>
          <w:rFonts w:hint="eastAsia" w:ascii="Arial" w:eastAsia="黑体"/>
          <w:color w:val="000000"/>
          <w:kern w:val="44"/>
          <w:highlight w:val="none"/>
        </w:rPr>
        <w:t>样品要求</w:t>
      </w:r>
    </w:p>
    <w:p>
      <w:pPr>
        <w:numPr>
          <w:ilvl w:val="1"/>
          <w:numId w:val="1"/>
        </w:numPr>
        <w:outlineLvl w:val="1"/>
        <w:rPr>
          <w:rFonts w:hint="eastAsia"/>
          <w:color w:val="000000"/>
          <w:highlight w:val="none"/>
        </w:rPr>
      </w:pPr>
      <w:r>
        <w:rPr>
          <w:rFonts w:hint="eastAsia"/>
          <w:color w:val="000000"/>
          <w:highlight w:val="none"/>
        </w:rPr>
        <w:t>本项目为窗帘采购，需要对者产品材料小样进行主观判断以确认是否满足本项目的采购需求。各投标人在提交投标文件时，按招标文件要求提交产品材料小样。</w:t>
      </w:r>
    </w:p>
    <w:p>
      <w:pPr>
        <w:numPr>
          <w:ilvl w:val="1"/>
          <w:numId w:val="1"/>
        </w:numPr>
        <w:outlineLvl w:val="1"/>
        <w:rPr>
          <w:rFonts w:hint="eastAsia"/>
          <w:color w:val="000000"/>
          <w:highlight w:val="none"/>
        </w:rPr>
      </w:pPr>
      <w:r>
        <w:rPr>
          <w:rFonts w:hint="eastAsia"/>
          <w:color w:val="000000"/>
          <w:highlight w:val="none"/>
        </w:rPr>
        <w:t>提供产品小样要求：（1）布料小样（含手动开合帘布帘、手动卷帘、电动卷帘等本项目所涉及的所有产品），30×30cm（各1块）；（2）开合帘轨道小样，</w:t>
      </w:r>
      <w:r>
        <w:rPr>
          <w:color w:val="000000"/>
          <w:highlight w:val="none"/>
        </w:rPr>
        <w:t>0.6</w:t>
      </w:r>
      <w:r>
        <w:rPr>
          <w:rFonts w:hint="eastAsia"/>
          <w:color w:val="000000"/>
          <w:highlight w:val="none"/>
        </w:rPr>
        <w:t>米（1个）；（3）手动卷帘小样，</w:t>
      </w:r>
      <w:r>
        <w:rPr>
          <w:color w:val="000000"/>
          <w:highlight w:val="none"/>
        </w:rPr>
        <w:t>0.6</w:t>
      </w:r>
      <w:r>
        <w:rPr>
          <w:rFonts w:hint="eastAsia"/>
          <w:color w:val="000000"/>
          <w:highlight w:val="none"/>
        </w:rPr>
        <w:t>米（1个）；材料小样需附专业机构出具的检测报告复印件并加盖公章（以上资料附在样品清单后面）。</w:t>
      </w:r>
    </w:p>
    <w:p>
      <w:pPr>
        <w:numPr>
          <w:ilvl w:val="1"/>
          <w:numId w:val="1"/>
        </w:numPr>
        <w:outlineLvl w:val="1"/>
        <w:rPr>
          <w:rFonts w:hint="eastAsia"/>
          <w:color w:val="000000"/>
          <w:highlight w:val="none"/>
        </w:rPr>
      </w:pPr>
      <w:r>
        <w:rPr>
          <w:rFonts w:hint="eastAsia"/>
          <w:color w:val="000000"/>
          <w:highlight w:val="none"/>
        </w:rPr>
        <w:t>提交样品时随附加盖公章的样品清单（格式见招标文件）。</w:t>
      </w:r>
    </w:p>
    <w:p>
      <w:pPr>
        <w:numPr>
          <w:ilvl w:val="1"/>
          <w:numId w:val="1"/>
        </w:numPr>
        <w:outlineLvl w:val="1"/>
        <w:rPr>
          <w:rFonts w:hint="eastAsia"/>
          <w:color w:val="000000"/>
          <w:highlight w:val="none"/>
        </w:rPr>
      </w:pPr>
      <w:r>
        <w:rPr>
          <w:rFonts w:hint="eastAsia"/>
          <w:color w:val="000000"/>
          <w:highlight w:val="none"/>
        </w:rPr>
        <w:t>提交样品时间：</w:t>
      </w:r>
      <w:r>
        <w:rPr>
          <w:rFonts w:hint="eastAsia"/>
          <w:color w:val="000000"/>
          <w:highlight w:val="none"/>
          <w:lang w:eastAsia="zh-CN"/>
        </w:rPr>
        <w:t>投标截止时间2021年9月23日</w:t>
      </w:r>
      <w:r>
        <w:rPr>
          <w:rFonts w:hint="eastAsia"/>
          <w:color w:val="000000"/>
          <w:highlight w:val="none"/>
          <w:lang w:val="en-US" w:eastAsia="zh-CN"/>
        </w:rPr>
        <w:t>9</w:t>
      </w:r>
      <w:r>
        <w:rPr>
          <w:rFonts w:hint="eastAsia"/>
          <w:color w:val="000000"/>
          <w:highlight w:val="none"/>
          <w:lang w:eastAsia="zh-CN"/>
        </w:rPr>
        <w:t>:</w:t>
      </w:r>
      <w:r>
        <w:rPr>
          <w:rFonts w:hint="eastAsia"/>
          <w:color w:val="000000"/>
          <w:highlight w:val="none"/>
          <w:lang w:val="en-US" w:eastAsia="zh-CN"/>
        </w:rPr>
        <w:t>3</w:t>
      </w:r>
      <w:r>
        <w:rPr>
          <w:rFonts w:hint="eastAsia"/>
          <w:color w:val="000000"/>
          <w:highlight w:val="none"/>
          <w:lang w:eastAsia="zh-CN"/>
        </w:rPr>
        <w:t>0前递交至上海市徐汇区零陵路583号海洋石油大厦1206会议室，在投标截止时间后提交的任何形式的样品，招标人均将拒绝接收。</w:t>
      </w:r>
    </w:p>
    <w:p>
      <w:pPr>
        <w:numPr>
          <w:ilvl w:val="1"/>
          <w:numId w:val="1"/>
        </w:numPr>
        <w:outlineLvl w:val="1"/>
        <w:rPr>
          <w:rFonts w:hint="eastAsia"/>
          <w:color w:val="000000"/>
          <w:highlight w:val="none"/>
        </w:rPr>
      </w:pPr>
      <w:r>
        <w:rPr>
          <w:rFonts w:hint="eastAsia"/>
          <w:color w:val="000000"/>
          <w:highlight w:val="none"/>
        </w:rPr>
        <w:t>投标人应自行做好样品的安装和保护工作，各投标人应注意保护自身已提交样品的保密性，在投标截止时间之前应根据自身经验采用有效措施对已提交的样品（成品及安装过程中以零部件或半成品形式存在的样品）进行密封（保密）处理，相关责任由投标人自行负责。安装完毕后与样品接收人进行样品移交和签收；移交完毕离场后不得再次进入样品存放地。</w:t>
      </w:r>
    </w:p>
    <w:p>
      <w:pPr>
        <w:numPr>
          <w:ilvl w:val="1"/>
          <w:numId w:val="1"/>
        </w:numPr>
        <w:outlineLvl w:val="1"/>
        <w:rPr>
          <w:rFonts w:hint="eastAsia"/>
          <w:color w:val="000000"/>
          <w:highlight w:val="none"/>
        </w:rPr>
      </w:pPr>
      <w:r>
        <w:rPr>
          <w:rFonts w:hint="eastAsia"/>
          <w:color w:val="000000"/>
          <w:highlight w:val="none"/>
        </w:rPr>
        <w:t>中标样品和未中标样品的后期处理：中标的投标人样品将由甲方封样。对于未中标人提供的样品，将在1个工作日内通知未中标人，未中标人在收到通知后的7个工作日内务必取回，若因未中标人原因导致样品不予取回或逾期取回，招标人均将此类样品视为逾期未取回样品，招标人对逾期未取回的样品进行集中处置且不承担任何保管责任，逾期未取回样品的损失直至灭失均由未中标人承担，招标人不进行任何补偿；对于中标人提供的样品，招标人将进行保管、封存，并作为履约验收的参考。</w:t>
      </w:r>
    </w:p>
    <w:p>
      <w:pPr>
        <w:numPr>
          <w:ilvl w:val="1"/>
          <w:numId w:val="1"/>
        </w:numPr>
        <w:outlineLvl w:val="1"/>
        <w:rPr>
          <w:rFonts w:hint="eastAsia"/>
          <w:color w:val="000000"/>
          <w:highlight w:val="none"/>
        </w:rPr>
      </w:pPr>
      <w:r>
        <w:rPr>
          <w:rFonts w:hint="eastAsia"/>
          <w:color w:val="000000"/>
          <w:highlight w:val="none"/>
        </w:rPr>
        <w:t>投标人未按上述要求进行出样或出样产品不全的，则评标办法中“出样产品”得分为0分。</w:t>
      </w:r>
    </w:p>
    <w:p>
      <w:pPr>
        <w:numPr>
          <w:ilvl w:val="0"/>
          <w:numId w:val="8"/>
        </w:numPr>
        <w:spacing w:before="200" w:after="180"/>
        <w:outlineLvl w:val="0"/>
        <w:rPr>
          <w:rFonts w:ascii="Arial" w:eastAsia="黑体"/>
          <w:color w:val="000000"/>
          <w:kern w:val="44"/>
          <w:highlight w:val="none"/>
        </w:rPr>
      </w:pPr>
      <w:r>
        <w:rPr>
          <w:rFonts w:hint="eastAsia" w:ascii="Arial" w:eastAsia="黑体"/>
          <w:color w:val="000000"/>
          <w:kern w:val="44"/>
          <w:highlight w:val="none"/>
        </w:rPr>
        <w:t>商务要求</w:t>
      </w:r>
    </w:p>
    <w:p>
      <w:pPr>
        <w:numPr>
          <w:ilvl w:val="1"/>
          <w:numId w:val="8"/>
        </w:numPr>
        <w:outlineLvl w:val="1"/>
        <w:rPr>
          <w:color w:val="000000"/>
          <w:highlight w:val="none"/>
        </w:rPr>
      </w:pPr>
      <w:r>
        <w:rPr>
          <w:rFonts w:hint="eastAsia"/>
          <w:color w:val="000000"/>
          <w:highlight w:val="none"/>
        </w:rPr>
        <w:t>投标人应在投标文件中提供投标产品完整的验收清单、验收条件和标准，并承诺中标后配合招标人完成验收。</w:t>
      </w:r>
    </w:p>
    <w:p>
      <w:pPr>
        <w:numPr>
          <w:ilvl w:val="1"/>
          <w:numId w:val="8"/>
        </w:numPr>
        <w:outlineLvl w:val="1"/>
        <w:rPr>
          <w:color w:val="000000"/>
          <w:highlight w:val="none"/>
        </w:rPr>
      </w:pPr>
      <w:r>
        <w:rPr>
          <w:rFonts w:hint="eastAsia"/>
          <w:color w:val="000000"/>
          <w:highlight w:val="none"/>
        </w:rPr>
        <w:t>付款方式：合同签订后，支付合同总金额的50%作为预付款，货到现场安装验收合格后支付至合同总金额的97%，其余的3%作为质保金，待质保期一年后如无质量问题，无息支付剩余款项。</w:t>
      </w:r>
    </w:p>
    <w:p>
      <w:pPr>
        <w:numPr>
          <w:ilvl w:val="1"/>
          <w:numId w:val="8"/>
        </w:numPr>
        <w:outlineLvl w:val="1"/>
        <w:rPr>
          <w:color w:val="000000"/>
          <w:highlight w:val="none"/>
        </w:rPr>
      </w:pPr>
      <w:r>
        <w:rPr>
          <w:rFonts w:hint="eastAsia"/>
          <w:color w:val="000000"/>
          <w:highlight w:val="none"/>
        </w:rPr>
        <w:t>质保期：自验收合格之日起12个月。在保修期内由于产品本身质量原因造成的任何损伤或损坏，供应商须免费负责修理或更换。。</w:t>
      </w:r>
    </w:p>
    <w:p>
      <w:pPr>
        <w:numPr>
          <w:ilvl w:val="1"/>
          <w:numId w:val="8"/>
        </w:numPr>
        <w:outlineLvl w:val="1"/>
        <w:rPr>
          <w:color w:val="000000"/>
          <w:highlight w:val="none"/>
        </w:rPr>
      </w:pPr>
      <w:r>
        <w:rPr>
          <w:rFonts w:hint="eastAsia"/>
          <w:color w:val="000000"/>
          <w:highlight w:val="none"/>
        </w:rPr>
        <w:t>交货期：合同签订后 30 日历天内完成供货并安装、调试完毕。</w:t>
      </w:r>
    </w:p>
    <w:p>
      <w:pPr>
        <w:numPr>
          <w:ilvl w:val="1"/>
          <w:numId w:val="8"/>
        </w:numPr>
        <w:outlineLvl w:val="1"/>
        <w:rPr>
          <w:color w:val="000000"/>
          <w:highlight w:val="none"/>
        </w:rPr>
      </w:pPr>
      <w:r>
        <w:rPr>
          <w:rFonts w:hint="eastAsia"/>
          <w:color w:val="000000"/>
          <w:highlight w:val="none"/>
        </w:rPr>
        <w:t>交货及安装地点：采购人指定地点</w:t>
      </w:r>
    </w:p>
    <w:p>
      <w:pPr>
        <w:rPr>
          <w:color w:val="000000"/>
          <w:highlight w:val="none"/>
        </w:rPr>
      </w:pPr>
    </w:p>
    <w:p>
      <w:pPr>
        <w:numPr>
          <w:ilvl w:val="0"/>
          <w:numId w:val="8"/>
        </w:numPr>
        <w:spacing w:before="200" w:after="180"/>
        <w:outlineLvl w:val="0"/>
        <w:rPr>
          <w:rFonts w:ascii="Arial" w:eastAsia="黑体"/>
          <w:color w:val="000000"/>
          <w:kern w:val="44"/>
          <w:highlight w:val="none"/>
        </w:rPr>
      </w:pPr>
      <w:r>
        <w:rPr>
          <w:rFonts w:hint="eastAsia" w:ascii="Arial" w:eastAsia="黑体"/>
          <w:color w:val="000000"/>
          <w:kern w:val="44"/>
          <w:highlight w:val="none"/>
        </w:rPr>
        <w:t>其它要求</w:t>
      </w:r>
    </w:p>
    <w:p>
      <w:pPr>
        <w:numPr>
          <w:ilvl w:val="1"/>
          <w:numId w:val="8"/>
        </w:numPr>
        <w:outlineLvl w:val="1"/>
        <w:rPr>
          <w:rFonts w:hint="eastAsia"/>
          <w:color w:val="000000"/>
          <w:highlight w:val="none"/>
        </w:rPr>
      </w:pPr>
      <w:r>
        <w:rPr>
          <w:rFonts w:hint="eastAsia"/>
          <w:color w:val="000000"/>
          <w:highlight w:val="none"/>
        </w:rPr>
        <w:t>售后服务响应时间：采购人提出需求后，1小时内响应，4小时到达现场。</w:t>
      </w:r>
    </w:p>
    <w:p>
      <w:pPr>
        <w:numPr>
          <w:ilvl w:val="1"/>
          <w:numId w:val="8"/>
        </w:numPr>
        <w:outlineLvl w:val="1"/>
        <w:rPr>
          <w:rFonts w:hint="eastAsia"/>
          <w:color w:val="000000"/>
          <w:highlight w:val="none"/>
        </w:rPr>
      </w:pPr>
      <w:r>
        <w:rPr>
          <w:rFonts w:hint="eastAsia"/>
          <w:color w:val="000000"/>
          <w:highlight w:val="none"/>
        </w:rPr>
        <w:t>签订合同后，款式、花纹、颜色等需经采购人最终确认后，中标人可正式生产制作。</w:t>
      </w:r>
    </w:p>
    <w:p>
      <w:pPr>
        <w:numPr>
          <w:ilvl w:val="1"/>
          <w:numId w:val="8"/>
        </w:numPr>
        <w:outlineLvl w:val="1"/>
        <w:rPr>
          <w:rFonts w:hint="eastAsia"/>
          <w:color w:val="000000"/>
          <w:highlight w:val="none"/>
        </w:rPr>
      </w:pPr>
      <w:r>
        <w:rPr>
          <w:rFonts w:hint="eastAsia"/>
          <w:color w:val="000000"/>
          <w:highlight w:val="none"/>
        </w:rPr>
        <w:t>中标人应指派专业人员按需求清单于现场进行测量，在安装过程中必须服从采购人对现场的管理和指挥，积极配合项目其他相关施工方的工作。根据现场尺寸制作安装，整体美观大方、牢固耐用。损坏物品要及时修复，场地要清理干净，安装过程中的一切安全责任由成交供应商自行承担。</w:t>
      </w:r>
    </w:p>
    <w:p>
      <w:pPr>
        <w:numPr>
          <w:ilvl w:val="1"/>
          <w:numId w:val="8"/>
        </w:numPr>
        <w:outlineLvl w:val="1"/>
        <w:rPr>
          <w:rFonts w:hint="eastAsia"/>
          <w:color w:val="000000"/>
          <w:highlight w:val="none"/>
        </w:rPr>
      </w:pPr>
      <w:r>
        <w:rPr>
          <w:rFonts w:hint="eastAsia"/>
          <w:color w:val="000000"/>
          <w:highlight w:val="none"/>
        </w:rPr>
        <w:t>材料堆放合理，不影响通道，不影响材料组装的位置。将要组装的材料按图放在就近位置。各楼层材料不放错。不同系列材料应尽量分开放置。材料堆放要整齐、有序。</w:t>
      </w:r>
    </w:p>
    <w:p>
      <w:pPr>
        <w:numPr>
          <w:ilvl w:val="1"/>
          <w:numId w:val="8"/>
        </w:numPr>
        <w:outlineLvl w:val="1"/>
        <w:rPr>
          <w:rFonts w:hint="eastAsia"/>
          <w:color w:val="000000"/>
          <w:highlight w:val="none"/>
        </w:rPr>
      </w:pPr>
      <w:r>
        <w:rPr>
          <w:rFonts w:hint="eastAsia"/>
          <w:color w:val="000000"/>
          <w:highlight w:val="none"/>
        </w:rPr>
        <w:t>包装材料收拾整齐。地面无纸屑、包装碎片、零件、杂物。</w:t>
      </w:r>
    </w:p>
    <w:p>
      <w:pPr>
        <w:numPr>
          <w:ilvl w:val="1"/>
          <w:numId w:val="8"/>
        </w:numPr>
        <w:outlineLvl w:val="1"/>
        <w:rPr>
          <w:rFonts w:hint="eastAsia"/>
          <w:color w:val="000000"/>
          <w:highlight w:val="none"/>
        </w:rPr>
      </w:pPr>
      <w:r>
        <w:rPr>
          <w:rFonts w:hint="eastAsia"/>
          <w:color w:val="000000"/>
          <w:highlight w:val="none"/>
        </w:rPr>
        <w:t>货物所用材料的品牌、规格、型号等技术参数及价格由投标人提供。投标人提供的材料，必须是正规厂家生产的产品，符合国家质量检测和绿色环保标准，能够提供出厂标准、合格证或国家权威部门的质量鉴定证书。</w:t>
      </w:r>
    </w:p>
    <w:p>
      <w:pPr>
        <w:numPr>
          <w:ilvl w:val="1"/>
          <w:numId w:val="8"/>
        </w:numPr>
        <w:outlineLvl w:val="1"/>
        <w:rPr>
          <w:color w:val="000000"/>
          <w:highlight w:val="none"/>
        </w:rPr>
      </w:pPr>
      <w:r>
        <w:rPr>
          <w:rFonts w:hint="eastAsia"/>
          <w:color w:val="000000"/>
          <w:highlight w:val="none"/>
        </w:rPr>
        <w:t>采购人可要求中标人就所供产品抽样交第三方专业检测机构进行检测，检测不符合采购文件要求的或者检测结果与中标人在投标文件中所附检测报告不一致的，采购人有权追究中标人责任。无论验收及检测结果如何，相关验收及检测费用均由中标人承担，采购人不因任何原因而增补任何费用。</w:t>
      </w:r>
    </w:p>
    <w:p>
      <w:pPr>
        <w:numPr>
          <w:ilvl w:val="1"/>
          <w:numId w:val="8"/>
        </w:numPr>
        <w:outlineLvl w:val="1"/>
        <w:rPr>
          <w:color w:val="000000"/>
          <w:highlight w:val="none"/>
        </w:rPr>
      </w:pPr>
      <w:r>
        <w:rPr>
          <w:rFonts w:hint="eastAsia"/>
          <w:color w:val="000000"/>
          <w:highlight w:val="none"/>
        </w:rPr>
        <w:t>本项目采用固定总价合同。该固定总价为中标方全面履行本招标范围约定的义务与责任、完成约定的工作内容，满足国家规范、规程、标准所发生的全部费用，包括但不限于完成货物采购、包装、运输、装卸至指定地点、安装、调试、报验办理、售后服务、利润、税金、风险，即中标方完成本合同项下全部工作，在实际供货规格不变的情况下后期不因任何因素调整合同价格。</w:t>
      </w:r>
    </w:p>
    <w:p>
      <w:pPr>
        <w:numPr>
          <w:ilvl w:val="1"/>
          <w:numId w:val="8"/>
        </w:numPr>
        <w:outlineLvl w:val="1"/>
        <w:rPr>
          <w:color w:val="000000"/>
          <w:highlight w:val="none"/>
        </w:rPr>
      </w:pPr>
      <w:r>
        <w:rPr>
          <w:rFonts w:hint="eastAsia"/>
          <w:color w:val="000000"/>
          <w:highlight w:val="none"/>
        </w:rPr>
        <w:t>中标单位应向招标人提供所采购材料及货物的质保书、合格证及相应资料等，由招标人认可，否则，由此产生的一切后果由中标单位负责。</w:t>
      </w:r>
    </w:p>
    <w:p>
      <w:pPr>
        <w:numPr>
          <w:ilvl w:val="1"/>
          <w:numId w:val="8"/>
        </w:numPr>
        <w:outlineLvl w:val="1"/>
        <w:rPr>
          <w:color w:val="000000"/>
          <w:highlight w:val="none"/>
        </w:rPr>
      </w:pPr>
      <w:r>
        <w:rPr>
          <w:rFonts w:hint="eastAsia"/>
          <w:color w:val="000000"/>
          <w:highlight w:val="none"/>
        </w:rPr>
        <w:t>投标人应在投标文件中出具以下书面承诺（承诺函均应加盖投标人公章）</w:t>
      </w:r>
    </w:p>
    <w:p>
      <w:pPr>
        <w:numPr>
          <w:ilvl w:val="6"/>
          <w:numId w:val="8"/>
        </w:numPr>
        <w:ind w:left="1415" w:leftChars="236" w:hanging="849" w:hangingChars="354"/>
        <w:outlineLvl w:val="6"/>
        <w:rPr>
          <w:color w:val="000000"/>
          <w:highlight w:val="none"/>
        </w:rPr>
      </w:pPr>
      <w:r>
        <w:rPr>
          <w:rFonts w:hint="eastAsia"/>
          <w:color w:val="000000"/>
          <w:highlight w:val="none"/>
        </w:rPr>
        <w:t>承诺不转包本项目及违反承诺后的处罚措施；</w:t>
      </w:r>
    </w:p>
    <w:p>
      <w:pPr>
        <w:numPr>
          <w:ilvl w:val="6"/>
          <w:numId w:val="8"/>
        </w:numPr>
        <w:ind w:left="1415" w:leftChars="236" w:hanging="849" w:hangingChars="354"/>
        <w:outlineLvl w:val="6"/>
        <w:rPr>
          <w:color w:val="000000"/>
          <w:highlight w:val="none"/>
        </w:rPr>
      </w:pPr>
      <w:r>
        <w:rPr>
          <w:rFonts w:hint="eastAsia"/>
          <w:color w:val="000000"/>
          <w:highlight w:val="none"/>
        </w:rPr>
        <w:t>供货期承诺及违反承诺后的处罚措施；</w:t>
      </w:r>
    </w:p>
    <w:p>
      <w:pPr>
        <w:numPr>
          <w:ilvl w:val="6"/>
          <w:numId w:val="8"/>
        </w:numPr>
        <w:ind w:left="1415" w:leftChars="236" w:hanging="849" w:hangingChars="354"/>
        <w:outlineLvl w:val="6"/>
        <w:rPr>
          <w:color w:val="000000"/>
          <w:highlight w:val="none"/>
        </w:rPr>
      </w:pPr>
      <w:r>
        <w:rPr>
          <w:rFonts w:hint="eastAsia"/>
          <w:color w:val="000000"/>
          <w:highlight w:val="none"/>
        </w:rPr>
        <w:t>售后服务承诺及违反承诺后的处罚措施；</w:t>
      </w:r>
    </w:p>
    <w:p>
      <w:pPr>
        <w:numPr>
          <w:ilvl w:val="6"/>
          <w:numId w:val="8"/>
        </w:numPr>
        <w:ind w:left="1415" w:leftChars="236" w:hanging="849" w:hangingChars="354"/>
        <w:outlineLvl w:val="6"/>
        <w:rPr>
          <w:color w:val="000000"/>
          <w:highlight w:val="none"/>
        </w:rPr>
      </w:pPr>
      <w:r>
        <w:rPr>
          <w:rFonts w:hint="eastAsia"/>
          <w:color w:val="000000"/>
          <w:highlight w:val="none"/>
        </w:rPr>
        <w:t>质量承诺及违反承诺后的处罚措施。</w:t>
      </w:r>
    </w:p>
    <w:p>
      <w:pPr>
        <w:jc w:val="center"/>
        <w:rPr>
          <w:color w:val="000000"/>
          <w:highlight w:val="none"/>
        </w:rPr>
      </w:pPr>
    </w:p>
    <w:p>
      <w:pPr>
        <w:rPr>
          <w:rFonts w:hint="eastAsia"/>
          <w:color w:val="000000"/>
          <w:highlight w:val="none"/>
        </w:rPr>
      </w:pPr>
    </w:p>
    <w:p>
      <w:pPr>
        <w:widowControl/>
        <w:adjustRightInd/>
        <w:spacing w:line="240" w:lineRule="auto"/>
        <w:jc w:val="left"/>
        <w:textAlignment w:val="auto"/>
        <w:rPr>
          <w:rFonts w:ascii="宋体" w:hAnsi="宋体" w:cs="宋体"/>
          <w:color w:val="000000"/>
          <w:kern w:val="2"/>
          <w:szCs w:val="24"/>
          <w:highlight w:val="none"/>
        </w:rPr>
      </w:pPr>
    </w:p>
    <w:p>
      <w:pPr>
        <w:pStyle w:val="8"/>
        <w:numPr>
          <w:ilvl w:val="0"/>
          <w:numId w:val="0"/>
        </w:numPr>
        <w:spacing w:line="360" w:lineRule="auto"/>
        <w:ind w:left="-283" w:leftChars="-118"/>
        <w:rPr>
          <w:rFonts w:hint="eastAsia" w:ascii="宋体" w:hAnsi="宋体" w:cs="宋体"/>
          <w:color w:val="000000"/>
          <w:szCs w:val="24"/>
          <w:highlight w:val="none"/>
        </w:rPr>
      </w:pPr>
      <w:r>
        <w:rPr>
          <w:rFonts w:ascii="宋体" w:hAnsi="宋体" w:cs="宋体"/>
          <w:color w:val="000000"/>
          <w:kern w:val="2"/>
          <w:szCs w:val="24"/>
          <w:highlight w:val="none"/>
        </w:rPr>
        <w:br w:type="page"/>
      </w:r>
    </w:p>
    <w:p>
      <w:pPr>
        <w:rPr>
          <w:color w:val="000000"/>
          <w:highlight w:val="none"/>
        </w:rPr>
      </w:pPr>
      <w:bookmarkStart w:id="659" w:name="_Toc434897192"/>
    </w:p>
    <w:p>
      <w:pPr>
        <w:rPr>
          <w:color w:val="000000"/>
          <w:highlight w:val="none"/>
        </w:rPr>
      </w:pPr>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hint="eastAsia" w:eastAsia="楷体"/>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660" w:name="_Toc503130327"/>
      <w:r>
        <w:rPr>
          <w:rFonts w:ascii="Times New Roman" w:hAnsi="Times New Roman"/>
          <w:color w:val="000000"/>
          <w:highlight w:val="none"/>
        </w:rPr>
        <w:t>第四章  合同条款</w:t>
      </w:r>
      <w:bookmarkEnd w:id="660"/>
    </w:p>
    <w:bookmarkEnd w:id="659"/>
    <w:p>
      <w:pPr>
        <w:wordWrap w:val="0"/>
        <w:spacing w:line="280" w:lineRule="exact"/>
        <w:jc w:val="right"/>
        <w:rPr>
          <w:rFonts w:ascii="黑体" w:hAnsi="华文中宋" w:eastAsia="黑体"/>
          <w:color w:val="000000"/>
          <w:sz w:val="22"/>
          <w:szCs w:val="22"/>
          <w:highlight w:val="none"/>
        </w:rPr>
      </w:pPr>
      <w:r>
        <w:rPr>
          <w:color w:val="000000"/>
          <w:highlight w:val="none"/>
        </w:rPr>
        <w:br w:type="page"/>
      </w:r>
      <w:r>
        <w:rPr>
          <w:rFonts w:hint="eastAsia" w:ascii="黑体" w:hAnsi="华文中宋" w:eastAsia="黑体"/>
          <w:color w:val="000000"/>
          <w:sz w:val="22"/>
          <w:szCs w:val="22"/>
          <w:highlight w:val="none"/>
        </w:rPr>
        <w:t>合同编号：复法合资字</w:t>
      </w:r>
      <w:r>
        <w:rPr>
          <w:rFonts w:ascii="黑体" w:hAnsi="华文中宋" w:eastAsia="黑体"/>
          <w:color w:val="000000"/>
          <w:sz w:val="22"/>
          <w:szCs w:val="22"/>
          <w:highlight w:val="none"/>
        </w:rPr>
        <w:t xml:space="preserve">   </w:t>
      </w:r>
      <w:r>
        <w:rPr>
          <w:rFonts w:hint="eastAsia" w:ascii="黑体" w:hAnsi="华文中宋" w:eastAsia="黑体"/>
          <w:color w:val="000000"/>
          <w:sz w:val="22"/>
          <w:szCs w:val="22"/>
          <w:highlight w:val="none"/>
        </w:rPr>
        <w:t>号</w:t>
      </w:r>
    </w:p>
    <w:p>
      <w:pPr>
        <w:spacing w:line="360" w:lineRule="auto"/>
        <w:ind w:right="403"/>
        <w:rPr>
          <w:rFonts w:ascii="宋体" w:hAnsi="宋体"/>
          <w:color w:val="000000"/>
          <w:szCs w:val="21"/>
          <w:highlight w:val="none"/>
        </w:rPr>
      </w:pPr>
    </w:p>
    <w:p>
      <w:pPr>
        <w:spacing w:line="360" w:lineRule="auto"/>
        <w:ind w:right="403"/>
        <w:rPr>
          <w:rFonts w:ascii="宋体" w:hAnsi="宋体"/>
          <w:color w:val="000000"/>
          <w:szCs w:val="21"/>
          <w:highlight w:val="none"/>
        </w:rPr>
      </w:pPr>
    </w:p>
    <w:p>
      <w:pPr>
        <w:spacing w:line="360" w:lineRule="auto"/>
        <w:ind w:right="403"/>
        <w:rPr>
          <w:rFonts w:ascii="宋体" w:hAnsi="宋体"/>
          <w:color w:val="000000"/>
          <w:szCs w:val="21"/>
          <w:highlight w:val="none"/>
        </w:rPr>
      </w:pPr>
    </w:p>
    <w:p>
      <w:pPr>
        <w:spacing w:line="360" w:lineRule="auto"/>
        <w:ind w:right="403"/>
        <w:rPr>
          <w:rFonts w:ascii="宋体" w:hAnsi="宋体"/>
          <w:color w:val="000000"/>
          <w:szCs w:val="21"/>
          <w:highlight w:val="none"/>
        </w:rPr>
      </w:pPr>
    </w:p>
    <w:p>
      <w:pPr>
        <w:spacing w:line="360" w:lineRule="auto"/>
        <w:ind w:right="403"/>
        <w:rPr>
          <w:rFonts w:ascii="宋体" w:hAnsi="宋体"/>
          <w:color w:val="000000"/>
          <w:szCs w:val="21"/>
          <w:highlight w:val="none"/>
        </w:rPr>
      </w:pPr>
    </w:p>
    <w:p>
      <w:pPr>
        <w:spacing w:line="360" w:lineRule="auto"/>
        <w:jc w:val="center"/>
        <w:rPr>
          <w:rFonts w:ascii="华文中宋" w:hAnsi="华文中宋" w:eastAsia="华文中宋"/>
          <w:color w:val="000000"/>
          <w:spacing w:val="40"/>
          <w:sz w:val="84"/>
          <w:szCs w:val="84"/>
          <w:highlight w:val="none"/>
        </w:rPr>
      </w:pPr>
      <w:r>
        <w:rPr>
          <w:rFonts w:hint="eastAsia" w:ascii="华文中宋" w:hAnsi="华文中宋" w:eastAsia="华文中宋"/>
          <w:color w:val="000000"/>
          <w:spacing w:val="40"/>
          <w:sz w:val="84"/>
          <w:szCs w:val="84"/>
          <w:highlight w:val="none"/>
        </w:rPr>
        <w:t>买卖合同</w:t>
      </w:r>
    </w:p>
    <w:p>
      <w:pPr>
        <w:spacing w:line="200" w:lineRule="exact"/>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甲方：</w:t>
      </w:r>
      <w:r>
        <w:rPr>
          <w:rFonts w:hint="eastAsia" w:ascii="华文中宋" w:hAnsi="华文中宋" w:eastAsia="华文中宋"/>
          <w:b/>
          <w:color w:val="000000"/>
          <w:spacing w:val="110"/>
          <w:sz w:val="28"/>
          <w:szCs w:val="28"/>
          <w:highlight w:val="none"/>
        </w:rPr>
        <w:t>复旦大学</w:t>
      </w: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住所：上海市邯郸路220号</w:t>
      </w: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法定代表人：</w:t>
      </w:r>
      <w:r>
        <w:rPr>
          <w:rFonts w:hint="eastAsia" w:ascii="华文中宋" w:hAnsi="华文中宋" w:eastAsia="华文中宋"/>
          <w:b/>
          <w:color w:val="000000"/>
          <w:spacing w:val="30"/>
          <w:sz w:val="28"/>
          <w:szCs w:val="28"/>
          <w:highlight w:val="none"/>
        </w:rPr>
        <w:t>许宁生</w:t>
      </w:r>
    </w:p>
    <w:p>
      <w:pPr>
        <w:spacing w:line="360" w:lineRule="auto"/>
        <w:rPr>
          <w:rFonts w:ascii="华文中宋" w:hAnsi="华文中宋" w:eastAsia="华文中宋"/>
          <w:color w:val="000000"/>
          <w:sz w:val="28"/>
          <w:szCs w:val="28"/>
          <w:highlight w:val="none"/>
        </w:rPr>
      </w:pPr>
    </w:p>
    <w:p>
      <w:pPr>
        <w:spacing w:line="360" w:lineRule="auto"/>
        <w:rPr>
          <w:rFonts w:ascii="华文中宋" w:hAnsi="华文中宋" w:eastAsia="华文中宋"/>
          <w:color w:val="000000"/>
          <w:sz w:val="28"/>
          <w:szCs w:val="28"/>
          <w:highlight w:val="none"/>
        </w:rPr>
      </w:pP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乙方：</w:t>
      </w:r>
      <w:r>
        <w:rPr>
          <w:rFonts w:ascii="华文中宋" w:hAnsi="华文中宋" w:eastAsia="华文中宋"/>
          <w:b/>
          <w:color w:val="000000"/>
          <w:sz w:val="28"/>
          <w:szCs w:val="28"/>
          <w:highlight w:val="none"/>
          <w:u w:val="single"/>
        </w:rPr>
        <w:t xml:space="preserve">               </w:t>
      </w: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住所：</w:t>
      </w:r>
      <w:r>
        <w:rPr>
          <w:rFonts w:ascii="华文中宋" w:hAnsi="华文中宋" w:eastAsia="华文中宋"/>
          <w:b/>
          <w:color w:val="000000"/>
          <w:sz w:val="28"/>
          <w:szCs w:val="28"/>
          <w:highlight w:val="none"/>
          <w:u w:val="single"/>
        </w:rPr>
        <w:t xml:space="preserve">               </w:t>
      </w:r>
    </w:p>
    <w:p>
      <w:pPr>
        <w:spacing w:line="360" w:lineRule="auto"/>
        <w:ind w:firstLine="1962" w:firstLineChars="700"/>
        <w:rPr>
          <w:rFonts w:ascii="华文中宋" w:hAnsi="华文中宋" w:eastAsia="华文中宋"/>
          <w:b/>
          <w:color w:val="000000"/>
          <w:sz w:val="28"/>
          <w:szCs w:val="28"/>
          <w:highlight w:val="none"/>
        </w:rPr>
      </w:pPr>
      <w:r>
        <w:rPr>
          <w:rFonts w:hint="eastAsia" w:ascii="华文中宋" w:hAnsi="华文中宋" w:eastAsia="华文中宋"/>
          <w:b/>
          <w:color w:val="000000"/>
          <w:sz w:val="28"/>
          <w:szCs w:val="28"/>
          <w:highlight w:val="none"/>
        </w:rPr>
        <w:t>法定代表人：</w:t>
      </w:r>
      <w:r>
        <w:rPr>
          <w:rFonts w:ascii="华文中宋" w:hAnsi="华文中宋" w:eastAsia="华文中宋"/>
          <w:b/>
          <w:color w:val="000000"/>
          <w:sz w:val="28"/>
          <w:szCs w:val="28"/>
          <w:highlight w:val="none"/>
          <w:u w:val="single"/>
        </w:rPr>
        <w:t xml:space="preserve">         </w:t>
      </w: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ind w:firstLine="560" w:firstLineChars="200"/>
        <w:rPr>
          <w:rFonts w:ascii="楷体_GB2312" w:hAnsi="华文楷体" w:eastAsia="楷体_GB2312"/>
          <w:color w:val="000000"/>
          <w:sz w:val="28"/>
          <w:szCs w:val="28"/>
          <w:highlight w:val="none"/>
        </w:rPr>
      </w:pPr>
      <w:r>
        <w:rPr>
          <w:rFonts w:hint="eastAsia" w:ascii="楷体_GB2312" w:hAnsi="华文楷体" w:eastAsia="楷体_GB2312"/>
          <w:color w:val="000000"/>
          <w:sz w:val="28"/>
          <w:szCs w:val="28"/>
          <w:highlight w:val="none"/>
        </w:rPr>
        <w:t>甲乙双方就</w:t>
      </w:r>
      <w:r>
        <w:rPr>
          <w:rFonts w:ascii="楷体_GB2312" w:hAnsi="华文楷体" w:eastAsia="楷体_GB2312"/>
          <w:color w:val="000000"/>
          <w:sz w:val="28"/>
          <w:szCs w:val="28"/>
          <w:highlight w:val="none"/>
          <w:u w:val="single"/>
        </w:rPr>
        <w:t xml:space="preserve">              </w:t>
      </w:r>
      <w:r>
        <w:rPr>
          <w:rFonts w:hint="eastAsia" w:ascii="楷体_GB2312" w:hAnsi="华文楷体" w:eastAsia="楷体_GB2312"/>
          <w:color w:val="000000"/>
          <w:sz w:val="28"/>
          <w:szCs w:val="28"/>
          <w:highlight w:val="none"/>
        </w:rPr>
        <w:t>购销事宜进行了协商，在平等自愿的基础上达成一致。现为约明双方权利义务，根据《中华人民共和国民法典》等相关法律的规定，订立合同如下，以昭信守：</w:t>
      </w:r>
    </w:p>
    <w:p>
      <w:pPr>
        <w:spacing w:line="360" w:lineRule="auto"/>
        <w:rPr>
          <w:rFonts w:ascii="宋体" w:hAnsi="宋体"/>
          <w:color w:val="000000"/>
          <w:highlight w:val="none"/>
        </w:rPr>
      </w:pP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第一条  甲方向乙方采购</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（品名）（以下统称“</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具体描述见附件一），总价为人民币</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w:t>
      </w:r>
      <w:r>
        <w:rPr>
          <w:rFonts w:ascii="仿宋_GB2312" w:eastAsia="仿宋_GB2312"/>
          <w:color w:val="000000"/>
          <w:sz w:val="26"/>
          <w:szCs w:val="26"/>
          <w:highlight w:val="none"/>
        </w:rPr>
        <w:t>¥</w:t>
      </w:r>
      <w:r>
        <w:rPr>
          <w:rFonts w:hint="eastAsia" w:ascii="仿宋_GB2312" w:eastAsia="仿宋_GB2312"/>
          <w:color w:val="000000"/>
          <w:sz w:val="26"/>
          <w:szCs w:val="26"/>
          <w:highlight w:val="none"/>
        </w:rPr>
        <w:t xml:space="preserve"> </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元）。</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第二条  乙方确认，其向甲方销售的</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不是法律、行政法规禁止或者限制转让的物品，且该</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的型号、规格、数量、质量、性能、配件等依次符合双方在本合同附件中的约定和封存的样品，甲方的中标通知书、招标文件，乙方的投标文件和向甲方作出的其他承诺，原厂</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质量标准，国家、地方和行业标准及规范；乙方具有向甲方销售</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的处分权利。</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第三条  甲方应在本合同生效后十个工作日内，向乙方支付相当于总价</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%的货款</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元，在</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全部验收合格后十个工作日内，向乙方支付相当于总价</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%的货款</w:t>
      </w:r>
      <w:r>
        <w:rPr>
          <w:rFonts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元。</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甲方根据乙方开具的足额合法发票向乙方指定银行账户支付前款约定的货款。</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第四条  乙方应在</w:t>
      </w:r>
      <w:r>
        <w:rPr>
          <w:rFonts w:ascii="仿宋_GB2312" w:eastAsia="仿宋_GB2312"/>
          <w:color w:val="000000"/>
          <w:sz w:val="26"/>
          <w:szCs w:val="26"/>
          <w:highlight w:val="none"/>
          <w:u w:val="single"/>
        </w:rPr>
        <w:t xml:space="preserve">    年  月  日</w:t>
      </w:r>
      <w:r>
        <w:rPr>
          <w:rFonts w:hint="eastAsia" w:ascii="仿宋_GB2312" w:eastAsia="仿宋_GB2312"/>
          <w:color w:val="000000"/>
          <w:sz w:val="26"/>
          <w:szCs w:val="26"/>
          <w:highlight w:val="none"/>
        </w:rPr>
        <w:t>前将</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运抵复旦大学</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，向甲方交付</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。乙方向甲方交付</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前，</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毁损、灭失的风险由乙方承担。</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第五条  乙方应采用通用的，或者双方约定的方式包装、运输其向甲方交付的</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，并承担</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的包装、运输及保险费用。</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第六条  甲方应在乙方交付</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后</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个工作日内，根据本合同第二条的约定组织验收。</w:t>
      </w:r>
    </w:p>
    <w:p>
      <w:pPr>
        <w:spacing w:line="560" w:lineRule="exact"/>
        <w:ind w:left="595" w:leftChars="248" w:firstLine="520" w:firstLineChars="200"/>
        <w:rPr>
          <w:rFonts w:ascii="仿宋_GB2312" w:eastAsia="仿宋_GB2312"/>
          <w:color w:val="000000"/>
          <w:sz w:val="26"/>
          <w:szCs w:val="26"/>
          <w:highlight w:val="none"/>
        </w:rPr>
      </w:pP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全部或者部分验收不合格的，乙方应对不合格</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进行无偿更换，并由甲方根据前款约定再次组织验收。更换</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再次验收不合格的，甲方可以解除本合同。双方应在本合同权利义务终止后向权利人返还与本合同项下条款相关且已发生转移的财产，乙方应按相当于</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价格20</w:t>
      </w:r>
      <w:r>
        <w:rPr>
          <w:rFonts w:hint="eastAsia" w:ascii="仿宋_GB2312" w:hAnsi="仿宋_GB2312" w:eastAsia="仿宋_GB2312"/>
          <w:color w:val="000000"/>
          <w:sz w:val="26"/>
          <w:szCs w:val="26"/>
          <w:highlight w:val="none"/>
        </w:rPr>
        <w:t>%</w:t>
      </w:r>
      <w:r>
        <w:rPr>
          <w:rFonts w:hint="eastAsia" w:ascii="仿宋_GB2312" w:eastAsia="仿宋_GB2312"/>
          <w:color w:val="000000"/>
          <w:sz w:val="26"/>
          <w:szCs w:val="26"/>
          <w:highlight w:val="none"/>
        </w:rPr>
        <w:t>的标准，向甲方支付违约金。</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甲方没有及时组织验收的，自乙方交付</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后届满</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个工作日起视为验收合格。</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 xml:space="preserve">第七条  </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验收合格后的</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个月为</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质量保证期。乙方应在</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质量保证期内提供7×24小时的维修服务响应，并无偿提供维修服务、更换原装配件。</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质量保证期结束后五年内，乙方应继续提供7×24小时的维修服务响应，并以最优惠价格提供维修服务、更换原装配件。</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第八条  甲方指定的联系渠道是：</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通讯地址：上海市杨浦区邯郸路220号复旦大学（200433）</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电话/传真：021-</w:t>
      </w:r>
      <w:r>
        <w:rPr>
          <w:rFonts w:hint="eastAsia" w:ascii="仿宋_GB2312" w:eastAsia="仿宋_GB2312"/>
          <w:color w:val="000000"/>
          <w:sz w:val="26"/>
          <w:szCs w:val="26"/>
          <w:highlight w:val="none"/>
          <w:u w:val="single"/>
        </w:rPr>
        <w:t xml:space="preserve">         </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电子信箱：</w:t>
      </w:r>
      <w:r>
        <w:rPr>
          <w:rFonts w:hint="eastAsia" w:ascii="仿宋_GB2312" w:eastAsia="仿宋_GB2312"/>
          <w:color w:val="000000"/>
          <w:sz w:val="26"/>
          <w:szCs w:val="26"/>
          <w:highlight w:val="none"/>
          <w:u w:val="single"/>
        </w:rPr>
        <w:t xml:space="preserve">     </w:t>
      </w:r>
      <w:r>
        <w:rPr>
          <w:rFonts w:hint="eastAsia" w:ascii="仿宋_GB2312" w:eastAsia="仿宋_GB2312"/>
          <w:color w:val="000000"/>
          <w:sz w:val="26"/>
          <w:szCs w:val="26"/>
          <w:highlight w:val="none"/>
        </w:rPr>
        <w:t>@fudan.edu.cn</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乙方指定的联系渠道是：</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通讯地址：</w:t>
      </w:r>
      <w:r>
        <w:rPr>
          <w:rFonts w:hint="eastAsia" w:ascii="仿宋_GB2312" w:eastAsia="仿宋_GB2312"/>
          <w:color w:val="000000"/>
          <w:sz w:val="26"/>
          <w:szCs w:val="26"/>
          <w:highlight w:val="none"/>
          <w:u w:val="single"/>
        </w:rPr>
        <w:t xml:space="preserve">          </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电话/传真：</w:t>
      </w:r>
      <w:r>
        <w:rPr>
          <w:rFonts w:hint="eastAsia" w:ascii="仿宋_GB2312" w:eastAsia="仿宋_GB2312"/>
          <w:color w:val="000000"/>
          <w:sz w:val="26"/>
          <w:szCs w:val="26"/>
          <w:highlight w:val="none"/>
          <w:u w:val="single"/>
        </w:rPr>
        <w:t xml:space="preserve">          </w:t>
      </w:r>
    </w:p>
    <w:p>
      <w:pPr>
        <w:spacing w:line="560" w:lineRule="exact"/>
        <w:ind w:firstLine="1040" w:firstLineChars="400"/>
        <w:rPr>
          <w:rFonts w:ascii="仿宋_GB2312" w:eastAsia="仿宋_GB2312"/>
          <w:color w:val="000000"/>
          <w:sz w:val="26"/>
          <w:szCs w:val="26"/>
          <w:highlight w:val="none"/>
        </w:rPr>
      </w:pPr>
      <w:r>
        <w:rPr>
          <w:rFonts w:hint="eastAsia" w:ascii="仿宋_GB2312" w:eastAsia="仿宋_GB2312"/>
          <w:color w:val="000000"/>
          <w:sz w:val="26"/>
          <w:szCs w:val="26"/>
          <w:highlight w:val="none"/>
        </w:rPr>
        <w:t>电子信箱：</w:t>
      </w:r>
      <w:r>
        <w:rPr>
          <w:rFonts w:hint="eastAsia" w:ascii="仿宋_GB2312" w:eastAsia="仿宋_GB2312"/>
          <w:color w:val="000000"/>
          <w:sz w:val="26"/>
          <w:szCs w:val="26"/>
          <w:highlight w:val="none"/>
          <w:u w:val="single"/>
        </w:rPr>
        <w:t xml:space="preserve">          </w:t>
      </w:r>
    </w:p>
    <w:p>
      <w:pPr>
        <w:spacing w:line="560" w:lineRule="exact"/>
        <w:ind w:left="600" w:leftChars="250"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第九条  甲方逾期履行本合同第三条约定的付款义务的，每逾期一天应按相当于未付货款金额0.5‰的标准，向乙方支付违约金。</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乙方逾期履行本合同第二条、第四条约定的交付义务的，每逾期一天应按相当于未交付</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价格0.5‰的标准，向甲方支付违约金。乙方配送的</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全部或者部分验收不合格，更换</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的，视为乙方逾期履行本合同第二条、第四条约定的交付义务。</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乙方向甲方交付的</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存在隐蔽瑕疵，且甲方在</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验收合格后、</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价格20</w:t>
      </w:r>
      <w:r>
        <w:rPr>
          <w:rFonts w:hint="eastAsia" w:ascii="仿宋_GB2312" w:hAnsi="仿宋_GB2312" w:eastAsia="仿宋_GB2312"/>
          <w:color w:val="000000"/>
          <w:sz w:val="26"/>
          <w:szCs w:val="26"/>
          <w:highlight w:val="none"/>
        </w:rPr>
        <w:t>%</w:t>
      </w:r>
      <w:r>
        <w:rPr>
          <w:rFonts w:hint="eastAsia" w:ascii="仿宋_GB2312" w:eastAsia="仿宋_GB2312"/>
          <w:color w:val="000000"/>
          <w:sz w:val="26"/>
          <w:szCs w:val="26"/>
          <w:highlight w:val="none"/>
        </w:rPr>
        <w:t>的标准，向甲方支付违约金。</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乙方向甲方交付的</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存在权利瑕疵的，甲方可以解除本合同。双方应在本合同权利义务终止后向权利人返还与本合同项下条款相关且已发生转移的财产，乙方应按相当于</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价格20</w:t>
      </w:r>
      <w:r>
        <w:rPr>
          <w:rFonts w:hint="eastAsia" w:ascii="仿宋_GB2312" w:hAnsi="仿宋_GB2312" w:eastAsia="仿宋_GB2312"/>
          <w:color w:val="000000"/>
          <w:sz w:val="26"/>
          <w:szCs w:val="26"/>
          <w:highlight w:val="none"/>
        </w:rPr>
        <w:t>%</w:t>
      </w:r>
      <w:r>
        <w:rPr>
          <w:rFonts w:hint="eastAsia" w:ascii="仿宋_GB2312" w:eastAsia="仿宋_GB2312"/>
          <w:color w:val="000000"/>
          <w:sz w:val="26"/>
          <w:szCs w:val="26"/>
          <w:highlight w:val="none"/>
        </w:rPr>
        <w:t>的标准，向甲方支付违约金，并承担由此引发纠纷、仲裁或诉讼案件而发生的各种费用。</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乙方未按约履行本合同第七条约定的保修义务的，每逾期一天应按相当于</w:t>
      </w:r>
      <w:r>
        <w:rPr>
          <w:rFonts w:hint="eastAsia" w:ascii="楷体_GB2312" w:eastAsia="楷体_GB2312"/>
          <w:color w:val="000000"/>
          <w:sz w:val="26"/>
          <w:szCs w:val="26"/>
          <w:highlight w:val="none"/>
        </w:rPr>
        <w:t>产品</w:t>
      </w:r>
      <w:r>
        <w:rPr>
          <w:rFonts w:hint="eastAsia" w:ascii="仿宋_GB2312" w:eastAsia="仿宋_GB2312"/>
          <w:color w:val="000000"/>
          <w:sz w:val="26"/>
          <w:szCs w:val="26"/>
          <w:highlight w:val="none"/>
        </w:rPr>
        <w:t>维修项目价格金额三倍的标准，向甲方支付违约金。</w:t>
      </w:r>
    </w:p>
    <w:p>
      <w:pPr>
        <w:spacing w:line="560" w:lineRule="exact"/>
        <w:ind w:left="520" w:hanging="520" w:hangingChars="200"/>
        <w:rPr>
          <w:rFonts w:ascii="仿宋_GB2312" w:eastAsia="仿宋_GB2312"/>
          <w:color w:val="000000"/>
          <w:sz w:val="26"/>
          <w:szCs w:val="26"/>
          <w:highlight w:val="none"/>
        </w:rPr>
      </w:pPr>
      <w:r>
        <w:rPr>
          <w:rFonts w:hint="eastAsia" w:ascii="仿宋_GB2312" w:eastAsia="仿宋_GB2312"/>
          <w:color w:val="000000"/>
          <w:sz w:val="26"/>
          <w:szCs w:val="26"/>
          <w:highlight w:val="none"/>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pPr>
        <w:spacing w:line="560" w:lineRule="exact"/>
        <w:ind w:left="595" w:leftChars="248"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一方直接解除本合同的，应及时以书面形式通知相对方，并提供相应的证明。双方应在解除本合同后向权利人返还与本合同项下条款相关且已发生转移的财产，并积极消除因解除合同带来的不利影响。</w:t>
      </w:r>
    </w:p>
    <w:p>
      <w:pPr>
        <w:spacing w:line="560" w:lineRule="exact"/>
        <w:ind w:left="780" w:hanging="780" w:hangingChars="300"/>
        <w:rPr>
          <w:rFonts w:ascii="仿宋_GB2312" w:eastAsia="仿宋_GB2312"/>
          <w:color w:val="000000"/>
          <w:sz w:val="26"/>
          <w:szCs w:val="26"/>
          <w:highlight w:val="none"/>
        </w:rPr>
      </w:pPr>
      <w:r>
        <w:rPr>
          <w:rFonts w:hint="eastAsia" w:ascii="仿宋_GB2312" w:eastAsia="仿宋_GB2312"/>
          <w:color w:val="000000"/>
          <w:sz w:val="26"/>
          <w:szCs w:val="26"/>
          <w:highlight w:val="none"/>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pPr>
        <w:spacing w:line="560" w:lineRule="exact"/>
        <w:ind w:left="780" w:hanging="780" w:hangingChars="300"/>
        <w:rPr>
          <w:rFonts w:ascii="仿宋_GB2312" w:eastAsia="仿宋_GB2312"/>
          <w:color w:val="000000"/>
          <w:sz w:val="26"/>
          <w:szCs w:val="26"/>
          <w:highlight w:val="none"/>
        </w:rPr>
      </w:pPr>
      <w:r>
        <w:rPr>
          <w:rFonts w:hint="eastAsia" w:ascii="仿宋_GB2312" w:eastAsia="仿宋_GB2312"/>
          <w:color w:val="000000"/>
          <w:sz w:val="26"/>
          <w:szCs w:val="26"/>
          <w:highlight w:val="none"/>
        </w:rPr>
        <w:t>第十二条  双方就本合同项下条款内容及相关内容发生争议的，可以友好协商解决；协商解决不成，一方可以根据中华人民共和国法律向上海市杨浦区人民法院提起诉讼。</w:t>
      </w:r>
    </w:p>
    <w:p>
      <w:pPr>
        <w:spacing w:line="560" w:lineRule="exact"/>
        <w:ind w:left="780" w:hanging="780" w:hangingChars="300"/>
        <w:rPr>
          <w:rFonts w:ascii="仿宋_GB2312" w:eastAsia="仿宋_GB2312"/>
          <w:color w:val="000000"/>
          <w:sz w:val="26"/>
          <w:szCs w:val="26"/>
          <w:highlight w:val="none"/>
        </w:rPr>
      </w:pPr>
      <w:r>
        <w:rPr>
          <w:rFonts w:hint="eastAsia" w:ascii="仿宋_GB2312" w:eastAsia="仿宋_GB2312"/>
          <w:color w:val="000000"/>
          <w:sz w:val="26"/>
          <w:szCs w:val="26"/>
          <w:highlight w:val="none"/>
        </w:rPr>
        <w:t>第十三条  双方就本合同其余条款约定内容外，同时约定下列内容：</w:t>
      </w:r>
    </w:p>
    <w:p>
      <w:pPr>
        <w:tabs>
          <w:tab w:val="left" w:pos="851"/>
        </w:tabs>
        <w:spacing w:line="560" w:lineRule="exact"/>
        <w:ind w:left="972" w:leftChars="405" w:firstLine="491" w:firstLineChars="189"/>
        <w:rPr>
          <w:rFonts w:ascii="仿宋_GB2312" w:eastAsia="仿宋_GB2312"/>
          <w:color w:val="000000"/>
          <w:sz w:val="26"/>
          <w:szCs w:val="26"/>
          <w:highlight w:val="none"/>
        </w:rPr>
      </w:pPr>
    </w:p>
    <w:p>
      <w:pPr>
        <w:spacing w:line="560" w:lineRule="exact"/>
        <w:ind w:left="893" w:leftChars="372"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本条约定内容与本合同其余条款约定内容不相一致处，以本条约定为准。</w:t>
      </w:r>
    </w:p>
    <w:p>
      <w:pPr>
        <w:spacing w:line="560" w:lineRule="exact"/>
        <w:ind w:left="780" w:hanging="780" w:hangingChars="300"/>
        <w:rPr>
          <w:rFonts w:ascii="仿宋_GB2312" w:eastAsia="仿宋_GB2312"/>
          <w:color w:val="000000"/>
          <w:sz w:val="26"/>
          <w:szCs w:val="26"/>
          <w:highlight w:val="none"/>
        </w:rPr>
      </w:pPr>
      <w:r>
        <w:rPr>
          <w:rFonts w:hint="eastAsia" w:ascii="仿宋_GB2312" w:eastAsia="仿宋_GB2312"/>
          <w:color w:val="000000"/>
          <w:sz w:val="26"/>
          <w:szCs w:val="26"/>
          <w:highlight w:val="none"/>
        </w:rPr>
        <w:t>第十四条  本合同应作为一个整体被加以解释，各条款约定内容不因顺序排列的先后而产生法律效力的差异。</w:t>
      </w:r>
    </w:p>
    <w:p>
      <w:pPr>
        <w:spacing w:line="560" w:lineRule="exact"/>
        <w:ind w:left="893" w:leftChars="372"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本合同生效后，双方可以在平等自愿的基础上协商一致，就本合同项下条款约定内容或其它未尽事宜订立补充协议。补充协议条款约定内容具有不低于本合同项下条款约定内容的法律效力。</w:t>
      </w:r>
    </w:p>
    <w:p>
      <w:pPr>
        <w:spacing w:line="560" w:lineRule="exact"/>
        <w:ind w:left="893" w:leftChars="372"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双方订立一份或者多份补充协议，且补充协议与本合同之间、各补充协议之间就同一内容约定不相一致的，以生效时间列为最后的补充协议条款约定为准。</w:t>
      </w:r>
    </w:p>
    <w:p>
      <w:pPr>
        <w:spacing w:line="560" w:lineRule="exact"/>
        <w:ind w:left="893" w:leftChars="372"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未经相对方同意，一方将本合同项下条款内容全部或者部分转让给第三人的，相对方可以解除本合同，转让方承担违约责任。</w:t>
      </w:r>
    </w:p>
    <w:p>
      <w:pPr>
        <w:spacing w:line="560" w:lineRule="exact"/>
        <w:ind w:left="780" w:hanging="780" w:hangingChars="300"/>
        <w:rPr>
          <w:rFonts w:ascii="仿宋_GB2312" w:eastAsia="仿宋_GB2312"/>
          <w:color w:val="000000"/>
          <w:sz w:val="26"/>
          <w:szCs w:val="26"/>
          <w:highlight w:val="none"/>
        </w:rPr>
      </w:pPr>
      <w:r>
        <w:rPr>
          <w:rFonts w:hint="eastAsia" w:ascii="仿宋_GB2312" w:eastAsia="仿宋_GB2312"/>
          <w:color w:val="000000"/>
          <w:sz w:val="26"/>
          <w:szCs w:val="26"/>
          <w:highlight w:val="none"/>
        </w:rPr>
        <w:t>第十五条  本合同由甲乙双方于</w:t>
      </w:r>
      <w:r>
        <w:rPr>
          <w:rFonts w:hint="eastAsia" w:ascii="仿宋_GB2312" w:eastAsia="仿宋_GB2312"/>
          <w:color w:val="000000"/>
          <w:sz w:val="26"/>
          <w:szCs w:val="26"/>
          <w:highlight w:val="none"/>
          <w:u w:val="single"/>
        </w:rPr>
        <w:t xml:space="preserve">     年  月  日</w:t>
      </w:r>
      <w:r>
        <w:rPr>
          <w:rFonts w:hint="eastAsia" w:ascii="仿宋_GB2312" w:eastAsia="仿宋_GB2312"/>
          <w:color w:val="000000"/>
          <w:sz w:val="26"/>
          <w:szCs w:val="26"/>
          <w:highlight w:val="none"/>
        </w:rPr>
        <w:t>在上海市杨浦区邯郸路220号签订，自双方签字盖章后生效。</w:t>
      </w:r>
    </w:p>
    <w:p>
      <w:pPr>
        <w:spacing w:line="560" w:lineRule="exact"/>
        <w:ind w:left="893" w:leftChars="372" w:firstLine="520" w:firstLineChars="200"/>
        <w:rPr>
          <w:rFonts w:ascii="仿宋_GB2312" w:eastAsia="仿宋_GB2312"/>
          <w:color w:val="000000"/>
          <w:sz w:val="26"/>
          <w:szCs w:val="26"/>
          <w:highlight w:val="none"/>
        </w:rPr>
      </w:pPr>
      <w:r>
        <w:rPr>
          <w:rFonts w:hint="eastAsia" w:ascii="仿宋_GB2312" w:eastAsia="仿宋_GB2312"/>
          <w:color w:val="000000"/>
          <w:sz w:val="26"/>
          <w:szCs w:val="26"/>
          <w:highlight w:val="none"/>
        </w:rPr>
        <w:t>合同文本壹式肆份，双方各执贰份，各份合同文本具有同等法律效力。</w:t>
      </w:r>
    </w:p>
    <w:p>
      <w:pPr>
        <w:spacing w:line="600" w:lineRule="exact"/>
        <w:rPr>
          <w:rFonts w:ascii="黑体" w:eastAsia="黑体"/>
          <w:color w:val="000000"/>
          <w:highlight w:val="none"/>
        </w:rPr>
      </w:pPr>
      <w:r>
        <w:rPr>
          <w:rFonts w:ascii="黑体" w:eastAsia="黑体"/>
          <w:color w:val="000000"/>
          <w:highlight w:val="none"/>
        </w:rPr>
        <w:br w:type="page"/>
      </w:r>
      <w:r>
        <w:rPr>
          <w:rFonts w:hint="eastAsia" w:ascii="黑体" w:eastAsia="黑体"/>
          <w:color w:val="000000"/>
          <w:highlight w:val="none"/>
        </w:rPr>
        <w:t>甲方（盖章）：</w:t>
      </w:r>
      <w:r>
        <w:rPr>
          <w:rFonts w:hint="eastAsia" w:ascii="黑体" w:eastAsia="黑体"/>
          <w:color w:val="000000"/>
          <w:spacing w:val="40"/>
          <w:highlight w:val="none"/>
        </w:rPr>
        <w:t>复旦大学</w:t>
      </w:r>
    </w:p>
    <w:p>
      <w:pPr>
        <w:spacing w:line="600" w:lineRule="exact"/>
        <w:rPr>
          <w:rFonts w:ascii="黑体" w:eastAsia="黑体"/>
          <w:color w:val="000000"/>
          <w:highlight w:val="none"/>
        </w:rPr>
      </w:pPr>
      <w:r>
        <w:rPr>
          <w:rFonts w:hint="eastAsia" w:ascii="黑体" w:eastAsia="黑体"/>
          <w:color w:val="000000"/>
          <w:highlight w:val="none"/>
        </w:rPr>
        <w:t>授权代表（签字）：</w:t>
      </w:r>
      <w:r>
        <w:rPr>
          <w:rFonts w:hint="eastAsia" w:ascii="黑体" w:eastAsia="黑体"/>
          <w:color w:val="000000"/>
          <w:highlight w:val="none"/>
          <w:u w:val="single"/>
        </w:rPr>
        <w:t xml:space="preserve">          </w:t>
      </w: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600" w:lineRule="exact"/>
        <w:rPr>
          <w:rFonts w:ascii="黑体" w:eastAsia="黑体"/>
          <w:color w:val="000000"/>
          <w:highlight w:val="none"/>
        </w:rPr>
      </w:pPr>
      <w:r>
        <w:rPr>
          <w:rFonts w:hint="eastAsia" w:ascii="黑体" w:eastAsia="黑体"/>
          <w:color w:val="000000"/>
          <w:highlight w:val="none"/>
        </w:rPr>
        <w:t>乙方（盖章）：</w:t>
      </w:r>
      <w:r>
        <w:rPr>
          <w:rFonts w:hint="eastAsia" w:ascii="黑体" w:eastAsia="黑体"/>
          <w:color w:val="000000"/>
          <w:highlight w:val="none"/>
          <w:u w:val="single"/>
        </w:rPr>
        <w:t xml:space="preserve">              </w:t>
      </w:r>
    </w:p>
    <w:p>
      <w:pPr>
        <w:spacing w:line="600" w:lineRule="exact"/>
        <w:rPr>
          <w:rFonts w:ascii="黑体" w:eastAsia="黑体"/>
          <w:color w:val="000000"/>
          <w:highlight w:val="none"/>
        </w:rPr>
      </w:pPr>
      <w:r>
        <w:rPr>
          <w:rFonts w:hint="eastAsia" w:ascii="黑体" w:eastAsia="黑体"/>
          <w:color w:val="000000"/>
          <w:highlight w:val="none"/>
        </w:rPr>
        <w:t>授权代表（签字）：</w:t>
      </w:r>
      <w:r>
        <w:rPr>
          <w:rFonts w:hint="eastAsia" w:ascii="黑体" w:eastAsia="黑体"/>
          <w:color w:val="000000"/>
          <w:highlight w:val="none"/>
          <w:u w:val="single"/>
        </w:rPr>
        <w:t xml:space="preserve">          </w:t>
      </w:r>
    </w:p>
    <w:p>
      <w:pPr>
        <w:spacing w:line="360" w:lineRule="auto"/>
        <w:rPr>
          <w:rFonts w:ascii="宋体" w:hAnsi="宋体"/>
          <w:color w:val="000000"/>
          <w:highlight w:val="none"/>
        </w:rPr>
      </w:pPr>
      <w:r>
        <w:rPr>
          <w:rFonts w:ascii="黑体" w:hAnsi="宋体" w:eastAsia="黑体"/>
          <w:color w:val="000000"/>
          <w:highlight w:val="none"/>
        </w:rPr>
        <w:br w:type="page"/>
      </w:r>
      <w:r>
        <w:rPr>
          <w:rFonts w:hint="eastAsia" w:ascii="黑体" w:hAnsi="宋体" w:eastAsia="黑体"/>
          <w:color w:val="000000"/>
          <w:highlight w:val="none"/>
        </w:rPr>
        <w:t>附件一</w:t>
      </w:r>
    </w:p>
    <w:p>
      <w:pPr>
        <w:spacing w:line="360" w:lineRule="auto"/>
        <w:rPr>
          <w:rFonts w:ascii="宋体" w:hAnsi="宋体"/>
          <w:color w:val="000000"/>
          <w:highlight w:val="none"/>
        </w:rPr>
      </w:pPr>
    </w:p>
    <w:p>
      <w:pPr>
        <w:spacing w:line="360" w:lineRule="auto"/>
        <w:jc w:val="center"/>
        <w:rPr>
          <w:rFonts w:ascii="华文中宋" w:hAnsi="华文中宋" w:eastAsia="华文中宋"/>
          <w:b/>
          <w:color w:val="000000"/>
          <w:spacing w:val="60"/>
          <w:sz w:val="28"/>
          <w:szCs w:val="28"/>
          <w:highlight w:val="none"/>
        </w:rPr>
      </w:pPr>
      <w:r>
        <w:rPr>
          <w:rFonts w:hint="eastAsia" w:ascii="华文中宋" w:hAnsi="华文中宋" w:eastAsia="华文中宋"/>
          <w:b/>
          <w:color w:val="000000"/>
          <w:spacing w:val="60"/>
          <w:sz w:val="28"/>
          <w:szCs w:val="28"/>
          <w:highlight w:val="none"/>
        </w:rPr>
        <w:t>产品清</w:t>
      </w:r>
      <w:r>
        <w:rPr>
          <w:rFonts w:hint="eastAsia" w:ascii="华文中宋" w:hAnsi="华文中宋" w:eastAsia="华文中宋"/>
          <w:b/>
          <w:color w:val="000000"/>
          <w:sz w:val="28"/>
          <w:szCs w:val="28"/>
          <w:highlight w:val="none"/>
        </w:rPr>
        <w:t>单</w:t>
      </w:r>
    </w:p>
    <w:p>
      <w:pPr>
        <w:spacing w:line="360" w:lineRule="auto"/>
        <w:rPr>
          <w:rFonts w:ascii="宋体" w:hAnsi="宋体"/>
          <w:color w:val="000000"/>
          <w:highlight w:val="none"/>
        </w:rPr>
      </w:pPr>
    </w:p>
    <w:p>
      <w:pPr>
        <w:spacing w:line="360" w:lineRule="auto"/>
        <w:rPr>
          <w:rFonts w:ascii="华文中宋" w:hAnsi="华文中宋" w:eastAsia="华文中宋"/>
          <w:color w:val="000000"/>
          <w:highlight w:val="none"/>
        </w:rPr>
      </w:pPr>
      <w:r>
        <w:rPr>
          <w:rFonts w:hint="eastAsia" w:ascii="华文中宋" w:hAnsi="华文中宋" w:eastAsia="华文中宋"/>
          <w:color w:val="000000"/>
          <w:highlight w:val="none"/>
        </w:rPr>
        <w:t>甲方（买受人）：复旦大学</w:t>
      </w:r>
    </w:p>
    <w:p>
      <w:pPr>
        <w:spacing w:line="360" w:lineRule="auto"/>
        <w:rPr>
          <w:rFonts w:ascii="华文中宋" w:hAnsi="华文中宋" w:eastAsia="华文中宋"/>
          <w:color w:val="000000"/>
          <w:highlight w:val="none"/>
        </w:rPr>
      </w:pPr>
      <w:r>
        <w:rPr>
          <w:rFonts w:hint="eastAsia" w:ascii="华文中宋" w:hAnsi="华文中宋" w:eastAsia="华文中宋"/>
          <w:color w:val="000000"/>
          <w:highlight w:val="none"/>
        </w:rPr>
        <w:t>乙方（出卖人）：</w:t>
      </w:r>
      <w:r>
        <w:rPr>
          <w:rFonts w:hint="eastAsia" w:ascii="华文中宋" w:hAnsi="华文中宋" w:eastAsia="华文中宋"/>
          <w:color w:val="000000"/>
          <w:highlight w:val="none"/>
          <w:u w:val="single"/>
        </w:rPr>
        <w:t xml:space="preserve">         </w:t>
      </w:r>
    </w:p>
    <w:p>
      <w:pPr>
        <w:spacing w:line="360" w:lineRule="auto"/>
        <w:rPr>
          <w:rFonts w:ascii="宋体" w:hAnsi="宋体"/>
          <w:color w:val="000000"/>
          <w:highlight w:val="none"/>
        </w:rPr>
      </w:pP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9"/>
        <w:gridCol w:w="776"/>
        <w:gridCol w:w="757"/>
        <w:gridCol w:w="291"/>
        <w:gridCol w:w="969"/>
        <w:gridCol w:w="822"/>
        <w:gridCol w:w="1043"/>
        <w:gridCol w:w="1086"/>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609" w:type="dxa"/>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 xml:space="preserve">品 名 </w:t>
            </w:r>
          </w:p>
        </w:tc>
        <w:tc>
          <w:tcPr>
            <w:tcW w:w="1533" w:type="dxa"/>
            <w:gridSpan w:val="2"/>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规格/型号</w:t>
            </w:r>
          </w:p>
        </w:tc>
        <w:tc>
          <w:tcPr>
            <w:tcW w:w="1260" w:type="dxa"/>
            <w:gridSpan w:val="2"/>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生产厂家</w:t>
            </w:r>
          </w:p>
        </w:tc>
        <w:tc>
          <w:tcPr>
            <w:tcW w:w="822" w:type="dxa"/>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数 量</w:t>
            </w:r>
          </w:p>
        </w:tc>
        <w:tc>
          <w:tcPr>
            <w:tcW w:w="1043" w:type="dxa"/>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单位</w:t>
            </w:r>
          </w:p>
        </w:tc>
        <w:tc>
          <w:tcPr>
            <w:tcW w:w="1086" w:type="dxa"/>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单 价</w:t>
            </w:r>
          </w:p>
        </w:tc>
        <w:tc>
          <w:tcPr>
            <w:tcW w:w="1169" w:type="dxa"/>
            <w:noWrap w:val="0"/>
            <w:vAlign w:val="top"/>
          </w:tcPr>
          <w:p>
            <w:pPr>
              <w:spacing w:line="360" w:lineRule="auto"/>
              <w:jc w:val="center"/>
              <w:rPr>
                <w:rFonts w:ascii="华文中宋" w:hAnsi="华文中宋" w:eastAsia="华文中宋"/>
                <w:color w:val="000000"/>
                <w:highlight w:val="none"/>
              </w:rPr>
            </w:pPr>
            <w:r>
              <w:rPr>
                <w:rFonts w:hint="eastAsia" w:ascii="华文中宋" w:hAnsi="华文中宋" w:eastAsia="华文中宋"/>
                <w:color w:val="000000"/>
                <w:highlight w:val="none"/>
              </w:rPr>
              <w:t>总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noWrap w:val="0"/>
            <w:vAlign w:val="top"/>
          </w:tcPr>
          <w:p>
            <w:pPr>
              <w:spacing w:line="360" w:lineRule="auto"/>
              <w:rPr>
                <w:rFonts w:ascii="宋体" w:hAnsi="宋体"/>
                <w:color w:val="000000"/>
                <w:szCs w:val="21"/>
                <w:highlight w:val="none"/>
              </w:rPr>
            </w:pPr>
          </w:p>
        </w:tc>
        <w:tc>
          <w:tcPr>
            <w:tcW w:w="1533" w:type="dxa"/>
            <w:gridSpan w:val="2"/>
            <w:noWrap w:val="0"/>
            <w:vAlign w:val="top"/>
          </w:tcPr>
          <w:p>
            <w:pPr>
              <w:spacing w:line="360" w:lineRule="auto"/>
              <w:rPr>
                <w:rFonts w:ascii="宋体" w:hAnsi="宋体"/>
                <w:color w:val="000000"/>
                <w:szCs w:val="21"/>
                <w:highlight w:val="none"/>
              </w:rPr>
            </w:pPr>
          </w:p>
        </w:tc>
        <w:tc>
          <w:tcPr>
            <w:tcW w:w="1260" w:type="dxa"/>
            <w:gridSpan w:val="2"/>
            <w:noWrap w:val="0"/>
            <w:vAlign w:val="top"/>
          </w:tcPr>
          <w:p>
            <w:pPr>
              <w:spacing w:line="360" w:lineRule="auto"/>
              <w:rPr>
                <w:rFonts w:ascii="宋体" w:hAnsi="宋体"/>
                <w:color w:val="000000"/>
                <w:szCs w:val="21"/>
                <w:highlight w:val="none"/>
              </w:rPr>
            </w:pPr>
          </w:p>
        </w:tc>
        <w:tc>
          <w:tcPr>
            <w:tcW w:w="822" w:type="dxa"/>
            <w:noWrap w:val="0"/>
            <w:vAlign w:val="top"/>
          </w:tcPr>
          <w:p>
            <w:pPr>
              <w:spacing w:line="360" w:lineRule="auto"/>
              <w:rPr>
                <w:rFonts w:ascii="宋体" w:hAnsi="宋体"/>
                <w:color w:val="000000"/>
                <w:szCs w:val="21"/>
                <w:highlight w:val="none"/>
              </w:rPr>
            </w:pPr>
          </w:p>
        </w:tc>
        <w:tc>
          <w:tcPr>
            <w:tcW w:w="1043" w:type="dxa"/>
            <w:noWrap w:val="0"/>
            <w:vAlign w:val="top"/>
          </w:tcPr>
          <w:p>
            <w:pPr>
              <w:spacing w:line="360" w:lineRule="auto"/>
              <w:rPr>
                <w:rFonts w:ascii="宋体" w:hAnsi="宋体"/>
                <w:color w:val="000000"/>
                <w:szCs w:val="21"/>
                <w:highlight w:val="none"/>
              </w:rPr>
            </w:pPr>
          </w:p>
        </w:tc>
        <w:tc>
          <w:tcPr>
            <w:tcW w:w="1086" w:type="dxa"/>
            <w:noWrap w:val="0"/>
            <w:vAlign w:val="top"/>
          </w:tcPr>
          <w:p>
            <w:pPr>
              <w:spacing w:line="360" w:lineRule="auto"/>
              <w:rPr>
                <w:rFonts w:ascii="宋体" w:hAnsi="宋体"/>
                <w:color w:val="000000"/>
                <w:szCs w:val="21"/>
                <w:highlight w:val="none"/>
              </w:rPr>
            </w:pPr>
          </w:p>
        </w:tc>
        <w:tc>
          <w:tcPr>
            <w:tcW w:w="1169" w:type="dxa"/>
            <w:noWrap w:val="0"/>
            <w:vAlign w:val="top"/>
          </w:tcPr>
          <w:p>
            <w:pPr>
              <w:spacing w:line="360" w:lineRule="auto"/>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noWrap w:val="0"/>
            <w:vAlign w:val="top"/>
          </w:tcPr>
          <w:p>
            <w:pPr>
              <w:spacing w:line="360" w:lineRule="auto"/>
              <w:jc w:val="center"/>
              <w:rPr>
                <w:rFonts w:ascii="宋体" w:hAnsi="宋体"/>
                <w:color w:val="000000"/>
                <w:szCs w:val="21"/>
                <w:highlight w:val="none"/>
              </w:rPr>
            </w:pPr>
            <w:r>
              <w:rPr>
                <w:rFonts w:hint="eastAsia" w:ascii="华文中宋" w:hAnsi="华文中宋" w:eastAsia="华文中宋"/>
                <w:color w:val="000000"/>
                <w:highlight w:val="none"/>
              </w:rPr>
              <w:t>合计总价</w:t>
            </w:r>
          </w:p>
        </w:tc>
        <w:tc>
          <w:tcPr>
            <w:tcW w:w="776" w:type="dxa"/>
            <w:noWrap w:val="0"/>
            <w:vAlign w:val="top"/>
          </w:tcPr>
          <w:p>
            <w:pPr>
              <w:spacing w:line="360" w:lineRule="auto"/>
              <w:rPr>
                <w:rFonts w:ascii="华文中宋" w:hAnsi="华文中宋" w:eastAsia="华文中宋"/>
                <w:color w:val="000000"/>
                <w:highlight w:val="none"/>
              </w:rPr>
            </w:pPr>
          </w:p>
        </w:tc>
        <w:tc>
          <w:tcPr>
            <w:tcW w:w="1048" w:type="dxa"/>
            <w:gridSpan w:val="2"/>
            <w:noWrap w:val="0"/>
            <w:vAlign w:val="top"/>
          </w:tcPr>
          <w:p>
            <w:pPr>
              <w:spacing w:line="360" w:lineRule="auto"/>
              <w:rPr>
                <w:rFonts w:ascii="华文中宋" w:hAnsi="华文中宋" w:eastAsia="华文中宋"/>
                <w:color w:val="000000"/>
                <w:highlight w:val="none"/>
              </w:rPr>
            </w:pPr>
          </w:p>
        </w:tc>
        <w:tc>
          <w:tcPr>
            <w:tcW w:w="5089" w:type="dxa"/>
            <w:gridSpan w:val="5"/>
            <w:noWrap w:val="0"/>
            <w:vAlign w:val="top"/>
          </w:tcPr>
          <w:p>
            <w:pPr>
              <w:spacing w:line="360" w:lineRule="auto"/>
              <w:rPr>
                <w:rFonts w:ascii="宋体" w:hAnsi="宋体"/>
                <w:color w:val="000000"/>
                <w:szCs w:val="21"/>
                <w:highlight w:val="none"/>
              </w:rPr>
            </w:pPr>
            <w:r>
              <w:rPr>
                <w:rFonts w:hint="eastAsia" w:ascii="华文中宋" w:hAnsi="华文中宋" w:eastAsia="华文中宋"/>
                <w:color w:val="000000"/>
                <w:highlight w:val="none"/>
              </w:rPr>
              <w:t>￥       元</w:t>
            </w:r>
          </w:p>
        </w:tc>
      </w:tr>
    </w:tbl>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ind w:left="617" w:leftChars="257" w:firstLine="3660" w:firstLineChars="1525"/>
        <w:rPr>
          <w:rFonts w:ascii="黑体" w:eastAsia="黑体"/>
          <w:color w:val="000000"/>
          <w:highlight w:val="none"/>
        </w:rPr>
      </w:pPr>
      <w:r>
        <w:rPr>
          <w:rFonts w:hint="eastAsia" w:ascii="黑体" w:eastAsia="黑体"/>
          <w:color w:val="000000"/>
          <w:highlight w:val="none"/>
        </w:rPr>
        <w:t>甲方（买受人）：复旦大学</w:t>
      </w:r>
    </w:p>
    <w:p>
      <w:pPr>
        <w:spacing w:line="360" w:lineRule="auto"/>
        <w:jc w:val="right"/>
        <w:rPr>
          <w:rFonts w:ascii="黑体" w:eastAsia="黑体"/>
          <w:color w:val="000000"/>
          <w:highlight w:val="none"/>
        </w:rPr>
      </w:pPr>
      <w:r>
        <w:rPr>
          <w:rFonts w:hint="eastAsia" w:ascii="黑体" w:eastAsia="黑体"/>
          <w:color w:val="000000"/>
          <w:highlight w:val="none"/>
          <w:u w:val="single"/>
        </w:rPr>
        <w:t xml:space="preserve">                          </w:t>
      </w:r>
      <w:r>
        <w:rPr>
          <w:rFonts w:hint="eastAsia" w:ascii="黑体" w:eastAsia="黑体"/>
          <w:color w:val="000000"/>
          <w:highlight w:val="none"/>
        </w:rPr>
        <w:t>（盖章）</w:t>
      </w: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rPr>
          <w:rFonts w:ascii="宋体" w:hAnsi="宋体"/>
          <w:color w:val="000000"/>
          <w:highlight w:val="none"/>
        </w:rPr>
      </w:pPr>
    </w:p>
    <w:p>
      <w:pPr>
        <w:spacing w:line="360" w:lineRule="auto"/>
        <w:ind w:left="617" w:leftChars="257" w:firstLine="3660" w:firstLineChars="1525"/>
        <w:rPr>
          <w:rFonts w:ascii="黑体" w:eastAsia="黑体"/>
          <w:color w:val="000000"/>
          <w:highlight w:val="none"/>
        </w:rPr>
      </w:pPr>
      <w:r>
        <w:rPr>
          <w:rFonts w:hint="eastAsia" w:ascii="黑体" w:eastAsia="黑体"/>
          <w:color w:val="000000"/>
          <w:highlight w:val="none"/>
        </w:rPr>
        <w:t>乙方（出卖人）：</w:t>
      </w:r>
      <w:r>
        <w:rPr>
          <w:rFonts w:hint="eastAsia" w:ascii="黑体" w:eastAsia="黑体"/>
          <w:color w:val="000000"/>
          <w:highlight w:val="none"/>
          <w:u w:val="single"/>
        </w:rPr>
        <w:t xml:space="preserve">           </w:t>
      </w:r>
    </w:p>
    <w:p>
      <w:pPr>
        <w:spacing w:line="360" w:lineRule="auto"/>
        <w:jc w:val="right"/>
        <w:rPr>
          <w:rFonts w:ascii="黑体" w:eastAsia="黑体"/>
          <w:color w:val="000000"/>
          <w:highlight w:val="none"/>
        </w:rPr>
      </w:pPr>
      <w:r>
        <w:rPr>
          <w:rFonts w:hint="eastAsia" w:ascii="黑体" w:eastAsia="黑体"/>
          <w:color w:val="000000"/>
          <w:highlight w:val="none"/>
          <w:u w:val="single"/>
        </w:rPr>
        <w:t xml:space="preserve">                          </w:t>
      </w:r>
      <w:r>
        <w:rPr>
          <w:rFonts w:hint="eastAsia" w:ascii="黑体" w:eastAsia="黑体"/>
          <w:color w:val="000000"/>
          <w:highlight w:val="none"/>
        </w:rPr>
        <w:t>（盖章）</w:t>
      </w:r>
    </w:p>
    <w:p>
      <w:pPr>
        <w:wordWrap w:val="0"/>
        <w:spacing w:line="280" w:lineRule="exact"/>
        <w:jc w:val="right"/>
        <w:rPr>
          <w:rFonts w:hint="eastAsia" w:ascii="黑体" w:eastAsia="黑体"/>
          <w:color w:val="000000"/>
          <w:highlight w:val="none"/>
          <w:u w:val="single"/>
        </w:rPr>
      </w:pPr>
    </w:p>
    <w:p>
      <w:pPr>
        <w:spacing w:line="600" w:lineRule="exact"/>
        <w:rPr>
          <w:rFonts w:hint="eastAsia" w:ascii="黑体" w:eastAsia="黑体"/>
          <w:color w:val="000000"/>
          <w:highlight w:val="none"/>
          <w:u w:val="single"/>
        </w:rPr>
      </w:pPr>
    </w:p>
    <w:p>
      <w:pPr>
        <w:spacing w:line="500" w:lineRule="exact"/>
        <w:rPr>
          <w:rFonts w:ascii="宋体" w:hAnsi="宋体"/>
          <w:color w:val="000000"/>
          <w:sz w:val="28"/>
          <w:szCs w:val="28"/>
          <w:highlight w:val="none"/>
        </w:rPr>
      </w:pPr>
      <w:r>
        <w:rPr>
          <w:rFonts w:ascii="黑体" w:eastAsia="黑体"/>
          <w:color w:val="000000"/>
          <w:highlight w:val="none"/>
          <w:u w:val="single"/>
        </w:rPr>
        <w:br w:type="page"/>
      </w:r>
      <w:r>
        <w:rPr>
          <w:rFonts w:hint="eastAsia" w:ascii="宋体" w:hAnsi="宋体"/>
          <w:color w:val="000000"/>
          <w:sz w:val="28"/>
          <w:szCs w:val="28"/>
          <w:highlight w:val="none"/>
        </w:rPr>
        <w:t>附件：中标通知书</w:t>
      </w:r>
    </w:p>
    <w:p>
      <w:pPr>
        <w:jc w:val="center"/>
        <w:rPr>
          <w:rFonts w:ascii="微软雅黑" w:hAnsi="微软雅黑" w:eastAsia="微软雅黑"/>
          <w:color w:val="000000"/>
          <w:szCs w:val="24"/>
          <w:highlight w:val="none"/>
        </w:rPr>
      </w:pPr>
      <w:r>
        <w:rPr>
          <w:rFonts w:hint="eastAsia" w:ascii="微软雅黑" w:hAnsi="微软雅黑" w:eastAsia="微软雅黑"/>
          <w:color w:val="000000"/>
          <w:sz w:val="44"/>
          <w:szCs w:val="44"/>
          <w:highlight w:val="none"/>
        </w:rPr>
        <w:t>中 标 通 知 书 （格式）</w:t>
      </w:r>
    </w:p>
    <w:p>
      <w:pPr>
        <w:jc w:val="center"/>
        <w:rPr>
          <w:color w:val="000000"/>
          <w:szCs w:val="21"/>
          <w:highlight w:val="none"/>
        </w:rPr>
      </w:pPr>
    </w:p>
    <w:tbl>
      <w:tblPr>
        <w:tblStyle w:val="33"/>
        <w:tblW w:w="935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606"/>
        <w:gridCol w:w="67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Before w:w="0" w:type="dxa"/>
        </w:trPr>
        <w:tc>
          <w:tcPr>
            <w:tcW w:w="9356" w:type="dxa"/>
            <w:gridSpan w:val="2"/>
            <w:tcBorders>
              <w:top w:val="single" w:color="auto" w:sz="12" w:space="0"/>
              <w:bottom w:val="nil"/>
            </w:tcBorders>
            <w:noWrap w:val="0"/>
            <w:vAlign w:val="bottom"/>
          </w:tcPr>
          <w:p>
            <w:pPr>
              <w:spacing w:line="720" w:lineRule="exact"/>
              <w:rPr>
                <w:rFonts w:ascii="仿宋" w:hAnsi="仿宋" w:eastAsia="仿宋"/>
                <w:color w:val="000000"/>
                <w:sz w:val="32"/>
                <w:szCs w:val="32"/>
                <w:highlight w:val="none"/>
              </w:rPr>
            </w:pPr>
            <w:r>
              <w:rPr>
                <w:rFonts w:hint="eastAsia" w:ascii="仿宋" w:hAnsi="仿宋" w:eastAsia="仿宋"/>
                <w:color w:val="000000"/>
                <w:sz w:val="32"/>
                <w:szCs w:val="32"/>
                <w:highlight w:val="none"/>
                <w:u w:val="single"/>
              </w:rPr>
              <w:t xml:space="preserve">                          </w:t>
            </w:r>
            <w:r>
              <w:rPr>
                <w:rFonts w:hint="eastAsia" w:ascii="仿宋" w:hAnsi="仿宋" w:eastAsia="仿宋"/>
                <w:color w:val="000000"/>
                <w:sz w:val="32"/>
                <w:szCs w:val="32"/>
                <w:highlight w:val="none"/>
              </w:rPr>
              <w:t>：</w:t>
            </w:r>
          </w:p>
          <w:p>
            <w:pPr>
              <w:spacing w:line="720" w:lineRule="exact"/>
              <w:ind w:firstLine="600"/>
              <w:rPr>
                <w:rFonts w:ascii="仿宋" w:hAnsi="仿宋" w:eastAsia="仿宋"/>
                <w:color w:val="000000"/>
                <w:sz w:val="32"/>
                <w:szCs w:val="32"/>
                <w:highlight w:val="none"/>
              </w:rPr>
            </w:pPr>
            <w:r>
              <w:rPr>
                <w:rFonts w:hint="eastAsia" w:ascii="仿宋" w:hAnsi="仿宋" w:eastAsia="仿宋"/>
                <w:color w:val="000000"/>
                <w:sz w:val="32"/>
                <w:szCs w:val="32"/>
                <w:highlight w:val="none"/>
              </w:rPr>
              <w:t>复旦大学</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rPr>
              <w:t>采购</w:t>
            </w:r>
            <w:r>
              <w:rPr>
                <w:rFonts w:hint="eastAsia" w:ascii="仿宋" w:hAnsi="仿宋" w:eastAsia="仿宋"/>
                <w:color w:val="000000"/>
                <w:sz w:val="32"/>
                <w:szCs w:val="32"/>
                <w:highlight w:val="none"/>
              </w:rPr>
              <w:t>招标项目</w:t>
            </w:r>
            <w:r>
              <w:rPr>
                <w:rFonts w:ascii="仿宋" w:hAnsi="仿宋" w:eastAsia="仿宋"/>
                <w:color w:val="000000"/>
                <w:sz w:val="32"/>
                <w:szCs w:val="32"/>
                <w:highlight w:val="none"/>
              </w:rPr>
              <w:t>（项目编号：</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u w:val="single"/>
              </w:rPr>
              <w:t>HW</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rPr>
              <w:t>）</w:t>
            </w:r>
            <w:r>
              <w:rPr>
                <w:rFonts w:hint="eastAsia" w:ascii="仿宋" w:hAnsi="仿宋" w:eastAsia="仿宋"/>
                <w:color w:val="000000"/>
                <w:sz w:val="32"/>
                <w:szCs w:val="32"/>
                <w:highlight w:val="none"/>
              </w:rPr>
              <w:t>，经评审确定贵司为中标单位，中标金额：（大写）</w:t>
            </w:r>
            <w:r>
              <w:rPr>
                <w:rFonts w:hint="eastAsia" w:ascii="仿宋" w:hAnsi="仿宋" w:eastAsia="仿宋"/>
                <w:color w:val="000000"/>
                <w:sz w:val="32"/>
                <w:szCs w:val="32"/>
                <w:highlight w:val="none"/>
                <w:u w:val="single"/>
              </w:rPr>
              <w:t xml:space="preserve">               </w:t>
            </w:r>
            <w:r>
              <w:rPr>
                <w:rFonts w:hint="eastAsia" w:ascii="仿宋" w:hAnsi="仿宋" w:eastAsia="仿宋"/>
                <w:color w:val="000000"/>
                <w:sz w:val="32"/>
                <w:szCs w:val="32"/>
                <w:highlight w:val="none"/>
              </w:rPr>
              <w:t>，（小写）</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u w:val="single"/>
              </w:rPr>
              <w:t xml:space="preserve">   </w:t>
            </w:r>
            <w:r>
              <w:rPr>
                <w:rFonts w:hint="eastAsia" w:ascii="仿宋" w:hAnsi="仿宋" w:eastAsia="仿宋"/>
                <w:color w:val="000000"/>
                <w:sz w:val="32"/>
                <w:szCs w:val="32"/>
                <w:highlight w:val="none"/>
                <w:u w:val="single"/>
              </w:rPr>
              <w:t xml:space="preserve">       </w:t>
            </w:r>
            <w:r>
              <w:rPr>
                <w:rFonts w:hint="eastAsia" w:ascii="仿宋" w:hAnsi="仿宋" w:eastAsia="仿宋"/>
                <w:color w:val="000000"/>
                <w:sz w:val="32"/>
                <w:szCs w:val="32"/>
                <w:highlight w:val="none"/>
              </w:rPr>
              <w:t>。</w:t>
            </w:r>
          </w:p>
          <w:p>
            <w:pPr>
              <w:spacing w:line="720" w:lineRule="exact"/>
              <w:ind w:firstLine="600"/>
              <w:rPr>
                <w:rFonts w:ascii="仿宋" w:hAnsi="仿宋" w:eastAsia="仿宋"/>
                <w:b/>
                <w:color w:val="000000"/>
                <w:sz w:val="30"/>
                <w:szCs w:val="30"/>
                <w:highlight w:val="none"/>
              </w:rPr>
            </w:pPr>
            <w:r>
              <w:rPr>
                <w:rFonts w:hint="eastAsia" w:ascii="仿宋" w:hAnsi="仿宋" w:eastAsia="仿宋"/>
                <w:b/>
                <w:color w:val="000000"/>
                <w:sz w:val="32"/>
                <w:szCs w:val="32"/>
                <w:highlight w:val="none"/>
              </w:rPr>
              <w:t>请你单位在中标通知书发出之日起三十日内与采购单位签订合同。</w:t>
            </w: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ind w:firstLine="600"/>
              <w:rPr>
                <w:rFonts w:ascii="仿宋" w:hAnsi="仿宋" w:eastAsia="仿宋"/>
                <w:color w:val="000000"/>
                <w:sz w:val="30"/>
                <w:szCs w:val="30"/>
                <w:highlight w:val="none"/>
              </w:rPr>
            </w:pPr>
          </w:p>
          <w:p>
            <w:pPr>
              <w:wordWrap w:val="0"/>
              <w:ind w:firstLine="600"/>
              <w:rPr>
                <w:rFonts w:hint="eastAsia" w:ascii="仿宋" w:hAnsi="仿宋" w:eastAsia="仿宋"/>
                <w:color w:val="000000"/>
                <w:sz w:val="30"/>
                <w:szCs w:val="30"/>
                <w:highlight w:val="none"/>
              </w:rPr>
            </w:pPr>
          </w:p>
          <w:p>
            <w:pPr>
              <w:wordWrap w:val="0"/>
              <w:ind w:firstLine="600"/>
              <w:rPr>
                <w:rFonts w:hint="eastAsia" w:ascii="仿宋" w:hAnsi="仿宋" w:eastAsia="仿宋"/>
                <w:color w:val="000000"/>
                <w:sz w:val="30"/>
                <w:szCs w:val="30"/>
                <w:highlight w:val="none"/>
              </w:rPr>
            </w:pPr>
          </w:p>
          <w:p>
            <w:pPr>
              <w:wordWrap w:val="0"/>
              <w:ind w:firstLine="600"/>
              <w:rPr>
                <w:rFonts w:hint="eastAsia" w:ascii="仿宋" w:hAnsi="仿宋" w:eastAsia="仿宋"/>
                <w:color w:val="000000"/>
                <w:sz w:val="30"/>
                <w:szCs w:val="30"/>
                <w:highlight w:val="none"/>
              </w:rPr>
            </w:pPr>
          </w:p>
          <w:p>
            <w:pPr>
              <w:wordWrap w:val="0"/>
              <w:ind w:firstLine="600"/>
              <w:rPr>
                <w:rFonts w:ascii="仿宋" w:hAnsi="仿宋" w:eastAsia="仿宋"/>
                <w:color w:val="000000"/>
                <w:sz w:val="30"/>
                <w:szCs w:val="3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Before w:w="0" w:type="dxa"/>
          <w:trHeight w:val="1410" w:hRule="atLeast"/>
        </w:trPr>
        <w:tc>
          <w:tcPr>
            <w:tcW w:w="2606" w:type="dxa"/>
            <w:tcBorders>
              <w:top w:val="nil"/>
              <w:bottom w:val="single" w:color="auto" w:sz="6" w:space="0"/>
              <w:right w:val="nil"/>
            </w:tcBorders>
            <w:noWrap w:val="0"/>
            <w:vAlign w:val="top"/>
          </w:tcPr>
          <w:p>
            <w:pPr>
              <w:rPr>
                <w:rFonts w:ascii="仿宋" w:hAnsi="仿宋" w:eastAsia="仿宋"/>
                <w:color w:val="000000"/>
                <w:sz w:val="30"/>
                <w:szCs w:val="30"/>
                <w:highlight w:val="none"/>
              </w:rPr>
            </w:pPr>
          </w:p>
        </w:tc>
        <w:tc>
          <w:tcPr>
            <w:tcW w:w="6750" w:type="dxa"/>
            <w:tcBorders>
              <w:top w:val="nil"/>
              <w:left w:val="nil"/>
              <w:bottom w:val="single" w:color="auto" w:sz="6" w:space="0"/>
            </w:tcBorders>
            <w:noWrap w:val="0"/>
            <w:vAlign w:val="top"/>
          </w:tcPr>
          <w:p>
            <w:pPr>
              <w:rPr>
                <w:rFonts w:ascii="仿宋" w:hAnsi="仿宋" w:eastAsia="仿宋"/>
                <w:color w:val="000000"/>
                <w:sz w:val="32"/>
                <w:szCs w:val="32"/>
                <w:highlight w:val="none"/>
              </w:rPr>
            </w:pPr>
            <w:r>
              <w:rPr>
                <w:rFonts w:hint="eastAsia" w:ascii="仿宋" w:hAnsi="仿宋" w:eastAsia="仿宋"/>
                <w:color w:val="000000"/>
                <w:sz w:val="32"/>
                <w:szCs w:val="32"/>
                <w:highlight w:val="none"/>
              </w:rPr>
              <w:t>采购单位：复旦大学</w:t>
            </w:r>
          </w:p>
          <w:p>
            <w:pPr>
              <w:wordWrap w:val="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招标代理：上海银鑫建设咨询有限公司</w:t>
            </w:r>
          </w:p>
          <w:p>
            <w:pPr>
              <w:wordWrap w:val="0"/>
              <w:rPr>
                <w:rFonts w:ascii="仿宋" w:hAnsi="仿宋" w:eastAsia="仿宋"/>
                <w:color w:val="000000"/>
                <w:sz w:val="30"/>
                <w:szCs w:val="30"/>
                <w:highlight w:val="none"/>
              </w:rPr>
            </w:pPr>
            <w:r>
              <w:rPr>
                <w:rFonts w:hint="eastAsia" w:ascii="仿宋" w:hAnsi="仿宋" w:eastAsia="仿宋"/>
                <w:color w:val="000000"/>
                <w:sz w:val="32"/>
                <w:szCs w:val="32"/>
                <w:highlight w:val="none"/>
              </w:rPr>
              <w:t>日    期：</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rPr>
              <w:t>年</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rPr>
              <w:t>月</w:t>
            </w:r>
            <w:r>
              <w:rPr>
                <w:rFonts w:hint="eastAsia" w:ascii="仿宋" w:hAnsi="仿宋" w:eastAsia="仿宋"/>
                <w:color w:val="000000"/>
                <w:sz w:val="32"/>
                <w:szCs w:val="32"/>
                <w:highlight w:val="none"/>
                <w:u w:val="single"/>
              </w:rPr>
              <w:t xml:space="preserve">   </w:t>
            </w:r>
            <w:r>
              <w:rPr>
                <w:rFonts w:ascii="仿宋" w:hAnsi="仿宋" w:eastAsia="仿宋"/>
                <w:color w:val="000000"/>
                <w:sz w:val="32"/>
                <w:szCs w:val="32"/>
                <w:highlight w:val="none"/>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Before w:w="0" w:type="dxa"/>
          <w:trHeight w:val="91" w:hRule="atLeast"/>
        </w:trPr>
        <w:tc>
          <w:tcPr>
            <w:tcW w:w="9356" w:type="dxa"/>
            <w:gridSpan w:val="2"/>
            <w:tcBorders>
              <w:top w:val="single" w:color="auto" w:sz="6" w:space="0"/>
              <w:bottom w:val="single" w:color="auto" w:sz="12" w:space="0"/>
            </w:tcBorders>
            <w:noWrap w:val="0"/>
            <w:vAlign w:val="top"/>
          </w:tcPr>
          <w:p>
            <w:pPr>
              <w:jc w:val="left"/>
              <w:rPr>
                <w:rFonts w:ascii="仿宋" w:hAnsi="仿宋" w:eastAsia="仿宋"/>
                <w:color w:val="000000"/>
                <w:szCs w:val="21"/>
                <w:highlight w:val="none"/>
              </w:rPr>
            </w:pPr>
            <w:r>
              <w:rPr>
                <w:rFonts w:hint="eastAsia" w:ascii="仿宋" w:hAnsi="仿宋" w:eastAsia="仿宋"/>
                <w:color w:val="000000"/>
                <w:szCs w:val="21"/>
                <w:highlight w:val="none"/>
              </w:rPr>
              <w:t>注：本项目已在财政部备案    是（</w:t>
            </w:r>
            <w:r>
              <w:rPr>
                <w:rFonts w:hint="eastAsia" w:ascii="宋体" w:hAnsi="宋体"/>
                <w:color w:val="000000"/>
                <w:szCs w:val="21"/>
                <w:highlight w:val="none"/>
              </w:rPr>
              <w:t xml:space="preserve"> </w:t>
            </w:r>
            <w:r>
              <w:rPr>
                <w:rFonts w:hint="eastAsia" w:ascii="仿宋" w:hAnsi="仿宋" w:eastAsia="仿宋"/>
                <w:color w:val="000000"/>
                <w:szCs w:val="21"/>
                <w:highlight w:val="none"/>
              </w:rPr>
              <w:t>）      否（ ）</w:t>
            </w:r>
          </w:p>
        </w:tc>
      </w:tr>
    </w:tbl>
    <w:p>
      <w:pPr>
        <w:spacing w:line="600" w:lineRule="exact"/>
        <w:rPr>
          <w:rFonts w:hint="eastAsia" w:ascii="黑体" w:eastAsia="黑体"/>
          <w:b/>
          <w:color w:val="000000"/>
          <w:highlight w:val="none"/>
          <w:u w:val="single"/>
        </w:rPr>
      </w:pPr>
    </w:p>
    <w:p>
      <w:pPr>
        <w:jc w:val="center"/>
        <w:outlineLvl w:val="0"/>
        <w:rPr>
          <w:color w:val="000000"/>
          <w:highlight w:val="none"/>
        </w:rPr>
        <w:sectPr>
          <w:footerReference r:id="rId24" w:type="first"/>
          <w:footerReference r:id="rId23" w:type="default"/>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pPr>
    </w:p>
    <w:p>
      <w:pPr>
        <w:rPr>
          <w:color w:val="000000"/>
          <w:highlight w:val="none"/>
        </w:rPr>
      </w:pPr>
      <w:bookmarkStart w:id="661" w:name="_Toc434897193"/>
    </w:p>
    <w:p>
      <w:pPr>
        <w:rPr>
          <w:color w:val="000000"/>
          <w:highlight w:val="none"/>
        </w:rPr>
      </w:pPr>
    </w:p>
    <w:p>
      <w:pPr>
        <w:rPr>
          <w:color w:val="000000"/>
          <w:highlight w:val="none"/>
        </w:rPr>
      </w:pPr>
    </w:p>
    <w:p>
      <w:pPr>
        <w:rPr>
          <w:color w:val="000000"/>
          <w:highlight w:val="none"/>
        </w:rPr>
      </w:pPr>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hint="eastAsia" w:eastAsia="楷体"/>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662" w:name="_Toc503130328"/>
      <w:r>
        <w:rPr>
          <w:rFonts w:ascii="Times New Roman" w:hAnsi="Times New Roman"/>
          <w:color w:val="000000"/>
          <w:highlight w:val="none"/>
        </w:rPr>
        <w:t>第五章  各种格式</w:t>
      </w:r>
      <w:bookmarkEnd w:id="662"/>
    </w:p>
    <w:bookmarkEnd w:id="661"/>
    <w:p>
      <w:pPr>
        <w:tabs>
          <w:tab w:val="center" w:pos="4153"/>
          <w:tab w:val="right" w:pos="8306"/>
        </w:tabs>
        <w:spacing w:before="320" w:after="160" w:line="240" w:lineRule="atLeast"/>
        <w:jc w:val="center"/>
        <w:rPr>
          <w:rFonts w:eastAsia="黑体"/>
          <w:color w:val="000000"/>
          <w:sz w:val="30"/>
          <w:highlight w:val="none"/>
        </w:rPr>
      </w:pPr>
      <w:r>
        <w:rPr>
          <w:color w:val="000000"/>
          <w:highlight w:val="none"/>
        </w:rPr>
        <w:br w:type="page"/>
      </w:r>
      <w:r>
        <w:rPr>
          <w:rFonts w:eastAsia="黑体"/>
          <w:color w:val="000000"/>
          <w:sz w:val="30"/>
          <w:highlight w:val="none"/>
        </w:rPr>
        <w:t>分目录</w:t>
      </w:r>
    </w:p>
    <w:p>
      <w:pPr>
        <w:pStyle w:val="24"/>
        <w:rPr>
          <w:rFonts w:ascii="Times New Roman" w:eastAsia="宋体"/>
          <w:color w:val="000000"/>
          <w:kern w:val="2"/>
          <w:sz w:val="21"/>
          <w:szCs w:val="22"/>
          <w:highlight w:val="none"/>
          <w:lang/>
        </w:rPr>
      </w:pPr>
      <w:r>
        <w:rPr>
          <w:rFonts w:ascii="Times New Roman"/>
          <w:color w:val="000000"/>
          <w:highlight w:val="none"/>
        </w:rPr>
        <w:fldChar w:fldCharType="begin"/>
      </w:r>
      <w:r>
        <w:rPr>
          <w:rFonts w:ascii="Times New Roman"/>
          <w:color w:val="000000"/>
          <w:highlight w:val="none"/>
        </w:rPr>
        <w:instrText xml:space="preserve"> TOC \t "flNote,1,flName,1,flType,1" </w:instrText>
      </w:r>
      <w:r>
        <w:rPr>
          <w:rFonts w:ascii="Times New Roman"/>
          <w:color w:val="000000"/>
          <w:highlight w:val="none"/>
        </w:rPr>
        <w:fldChar w:fldCharType="separate"/>
      </w:r>
      <w:r>
        <w:rPr>
          <w:rFonts w:ascii="Times New Roman"/>
          <w:color w:val="000000"/>
          <w:highlight w:val="none"/>
          <w:lang/>
        </w:rPr>
        <w:t>投标函格式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_Toc503130733 \h </w:instrText>
      </w:r>
      <w:r>
        <w:rPr>
          <w:rFonts w:ascii="Times New Roman"/>
          <w:color w:val="000000"/>
          <w:highlight w:val="none"/>
          <w:lang/>
        </w:rPr>
        <w:fldChar w:fldCharType="separate"/>
      </w:r>
      <w:r>
        <w:rPr>
          <w:rFonts w:ascii="Times New Roman"/>
          <w:color w:val="000000"/>
          <w:highlight w:val="none"/>
          <w:lang/>
        </w:rPr>
        <w:t>59</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投标报价汇总表</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_Toc503130734 \h </w:instrText>
      </w:r>
      <w:r>
        <w:rPr>
          <w:rFonts w:ascii="Times New Roman"/>
          <w:color w:val="000000"/>
          <w:highlight w:val="none"/>
          <w:lang/>
        </w:rPr>
        <w:fldChar w:fldCharType="separate"/>
      </w:r>
      <w:r>
        <w:rPr>
          <w:rFonts w:ascii="Times New Roman"/>
          <w:color w:val="000000"/>
          <w:highlight w:val="none"/>
          <w:lang/>
        </w:rPr>
        <w:t>61</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分项报价表</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_Toc503130735 \h </w:instrText>
      </w:r>
      <w:r>
        <w:rPr>
          <w:rFonts w:ascii="Times New Roman"/>
          <w:color w:val="000000"/>
          <w:highlight w:val="none"/>
          <w:lang/>
        </w:rPr>
        <w:fldChar w:fldCharType="separate"/>
      </w:r>
      <w:r>
        <w:rPr>
          <w:rFonts w:ascii="Times New Roman"/>
          <w:color w:val="000000"/>
          <w:highlight w:val="none"/>
          <w:lang/>
        </w:rPr>
        <w:t>62</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货物说明一览表格式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_Toc503130736 \h </w:instrText>
      </w:r>
      <w:r>
        <w:rPr>
          <w:rFonts w:ascii="Times New Roman"/>
          <w:color w:val="000000"/>
          <w:highlight w:val="none"/>
          <w:lang/>
        </w:rPr>
        <w:fldChar w:fldCharType="separate"/>
      </w:r>
      <w:r>
        <w:rPr>
          <w:rFonts w:ascii="Times New Roman"/>
          <w:color w:val="000000"/>
          <w:highlight w:val="none"/>
          <w:lang/>
        </w:rPr>
        <w:t>62</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技术规格响应/偏离表格式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_Toc503130737 \h </w:instrText>
      </w:r>
      <w:r>
        <w:rPr>
          <w:rFonts w:ascii="Times New Roman"/>
          <w:color w:val="000000"/>
          <w:highlight w:val="none"/>
          <w:lang/>
        </w:rPr>
        <w:fldChar w:fldCharType="separate"/>
      </w:r>
      <w:r>
        <w:rPr>
          <w:rFonts w:ascii="Times New Roman"/>
          <w:color w:val="000000"/>
          <w:highlight w:val="none"/>
          <w:lang/>
        </w:rPr>
        <w:t>80</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商务条款响应/偏离表</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_Toc503130738 \h </w:instrText>
      </w:r>
      <w:r>
        <w:rPr>
          <w:rFonts w:ascii="Times New Roman"/>
          <w:color w:val="000000"/>
          <w:highlight w:val="none"/>
          <w:lang/>
        </w:rPr>
        <w:fldChar w:fldCharType="separate"/>
      </w:r>
      <w:r>
        <w:rPr>
          <w:rFonts w:ascii="Times New Roman"/>
          <w:color w:val="000000"/>
          <w:highlight w:val="none"/>
          <w:lang/>
        </w:rPr>
        <w:t>81</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投标保证金银行保函格式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_Toc503130739 \h </w:instrText>
      </w:r>
      <w:r>
        <w:rPr>
          <w:rFonts w:ascii="Times New Roman"/>
          <w:color w:val="000000"/>
          <w:highlight w:val="none"/>
          <w:lang/>
        </w:rPr>
        <w:fldChar w:fldCharType="separate"/>
      </w:r>
      <w:r>
        <w:rPr>
          <w:rFonts w:ascii="Times New Roman"/>
          <w:color w:val="000000"/>
          <w:highlight w:val="none"/>
          <w:lang/>
        </w:rPr>
        <w:t>82</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履约保函格式</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_Toc503130740 \h </w:instrText>
      </w:r>
      <w:r>
        <w:rPr>
          <w:rFonts w:ascii="Times New Roman"/>
          <w:color w:val="000000"/>
          <w:highlight w:val="none"/>
          <w:lang/>
        </w:rPr>
        <w:fldChar w:fldCharType="separate"/>
      </w:r>
      <w:r>
        <w:rPr>
          <w:rFonts w:ascii="Times New Roman"/>
          <w:color w:val="000000"/>
          <w:highlight w:val="none"/>
          <w:lang/>
        </w:rPr>
        <w:t>83</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制造厂的声明</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_Toc503130741 \h </w:instrText>
      </w:r>
      <w:r>
        <w:rPr>
          <w:rFonts w:ascii="Times New Roman"/>
          <w:color w:val="000000"/>
          <w:highlight w:val="none"/>
          <w:lang/>
        </w:rPr>
        <w:fldChar w:fldCharType="separate"/>
      </w:r>
      <w:r>
        <w:rPr>
          <w:rFonts w:ascii="Times New Roman"/>
          <w:color w:val="000000"/>
          <w:highlight w:val="none"/>
          <w:lang/>
        </w:rPr>
        <w:t>84</w:t>
      </w:r>
      <w:r>
        <w:rPr>
          <w:rFonts w:ascii="Times New Roman"/>
          <w:color w:val="000000"/>
          <w:highlight w:val="none"/>
          <w:lang/>
        </w:rPr>
        <w:fldChar w:fldCharType="end"/>
      </w:r>
    </w:p>
    <w:p>
      <w:pPr>
        <w:pStyle w:val="24"/>
        <w:rPr>
          <w:rFonts w:ascii="Times New Roman"/>
          <w:color w:val="000000"/>
          <w:highlight w:val="none"/>
          <w:lang/>
        </w:rPr>
      </w:pPr>
      <w:r>
        <w:rPr>
          <w:rFonts w:ascii="Times New Roman"/>
          <w:color w:val="000000"/>
          <w:highlight w:val="none"/>
          <w:lang/>
        </w:rPr>
        <w:t>贸易公司（作为代理）的声明</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_Toc503130742 \h </w:instrText>
      </w:r>
      <w:r>
        <w:rPr>
          <w:rFonts w:ascii="Times New Roman"/>
          <w:color w:val="000000"/>
          <w:highlight w:val="none"/>
          <w:lang/>
        </w:rPr>
        <w:fldChar w:fldCharType="separate"/>
      </w:r>
      <w:r>
        <w:rPr>
          <w:rFonts w:ascii="Times New Roman"/>
          <w:color w:val="000000"/>
          <w:highlight w:val="none"/>
          <w:lang/>
        </w:rPr>
        <w:t>86</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p>
    <w:p>
      <w:pPr>
        <w:pStyle w:val="29"/>
        <w:rPr>
          <w:color w:val="000000"/>
          <w:highlight w:val="none"/>
        </w:rPr>
      </w:pPr>
      <w:r>
        <w:rPr>
          <w:color w:val="000000"/>
          <w:highlight w:val="none"/>
        </w:rPr>
        <w:fldChar w:fldCharType="end"/>
      </w:r>
    </w:p>
    <w:p>
      <w:pPr>
        <w:pStyle w:val="82"/>
        <w:rPr>
          <w:rFonts w:ascii="Times New Roman"/>
          <w:color w:val="000000"/>
          <w:highlight w:val="none"/>
        </w:rPr>
      </w:pPr>
      <w:r>
        <w:rPr>
          <w:rFonts w:ascii="Times New Roman"/>
          <w:color w:val="000000"/>
          <w:highlight w:val="none"/>
        </w:rPr>
        <w:br w:type="page"/>
      </w:r>
      <w:bookmarkStart w:id="663" w:name="_Toc2063763"/>
      <w:bookmarkStart w:id="664" w:name="_Toc491700930"/>
      <w:bookmarkStart w:id="665" w:name="_Toc503130733"/>
      <w:bookmarkStart w:id="666" w:name="_Toc302374207"/>
      <w:bookmarkStart w:id="667" w:name="_Toc700"/>
      <w:bookmarkStart w:id="668" w:name="_Toc2063894"/>
      <w:bookmarkStart w:id="669" w:name="_Toc8343772"/>
      <w:bookmarkStart w:id="670" w:name="_Toc503130409"/>
      <w:bookmarkStart w:id="671" w:name="_Toc503130794"/>
      <w:bookmarkStart w:id="672" w:name="_Toc495406863"/>
      <w:bookmarkStart w:id="673" w:name="_Toc5116269"/>
      <w:bookmarkStart w:id="674" w:name="_Toc389653598"/>
      <w:bookmarkStart w:id="675" w:name="_Toc2063981"/>
      <w:bookmarkStart w:id="676" w:name="_Toc389457526"/>
      <w:bookmarkStart w:id="677" w:name="_Toc450211804"/>
      <w:bookmarkStart w:id="678" w:name="_Toc2063638"/>
      <w:bookmarkStart w:id="679" w:name="_Toc512602450"/>
      <w:r>
        <w:rPr>
          <w:rFonts w:ascii="Times New Roman"/>
          <w:color w:val="000000"/>
          <w:highlight w:val="none"/>
        </w:rPr>
        <w:t>投标函格式</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p>
    <w:p>
      <w:pPr>
        <w:pStyle w:val="2"/>
        <w:numPr>
          <w:ilvl w:val="0"/>
          <w:numId w:val="0"/>
        </w:numPr>
        <w:spacing w:before="96" w:beforeLines="40"/>
        <w:rPr>
          <w:rFonts w:ascii="Times New Roman"/>
          <w:color w:val="000000"/>
          <w:highlight w:val="none"/>
        </w:rPr>
      </w:pPr>
      <w:bookmarkStart w:id="680" w:name="_Toc4897"/>
      <w:bookmarkStart w:id="681" w:name="_Toc389653599"/>
      <w:bookmarkStart w:id="682" w:name="_Toc450211805"/>
      <w:bookmarkStart w:id="683" w:name="_Toc512602451"/>
      <w:bookmarkStart w:id="684" w:name="_Toc5116270"/>
      <w:bookmarkStart w:id="685" w:name="_Toc503130410"/>
      <w:bookmarkStart w:id="686" w:name="_Toc389457527"/>
      <w:r>
        <w:rPr>
          <w:rFonts w:ascii="Times New Roman"/>
          <w:color w:val="000000"/>
          <w:highlight w:val="none"/>
        </w:rPr>
        <w:t>致：</w:t>
      </w:r>
      <w:r>
        <w:rPr>
          <w:rFonts w:ascii="Times New Roman"/>
          <w:color w:val="000000"/>
          <w:highlight w:val="none"/>
          <w:u w:val="single"/>
        </w:rPr>
        <w:t xml:space="preserve">                                </w:t>
      </w:r>
      <w:r>
        <w:rPr>
          <w:rFonts w:ascii="Times New Roman"/>
          <w:color w:val="000000"/>
          <w:highlight w:val="none"/>
        </w:rPr>
        <w:t>（招标人和招标代理机构名称）</w:t>
      </w:r>
      <w:bookmarkEnd w:id="680"/>
      <w:bookmarkEnd w:id="681"/>
      <w:bookmarkEnd w:id="682"/>
      <w:bookmarkEnd w:id="683"/>
      <w:bookmarkEnd w:id="684"/>
      <w:bookmarkEnd w:id="685"/>
      <w:bookmarkEnd w:id="686"/>
    </w:p>
    <w:p>
      <w:pPr>
        <w:pStyle w:val="12"/>
        <w:rPr>
          <w:color w:val="000000"/>
          <w:highlight w:val="none"/>
        </w:rPr>
      </w:pPr>
      <w:r>
        <w:rPr>
          <w:color w:val="000000"/>
          <w:highlight w:val="none"/>
        </w:rPr>
        <w:t>根据贵方</w:t>
      </w:r>
      <w:r>
        <w:rPr>
          <w:color w:val="000000"/>
          <w:highlight w:val="none"/>
          <w:u w:val="single"/>
        </w:rPr>
        <w:t xml:space="preserve">                  </w:t>
      </w:r>
      <w:r>
        <w:rPr>
          <w:color w:val="000000"/>
          <w:highlight w:val="none"/>
        </w:rPr>
        <w:t>项目招标采购的</w:t>
      </w:r>
      <w:r>
        <w:rPr>
          <w:color w:val="000000"/>
          <w:highlight w:val="none"/>
          <w:u w:val="single"/>
        </w:rPr>
        <w:t xml:space="preserve">                  </w:t>
      </w:r>
      <w:r>
        <w:rPr>
          <w:color w:val="000000"/>
          <w:highlight w:val="none"/>
        </w:rPr>
        <w:t>货物的投标邀请书（项目编号为：</w:t>
      </w:r>
      <w:r>
        <w:rPr>
          <w:color w:val="000000"/>
          <w:highlight w:val="none"/>
          <w:u w:val="single"/>
        </w:rPr>
        <w:t xml:space="preserve">        </w:t>
      </w:r>
      <w:r>
        <w:rPr>
          <w:color w:val="000000"/>
          <w:highlight w:val="none"/>
        </w:rPr>
        <w:t>），现正式授权的下列签字人</w:t>
      </w:r>
      <w:r>
        <w:rPr>
          <w:color w:val="000000"/>
          <w:highlight w:val="none"/>
          <w:u w:val="single"/>
        </w:rPr>
        <w:t xml:space="preserve">              </w:t>
      </w:r>
      <w:r>
        <w:rPr>
          <w:color w:val="000000"/>
          <w:highlight w:val="none"/>
        </w:rPr>
        <w:t>（姓名和职务）代表投标人</w:t>
      </w:r>
      <w:r>
        <w:rPr>
          <w:color w:val="000000"/>
          <w:highlight w:val="none"/>
          <w:u w:val="single"/>
        </w:rPr>
        <w:t xml:space="preserve">              </w:t>
      </w:r>
      <w:r>
        <w:rPr>
          <w:color w:val="000000"/>
          <w:highlight w:val="none"/>
        </w:rPr>
        <w:t>（投标人的名称），提交</w:t>
      </w:r>
      <w:r>
        <w:rPr>
          <w:rFonts w:hint="eastAsia"/>
          <w:color w:val="000000"/>
          <w:highlight w:val="none"/>
        </w:rPr>
        <w:t>电子投标</w:t>
      </w:r>
      <w:r>
        <w:rPr>
          <w:color w:val="000000"/>
          <w:highlight w:val="none"/>
        </w:rPr>
        <w:t>文件1份</w:t>
      </w:r>
      <w:r>
        <w:rPr>
          <w:rFonts w:hint="eastAsia"/>
          <w:color w:val="000000"/>
          <w:highlight w:val="none"/>
        </w:rPr>
        <w:t>，书面投标文件2份（正本一份，副本一份）</w:t>
      </w:r>
      <w:r>
        <w:rPr>
          <w:color w:val="000000"/>
          <w:highlight w:val="none"/>
        </w:rPr>
        <w:t>：</w:t>
      </w:r>
    </w:p>
    <w:p>
      <w:pPr>
        <w:pStyle w:val="12"/>
        <w:rPr>
          <w:color w:val="000000"/>
          <w:highlight w:val="none"/>
        </w:rPr>
      </w:pPr>
      <w:r>
        <w:rPr>
          <w:color w:val="000000"/>
          <w:highlight w:val="none"/>
        </w:rPr>
        <w:t>（1）</w:t>
      </w:r>
      <w:r>
        <w:rPr>
          <w:color w:val="000000"/>
          <w:highlight w:val="none"/>
        </w:rPr>
        <w:tab/>
      </w:r>
      <w:r>
        <w:rPr>
          <w:color w:val="000000"/>
          <w:highlight w:val="none"/>
        </w:rPr>
        <w:t>投标报价表；</w:t>
      </w:r>
    </w:p>
    <w:p>
      <w:pPr>
        <w:pStyle w:val="12"/>
        <w:rPr>
          <w:color w:val="000000"/>
          <w:highlight w:val="none"/>
        </w:rPr>
      </w:pPr>
      <w:r>
        <w:rPr>
          <w:color w:val="000000"/>
          <w:highlight w:val="none"/>
        </w:rPr>
        <w:t>（2）</w:t>
      </w:r>
      <w:r>
        <w:rPr>
          <w:color w:val="000000"/>
          <w:highlight w:val="none"/>
        </w:rPr>
        <w:tab/>
      </w:r>
      <w:r>
        <w:rPr>
          <w:color w:val="000000"/>
          <w:highlight w:val="none"/>
        </w:rPr>
        <w:t>货物说明一览表；</w:t>
      </w:r>
    </w:p>
    <w:p>
      <w:pPr>
        <w:pStyle w:val="12"/>
        <w:rPr>
          <w:rFonts w:hint="eastAsia"/>
          <w:color w:val="000000"/>
          <w:highlight w:val="none"/>
        </w:rPr>
      </w:pPr>
      <w:bookmarkStart w:id="687" w:name="_Toc389653600"/>
      <w:bookmarkStart w:id="688" w:name="_Toc389457528"/>
      <w:bookmarkStart w:id="689" w:name="_Toc450211806"/>
      <w:r>
        <w:rPr>
          <w:color w:val="000000"/>
          <w:highlight w:val="none"/>
        </w:rPr>
        <w:t>（3）</w:t>
      </w:r>
      <w:r>
        <w:rPr>
          <w:color w:val="000000"/>
          <w:highlight w:val="none"/>
        </w:rPr>
        <w:tab/>
      </w:r>
      <w:r>
        <w:rPr>
          <w:rStyle w:val="41"/>
          <w:rFonts w:hint="eastAsia" w:ascii="Times New Roman"/>
          <w:color w:val="000000"/>
          <w:highlight w:val="none"/>
        </w:rPr>
        <w:t>商务条款</w:t>
      </w:r>
      <w:r>
        <w:rPr>
          <w:rFonts w:hint="eastAsia"/>
          <w:color w:val="000000"/>
          <w:highlight w:val="none"/>
        </w:rPr>
        <w:t>响应/偏离表；</w:t>
      </w:r>
    </w:p>
    <w:p>
      <w:pPr>
        <w:pStyle w:val="12"/>
        <w:rPr>
          <w:color w:val="000000"/>
          <w:highlight w:val="none"/>
        </w:rPr>
      </w:pPr>
      <w:r>
        <w:rPr>
          <w:color w:val="000000"/>
          <w:highlight w:val="none"/>
        </w:rPr>
        <w:t>（</w:t>
      </w:r>
      <w:r>
        <w:rPr>
          <w:rFonts w:hint="eastAsia"/>
          <w:color w:val="000000"/>
          <w:highlight w:val="none"/>
        </w:rPr>
        <w:t>4</w:t>
      </w:r>
      <w:r>
        <w:rPr>
          <w:color w:val="000000"/>
          <w:highlight w:val="none"/>
        </w:rPr>
        <w:t>）</w:t>
      </w:r>
      <w:r>
        <w:rPr>
          <w:color w:val="000000"/>
          <w:highlight w:val="none"/>
        </w:rPr>
        <w:tab/>
      </w:r>
      <w:bookmarkEnd w:id="687"/>
      <w:bookmarkEnd w:id="688"/>
      <w:bookmarkEnd w:id="689"/>
      <w:r>
        <w:rPr>
          <w:rStyle w:val="41"/>
          <w:rFonts w:hint="eastAsia" w:ascii="Times New Roman"/>
          <w:color w:val="000000"/>
          <w:highlight w:val="none"/>
        </w:rPr>
        <w:t>技术规格</w:t>
      </w:r>
      <w:r>
        <w:rPr>
          <w:rFonts w:hint="eastAsia"/>
          <w:color w:val="000000"/>
          <w:highlight w:val="none"/>
        </w:rPr>
        <w:t>响应/偏离表</w:t>
      </w:r>
      <w:r>
        <w:rPr>
          <w:color w:val="000000"/>
          <w:highlight w:val="none"/>
        </w:rPr>
        <w:t>；</w:t>
      </w:r>
    </w:p>
    <w:p>
      <w:pPr>
        <w:pStyle w:val="12"/>
        <w:rPr>
          <w:color w:val="000000"/>
          <w:highlight w:val="none"/>
        </w:rPr>
      </w:pPr>
      <w:r>
        <w:rPr>
          <w:color w:val="000000"/>
          <w:highlight w:val="none"/>
        </w:rPr>
        <w:t>（</w:t>
      </w:r>
      <w:r>
        <w:rPr>
          <w:rFonts w:hint="eastAsia"/>
          <w:color w:val="000000"/>
          <w:highlight w:val="none"/>
        </w:rPr>
        <w:t>5</w:t>
      </w:r>
      <w:r>
        <w:rPr>
          <w:color w:val="000000"/>
          <w:highlight w:val="none"/>
        </w:rPr>
        <w:t>）</w:t>
      </w:r>
      <w:r>
        <w:rPr>
          <w:color w:val="000000"/>
          <w:highlight w:val="none"/>
        </w:rPr>
        <w:tab/>
      </w:r>
      <w:r>
        <w:rPr>
          <w:color w:val="000000"/>
          <w:highlight w:val="none"/>
        </w:rPr>
        <w:t>资格证明文件；</w:t>
      </w:r>
    </w:p>
    <w:p>
      <w:pPr>
        <w:pStyle w:val="12"/>
        <w:rPr>
          <w:color w:val="000000"/>
          <w:highlight w:val="none"/>
        </w:rPr>
      </w:pPr>
      <w:r>
        <w:rPr>
          <w:color w:val="000000"/>
          <w:highlight w:val="none"/>
        </w:rPr>
        <w:t>（</w:t>
      </w:r>
      <w:r>
        <w:rPr>
          <w:rFonts w:hint="eastAsia"/>
          <w:color w:val="000000"/>
          <w:highlight w:val="none"/>
        </w:rPr>
        <w:t>6</w:t>
      </w:r>
      <w:r>
        <w:rPr>
          <w:color w:val="000000"/>
          <w:highlight w:val="none"/>
        </w:rPr>
        <w:t>）</w:t>
      </w:r>
      <w:r>
        <w:rPr>
          <w:color w:val="000000"/>
          <w:highlight w:val="none"/>
        </w:rPr>
        <w:tab/>
      </w:r>
      <w:r>
        <w:rPr>
          <w:color w:val="000000"/>
          <w:highlight w:val="none"/>
        </w:rPr>
        <w:t>由</w:t>
      </w:r>
      <w:r>
        <w:rPr>
          <w:color w:val="000000"/>
          <w:highlight w:val="none"/>
          <w:u w:val="single"/>
        </w:rPr>
        <w:t xml:space="preserve">                </w:t>
      </w:r>
      <w:r>
        <w:rPr>
          <w:color w:val="000000"/>
          <w:highlight w:val="none"/>
        </w:rPr>
        <w:t>银行开具的金额为</w:t>
      </w:r>
      <w:r>
        <w:rPr>
          <w:color w:val="000000"/>
          <w:highlight w:val="none"/>
          <w:u w:val="single"/>
        </w:rPr>
        <w:t xml:space="preserve">               </w:t>
      </w:r>
      <w:r>
        <w:rPr>
          <w:color w:val="000000"/>
          <w:highlight w:val="none"/>
        </w:rPr>
        <w:t>的投标保证金；</w:t>
      </w:r>
    </w:p>
    <w:p>
      <w:pPr>
        <w:pStyle w:val="12"/>
        <w:rPr>
          <w:color w:val="000000"/>
          <w:highlight w:val="none"/>
        </w:rPr>
      </w:pPr>
      <w:r>
        <w:rPr>
          <w:color w:val="000000"/>
          <w:highlight w:val="none"/>
        </w:rPr>
        <w:t>（</w:t>
      </w:r>
      <w:r>
        <w:rPr>
          <w:rFonts w:hint="eastAsia"/>
          <w:color w:val="000000"/>
          <w:highlight w:val="none"/>
        </w:rPr>
        <w:t>7</w:t>
      </w:r>
      <w:r>
        <w:rPr>
          <w:color w:val="000000"/>
          <w:highlight w:val="none"/>
        </w:rPr>
        <w:t>）</w:t>
      </w:r>
      <w:r>
        <w:rPr>
          <w:color w:val="000000"/>
          <w:highlight w:val="none"/>
        </w:rPr>
        <w:tab/>
      </w:r>
      <w:r>
        <w:rPr>
          <w:color w:val="000000"/>
          <w:highlight w:val="none"/>
        </w:rPr>
        <w:t>“投标人须知”第</w:t>
      </w:r>
      <w:r>
        <w:rPr>
          <w:color w:val="000000"/>
          <w:highlight w:val="none"/>
        </w:rPr>
        <w:fldChar w:fldCharType="begin"/>
      </w:r>
      <w:r>
        <w:rPr>
          <w:color w:val="000000"/>
          <w:highlight w:val="none"/>
        </w:rPr>
        <w:instrText xml:space="preserve"> REF _Ref434418215 \n  \* MERGEFORMAT </w:instrText>
      </w:r>
      <w:r>
        <w:rPr>
          <w:color w:val="000000"/>
          <w:highlight w:val="none"/>
        </w:rPr>
        <w:fldChar w:fldCharType="separate"/>
      </w:r>
      <w:r>
        <w:rPr>
          <w:color w:val="000000"/>
          <w:highlight w:val="none"/>
        </w:rPr>
        <w:t>14</w:t>
      </w:r>
      <w:r>
        <w:rPr>
          <w:color w:val="000000"/>
          <w:highlight w:val="none"/>
        </w:rPr>
        <w:fldChar w:fldCharType="end"/>
      </w:r>
      <w:r>
        <w:rPr>
          <w:color w:val="000000"/>
          <w:highlight w:val="none"/>
        </w:rPr>
        <w:t>条和第</w:t>
      </w:r>
      <w:r>
        <w:rPr>
          <w:color w:val="000000"/>
          <w:highlight w:val="none"/>
        </w:rPr>
        <w:fldChar w:fldCharType="begin"/>
      </w:r>
      <w:r>
        <w:rPr>
          <w:color w:val="000000"/>
          <w:highlight w:val="none"/>
        </w:rPr>
        <w:instrText xml:space="preserve"> REF _Ref434418287 \n  \* MERGEFORMAT </w:instrText>
      </w:r>
      <w:r>
        <w:rPr>
          <w:color w:val="000000"/>
          <w:highlight w:val="none"/>
        </w:rPr>
        <w:fldChar w:fldCharType="separate"/>
      </w:r>
      <w:r>
        <w:rPr>
          <w:color w:val="000000"/>
          <w:highlight w:val="none"/>
        </w:rPr>
        <w:t>15</w:t>
      </w:r>
      <w:r>
        <w:rPr>
          <w:color w:val="000000"/>
          <w:highlight w:val="none"/>
        </w:rPr>
        <w:fldChar w:fldCharType="end"/>
      </w:r>
      <w:r>
        <w:rPr>
          <w:color w:val="000000"/>
          <w:highlight w:val="none"/>
        </w:rPr>
        <w:t>条要求投标人提交的全部文件。</w:t>
      </w:r>
    </w:p>
    <w:p>
      <w:pPr>
        <w:pStyle w:val="12"/>
        <w:rPr>
          <w:color w:val="000000"/>
          <w:highlight w:val="none"/>
        </w:rPr>
      </w:pPr>
      <w:r>
        <w:rPr>
          <w:color w:val="000000"/>
          <w:highlight w:val="none"/>
        </w:rPr>
        <w:t>据此函，签字人兹宣布同意如下：</w:t>
      </w:r>
    </w:p>
    <w:p>
      <w:pPr>
        <w:pStyle w:val="12"/>
        <w:ind w:left="1983" w:leftChars="472" w:hanging="850"/>
        <w:rPr>
          <w:color w:val="000000"/>
          <w:highlight w:val="none"/>
        </w:rPr>
      </w:pPr>
      <w:r>
        <w:rPr>
          <w:color w:val="000000"/>
          <w:highlight w:val="none"/>
        </w:rPr>
        <w:t>（a）</w:t>
      </w:r>
      <w:r>
        <w:rPr>
          <w:color w:val="000000"/>
          <w:highlight w:val="none"/>
        </w:rPr>
        <w:tab/>
      </w:r>
      <w:r>
        <w:rPr>
          <w:color w:val="000000"/>
          <w:highlight w:val="none"/>
        </w:rPr>
        <w:t>按招标文件的规定提交货物及提供伴随服务的投标报价为人民币：</w:t>
      </w:r>
    </w:p>
    <w:tbl>
      <w:tblPr>
        <w:tblStyle w:val="33"/>
        <w:tblW w:w="7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68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4" w:hRule="atLeast"/>
          <w:jc w:val="center"/>
        </w:trPr>
        <w:tc>
          <w:tcPr>
            <w:tcW w:w="1422" w:type="dxa"/>
            <w:noWrap w:val="0"/>
            <w:vAlign w:val="center"/>
          </w:tcPr>
          <w:p>
            <w:pPr>
              <w:pStyle w:val="12"/>
              <w:spacing w:line="240" w:lineRule="auto"/>
              <w:ind w:firstLine="0"/>
              <w:jc w:val="center"/>
              <w:rPr>
                <w:rFonts w:hint="eastAsia"/>
                <w:color w:val="000000"/>
                <w:sz w:val="22"/>
                <w:szCs w:val="21"/>
                <w:highlight w:val="none"/>
              </w:rPr>
            </w:pPr>
            <w:r>
              <w:rPr>
                <w:rFonts w:hint="eastAsia"/>
                <w:color w:val="000000"/>
                <w:sz w:val="22"/>
                <w:szCs w:val="21"/>
                <w:highlight w:val="none"/>
              </w:rPr>
              <w:t>项目编号</w:t>
            </w:r>
          </w:p>
        </w:tc>
        <w:tc>
          <w:tcPr>
            <w:tcW w:w="3680" w:type="dxa"/>
            <w:noWrap w:val="0"/>
            <w:vAlign w:val="center"/>
          </w:tcPr>
          <w:p>
            <w:pPr>
              <w:pStyle w:val="12"/>
              <w:spacing w:line="240" w:lineRule="auto"/>
              <w:ind w:firstLine="0"/>
              <w:jc w:val="center"/>
              <w:rPr>
                <w:color w:val="000000"/>
                <w:sz w:val="22"/>
                <w:szCs w:val="21"/>
                <w:highlight w:val="none"/>
              </w:rPr>
            </w:pPr>
            <w:r>
              <w:rPr>
                <w:color w:val="000000"/>
                <w:sz w:val="22"/>
                <w:szCs w:val="21"/>
                <w:highlight w:val="none"/>
              </w:rPr>
              <w:t>大写（元</w:t>
            </w:r>
            <w:r>
              <w:rPr>
                <w:rFonts w:hint="eastAsia"/>
                <w:color w:val="000000"/>
                <w:sz w:val="22"/>
                <w:szCs w:val="21"/>
                <w:highlight w:val="none"/>
              </w:rPr>
              <w:t>/套</w:t>
            </w:r>
            <w:r>
              <w:rPr>
                <w:color w:val="000000"/>
                <w:sz w:val="22"/>
                <w:szCs w:val="21"/>
                <w:highlight w:val="none"/>
              </w:rPr>
              <w:t>）</w:t>
            </w:r>
          </w:p>
        </w:tc>
        <w:tc>
          <w:tcPr>
            <w:tcW w:w="2551" w:type="dxa"/>
            <w:noWrap w:val="0"/>
            <w:vAlign w:val="center"/>
          </w:tcPr>
          <w:p>
            <w:pPr>
              <w:pStyle w:val="12"/>
              <w:spacing w:line="240" w:lineRule="auto"/>
              <w:ind w:firstLine="0"/>
              <w:jc w:val="center"/>
              <w:rPr>
                <w:color w:val="000000"/>
                <w:sz w:val="22"/>
                <w:szCs w:val="21"/>
                <w:highlight w:val="none"/>
              </w:rPr>
            </w:pPr>
            <w:r>
              <w:rPr>
                <w:color w:val="000000"/>
                <w:sz w:val="22"/>
                <w:szCs w:val="21"/>
                <w:highlight w:val="none"/>
              </w:rPr>
              <w:t>小写（元</w:t>
            </w:r>
            <w:r>
              <w:rPr>
                <w:rFonts w:hint="eastAsia"/>
                <w:color w:val="000000"/>
                <w:sz w:val="22"/>
                <w:szCs w:val="21"/>
                <w:highlight w:val="none"/>
              </w:rPr>
              <w:t>/套</w:t>
            </w:r>
            <w:r>
              <w:rPr>
                <w:color w:val="000000"/>
                <w:sz w:val="2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4" w:hRule="atLeast"/>
          <w:jc w:val="center"/>
        </w:trPr>
        <w:tc>
          <w:tcPr>
            <w:tcW w:w="1422" w:type="dxa"/>
            <w:noWrap w:val="0"/>
            <w:vAlign w:val="center"/>
          </w:tcPr>
          <w:p>
            <w:pPr>
              <w:pStyle w:val="12"/>
              <w:spacing w:line="240" w:lineRule="auto"/>
              <w:ind w:firstLine="0"/>
              <w:jc w:val="center"/>
              <w:rPr>
                <w:color w:val="000000"/>
                <w:sz w:val="22"/>
                <w:szCs w:val="21"/>
                <w:highlight w:val="none"/>
              </w:rPr>
            </w:pPr>
          </w:p>
        </w:tc>
        <w:tc>
          <w:tcPr>
            <w:tcW w:w="3680" w:type="dxa"/>
            <w:noWrap w:val="0"/>
            <w:vAlign w:val="center"/>
          </w:tcPr>
          <w:p>
            <w:pPr>
              <w:pStyle w:val="12"/>
              <w:spacing w:line="240" w:lineRule="auto"/>
              <w:ind w:firstLine="0"/>
              <w:jc w:val="center"/>
              <w:rPr>
                <w:color w:val="000000"/>
                <w:sz w:val="22"/>
                <w:szCs w:val="21"/>
                <w:highlight w:val="none"/>
              </w:rPr>
            </w:pPr>
          </w:p>
        </w:tc>
        <w:tc>
          <w:tcPr>
            <w:tcW w:w="2551" w:type="dxa"/>
            <w:noWrap w:val="0"/>
            <w:vAlign w:val="center"/>
          </w:tcPr>
          <w:p>
            <w:pPr>
              <w:pStyle w:val="12"/>
              <w:spacing w:line="240" w:lineRule="auto"/>
              <w:ind w:firstLine="0"/>
              <w:jc w:val="center"/>
              <w:rPr>
                <w:color w:val="000000"/>
                <w:sz w:val="22"/>
                <w:szCs w:val="21"/>
                <w:highlight w:val="none"/>
              </w:rPr>
            </w:pPr>
          </w:p>
        </w:tc>
      </w:tr>
    </w:tbl>
    <w:p>
      <w:pPr>
        <w:pStyle w:val="12"/>
        <w:ind w:left="1983" w:leftChars="472" w:hanging="850"/>
        <w:rPr>
          <w:color w:val="000000"/>
          <w:highlight w:val="none"/>
        </w:rPr>
      </w:pPr>
      <w:r>
        <w:rPr>
          <w:color w:val="000000"/>
          <w:highlight w:val="none"/>
        </w:rPr>
        <w:t>（b）</w:t>
      </w:r>
      <w:r>
        <w:rPr>
          <w:color w:val="000000"/>
          <w:highlight w:val="none"/>
        </w:rPr>
        <w:tab/>
      </w:r>
      <w:r>
        <w:rPr>
          <w:color w:val="000000"/>
          <w:highlight w:val="none"/>
        </w:rPr>
        <w:t>我方将按招标文件的规定，承担完成合同规定的责任和义务。</w:t>
      </w:r>
    </w:p>
    <w:p>
      <w:pPr>
        <w:pStyle w:val="12"/>
        <w:ind w:left="1983" w:leftChars="472" w:hanging="850"/>
        <w:rPr>
          <w:color w:val="000000"/>
          <w:highlight w:val="none"/>
        </w:rPr>
      </w:pPr>
      <w:r>
        <w:rPr>
          <w:color w:val="000000"/>
          <w:highlight w:val="none"/>
        </w:rPr>
        <w:t>（c）</w:t>
      </w:r>
      <w:r>
        <w:rPr>
          <w:color w:val="000000"/>
          <w:highlight w:val="none"/>
        </w:rPr>
        <w:tab/>
      </w:r>
      <w:r>
        <w:rPr>
          <w:color w:val="000000"/>
          <w:highlight w:val="none"/>
        </w:rPr>
        <w:t>我方已详细审核了全部招标文件，包括招标文件的修改通知（如果有的话）、我方知道必须放弃对上述文件中所有条款提出存有含糊不清或不理解之问题的权利。</w:t>
      </w:r>
    </w:p>
    <w:p>
      <w:pPr>
        <w:pStyle w:val="12"/>
        <w:ind w:left="1983" w:leftChars="472" w:hanging="850"/>
        <w:rPr>
          <w:color w:val="000000"/>
          <w:highlight w:val="none"/>
        </w:rPr>
      </w:pPr>
      <w:r>
        <w:rPr>
          <w:color w:val="000000"/>
          <w:highlight w:val="none"/>
        </w:rPr>
        <w:t>（d）</w:t>
      </w:r>
      <w:r>
        <w:rPr>
          <w:color w:val="000000"/>
          <w:highlight w:val="none"/>
        </w:rPr>
        <w:tab/>
      </w:r>
      <w:r>
        <w:rPr>
          <w:color w:val="000000"/>
          <w:highlight w:val="none"/>
        </w:rPr>
        <w:t>我方同意在“投标人须知”第</w:t>
      </w:r>
      <w:r>
        <w:rPr>
          <w:color w:val="000000"/>
          <w:highlight w:val="none"/>
        </w:rPr>
        <w:fldChar w:fldCharType="begin"/>
      </w:r>
      <w:r>
        <w:rPr>
          <w:color w:val="000000"/>
          <w:highlight w:val="none"/>
        </w:rPr>
        <w:instrText xml:space="preserve"> REF _Ref434457255 \n  \* MERGEFORMAT </w:instrText>
      </w:r>
      <w:r>
        <w:rPr>
          <w:color w:val="000000"/>
          <w:highlight w:val="none"/>
        </w:rPr>
        <w:fldChar w:fldCharType="separate"/>
      </w:r>
      <w:r>
        <w:rPr>
          <w:color w:val="000000"/>
          <w:highlight w:val="none"/>
        </w:rPr>
        <w:t>23</w:t>
      </w:r>
      <w:r>
        <w:rPr>
          <w:color w:val="000000"/>
          <w:highlight w:val="none"/>
        </w:rPr>
        <w:fldChar w:fldCharType="end"/>
      </w:r>
      <w:r>
        <w:rPr>
          <w:color w:val="000000"/>
          <w:highlight w:val="none"/>
        </w:rPr>
        <w:t>条所述的开标日期起遵循本投标文件的规定，并在“投标人须知”第</w:t>
      </w:r>
      <w:r>
        <w:rPr>
          <w:color w:val="000000"/>
          <w:highlight w:val="none"/>
        </w:rPr>
        <w:fldChar w:fldCharType="begin"/>
      </w:r>
      <w:r>
        <w:rPr>
          <w:color w:val="000000"/>
          <w:highlight w:val="none"/>
        </w:rPr>
        <w:instrText xml:space="preserve"> REF _Ref434457090 \n  \* MERGEFORMAT </w:instrText>
      </w:r>
      <w:r>
        <w:rPr>
          <w:color w:val="000000"/>
          <w:highlight w:val="none"/>
        </w:rPr>
        <w:fldChar w:fldCharType="separate"/>
      </w:r>
      <w:r>
        <w:rPr>
          <w:color w:val="000000"/>
          <w:highlight w:val="none"/>
        </w:rPr>
        <w:t>17</w:t>
      </w:r>
      <w:r>
        <w:rPr>
          <w:color w:val="000000"/>
          <w:highlight w:val="none"/>
        </w:rPr>
        <w:fldChar w:fldCharType="end"/>
      </w:r>
      <w:r>
        <w:rPr>
          <w:color w:val="000000"/>
          <w:highlight w:val="none"/>
        </w:rPr>
        <w:t>条规定的投标有效期届满之前对我方均具有约束力，而且有可能中标。</w:t>
      </w:r>
    </w:p>
    <w:p>
      <w:pPr>
        <w:pStyle w:val="12"/>
        <w:ind w:left="1983" w:leftChars="472" w:hanging="850"/>
        <w:rPr>
          <w:color w:val="000000"/>
          <w:highlight w:val="none"/>
        </w:rPr>
      </w:pPr>
      <w:r>
        <w:rPr>
          <w:color w:val="000000"/>
          <w:highlight w:val="none"/>
        </w:rPr>
        <w:t>（e）</w:t>
      </w:r>
      <w:r>
        <w:rPr>
          <w:color w:val="000000"/>
          <w:highlight w:val="none"/>
        </w:rPr>
        <w:tab/>
      </w:r>
      <w:r>
        <w:rPr>
          <w:rFonts w:hint="eastAsia"/>
          <w:color w:val="000000"/>
          <w:highlight w:val="none"/>
        </w:rPr>
        <w:t>我方承诺满足招标文件“投标人须知”第</w:t>
      </w:r>
      <w:r>
        <w:rPr>
          <w:color w:val="000000"/>
          <w:highlight w:val="none"/>
        </w:rPr>
        <w:fldChar w:fldCharType="begin"/>
      </w:r>
      <w:r>
        <w:rPr>
          <w:color w:val="000000"/>
          <w:highlight w:val="none"/>
        </w:rPr>
        <w:instrText xml:space="preserve"> </w:instrText>
      </w:r>
      <w:r>
        <w:rPr>
          <w:rFonts w:hint="eastAsia"/>
          <w:color w:val="000000"/>
          <w:highlight w:val="none"/>
        </w:rPr>
        <w:instrText xml:space="preserve">REF _Ref521600821 \r \h</w:instrText>
      </w:r>
      <w:r>
        <w:rPr>
          <w:color w:val="000000"/>
          <w:highlight w:val="none"/>
        </w:rPr>
        <w:instrText xml:space="preserve">  \* MERGEFORMAT </w:instrText>
      </w:r>
      <w:r>
        <w:rPr>
          <w:color w:val="000000"/>
          <w:highlight w:val="none"/>
        </w:rPr>
        <w:fldChar w:fldCharType="separate"/>
      </w:r>
      <w:r>
        <w:rPr>
          <w:color w:val="000000"/>
          <w:highlight w:val="none"/>
        </w:rPr>
        <w:t>3.1</w:t>
      </w:r>
      <w:r>
        <w:rPr>
          <w:color w:val="000000"/>
          <w:highlight w:val="none"/>
        </w:rPr>
        <w:fldChar w:fldCharType="end"/>
      </w:r>
      <w:r>
        <w:rPr>
          <w:rFonts w:hint="eastAsia"/>
          <w:color w:val="000000"/>
          <w:highlight w:val="none"/>
        </w:rPr>
        <w:t>条和</w:t>
      </w:r>
      <w:r>
        <w:rPr>
          <w:color w:val="000000"/>
          <w:highlight w:val="none"/>
        </w:rPr>
        <w:fldChar w:fldCharType="begin"/>
      </w:r>
      <w:r>
        <w:rPr>
          <w:color w:val="000000"/>
          <w:highlight w:val="none"/>
        </w:rPr>
        <w:instrText xml:space="preserve"> </w:instrText>
      </w:r>
      <w:r>
        <w:rPr>
          <w:rFonts w:hint="eastAsia"/>
          <w:color w:val="000000"/>
          <w:highlight w:val="none"/>
        </w:rPr>
        <w:instrText xml:space="preserve">REF _Ref521600828 \r \h</w:instrText>
      </w:r>
      <w:r>
        <w:rPr>
          <w:color w:val="000000"/>
          <w:highlight w:val="none"/>
        </w:rPr>
        <w:instrText xml:space="preserve">  \* MERGEFORMAT </w:instrText>
      </w:r>
      <w:r>
        <w:rPr>
          <w:color w:val="000000"/>
          <w:highlight w:val="none"/>
        </w:rPr>
        <w:fldChar w:fldCharType="separate"/>
      </w:r>
      <w:r>
        <w:rPr>
          <w:color w:val="000000"/>
          <w:highlight w:val="none"/>
        </w:rPr>
        <w:t>3.2</w:t>
      </w:r>
      <w:r>
        <w:rPr>
          <w:color w:val="000000"/>
          <w:highlight w:val="none"/>
        </w:rPr>
        <w:fldChar w:fldCharType="end"/>
      </w:r>
      <w:r>
        <w:rPr>
          <w:rFonts w:hint="eastAsia"/>
          <w:color w:val="000000"/>
          <w:highlight w:val="none"/>
        </w:rPr>
        <w:t>条中对合格投标人的要求</w:t>
      </w:r>
      <w:r>
        <w:rPr>
          <w:color w:val="000000"/>
          <w:highlight w:val="none"/>
        </w:rPr>
        <w:t>。</w:t>
      </w:r>
    </w:p>
    <w:p>
      <w:pPr>
        <w:pStyle w:val="12"/>
        <w:ind w:left="1983" w:leftChars="472" w:hanging="850"/>
        <w:rPr>
          <w:color w:val="000000"/>
          <w:highlight w:val="none"/>
        </w:rPr>
      </w:pPr>
      <w:r>
        <w:rPr>
          <w:color w:val="000000"/>
          <w:highlight w:val="none"/>
        </w:rPr>
        <w:t>（</w:t>
      </w:r>
      <w:r>
        <w:rPr>
          <w:rFonts w:hint="eastAsia"/>
          <w:color w:val="000000"/>
          <w:highlight w:val="none"/>
        </w:rPr>
        <w:t>f</w:t>
      </w:r>
      <w:r>
        <w:rPr>
          <w:color w:val="000000"/>
          <w:highlight w:val="none"/>
        </w:rPr>
        <w:t>）</w:t>
      </w:r>
      <w:r>
        <w:rPr>
          <w:color w:val="000000"/>
          <w:highlight w:val="none"/>
        </w:rPr>
        <w:tab/>
      </w:r>
      <w:r>
        <w:rPr>
          <w:color w:val="000000"/>
          <w:highlight w:val="none"/>
        </w:rPr>
        <w:t>如果在开标后规定的投标有效期内撤销投标，我方的投标保证金可不予退还。</w:t>
      </w:r>
    </w:p>
    <w:p>
      <w:pPr>
        <w:pStyle w:val="12"/>
        <w:ind w:left="1983" w:leftChars="472" w:hanging="850"/>
        <w:rPr>
          <w:color w:val="000000"/>
          <w:highlight w:val="none"/>
        </w:rPr>
      </w:pPr>
      <w:r>
        <w:rPr>
          <w:color w:val="000000"/>
          <w:highlight w:val="none"/>
        </w:rPr>
        <w:t>（g）</w:t>
      </w:r>
      <w:r>
        <w:rPr>
          <w:color w:val="000000"/>
          <w:highlight w:val="none"/>
        </w:rPr>
        <w:tab/>
      </w:r>
      <w:r>
        <w:rPr>
          <w:color w:val="000000"/>
          <w:highlight w:val="none"/>
        </w:rPr>
        <w:t>如果贵方有要求，我方愿意进一步提供与本投标有关的任何证据或资料。</w:t>
      </w:r>
    </w:p>
    <w:p>
      <w:pPr>
        <w:pStyle w:val="12"/>
        <w:ind w:left="1983" w:leftChars="472" w:hanging="850"/>
        <w:rPr>
          <w:color w:val="000000"/>
          <w:highlight w:val="none"/>
        </w:rPr>
      </w:pPr>
      <w:r>
        <w:rPr>
          <w:color w:val="000000"/>
          <w:highlight w:val="none"/>
        </w:rPr>
        <w:t>（</w:t>
      </w:r>
      <w:r>
        <w:rPr>
          <w:rFonts w:hint="eastAsia"/>
          <w:color w:val="000000"/>
          <w:highlight w:val="none"/>
        </w:rPr>
        <w:t>h</w:t>
      </w:r>
      <w:r>
        <w:rPr>
          <w:color w:val="000000"/>
          <w:highlight w:val="none"/>
        </w:rPr>
        <w:t>）</w:t>
      </w:r>
      <w:r>
        <w:rPr>
          <w:color w:val="000000"/>
          <w:highlight w:val="none"/>
        </w:rPr>
        <w:tab/>
      </w:r>
      <w:r>
        <w:rPr>
          <w:color w:val="000000"/>
          <w:highlight w:val="none"/>
        </w:rPr>
        <w:t>我方完全理解贵方不一定要接受最低报价的投标或收到的任何投标。</w:t>
      </w:r>
    </w:p>
    <w:p>
      <w:pPr>
        <w:pStyle w:val="12"/>
        <w:rPr>
          <w:color w:val="000000"/>
          <w:highlight w:val="none"/>
        </w:rPr>
      </w:pPr>
    </w:p>
    <w:p>
      <w:pPr>
        <w:pStyle w:val="12"/>
        <w:rPr>
          <w:color w:val="000000"/>
          <w:highlight w:val="none"/>
        </w:rPr>
      </w:pPr>
      <w:r>
        <w:rPr>
          <w:color w:val="000000"/>
          <w:highlight w:val="none"/>
        </w:rPr>
        <w:t>与本投标有关的正式通讯地址为：</w:t>
      </w:r>
    </w:p>
    <w:p>
      <w:pPr>
        <w:pStyle w:val="12"/>
        <w:rPr>
          <w:color w:val="000000"/>
          <w:highlight w:val="none"/>
        </w:rPr>
      </w:pPr>
      <w:r>
        <w:rPr>
          <w:color w:val="000000"/>
          <w:highlight w:val="none"/>
        </w:rPr>
        <w:t>地址：</w:t>
      </w:r>
      <w:r>
        <w:rPr>
          <w:color w:val="000000"/>
          <w:highlight w:val="none"/>
          <w:u w:val="single"/>
        </w:rPr>
        <w:t xml:space="preserve">                                          </w:t>
      </w:r>
    </w:p>
    <w:p>
      <w:pPr>
        <w:pStyle w:val="12"/>
        <w:rPr>
          <w:color w:val="000000"/>
          <w:highlight w:val="none"/>
        </w:rPr>
      </w:pPr>
      <w:r>
        <w:rPr>
          <w:color w:val="000000"/>
          <w:highlight w:val="none"/>
        </w:rPr>
        <w:t>邮政编码：</w:t>
      </w:r>
      <w:r>
        <w:rPr>
          <w:color w:val="000000"/>
          <w:highlight w:val="none"/>
          <w:u w:val="single"/>
        </w:rPr>
        <w:t xml:space="preserve">                                      </w:t>
      </w:r>
    </w:p>
    <w:p>
      <w:pPr>
        <w:pStyle w:val="12"/>
        <w:rPr>
          <w:color w:val="000000"/>
          <w:highlight w:val="none"/>
          <w:u w:val="single"/>
        </w:rPr>
      </w:pPr>
      <w:r>
        <w:rPr>
          <w:color w:val="000000"/>
          <w:highlight w:val="none"/>
        </w:rPr>
        <w:t>电话号码：</w:t>
      </w:r>
      <w:r>
        <w:rPr>
          <w:color w:val="000000"/>
          <w:highlight w:val="none"/>
          <w:u w:val="single"/>
        </w:rPr>
        <w:t xml:space="preserve">                            </w:t>
      </w:r>
    </w:p>
    <w:p>
      <w:pPr>
        <w:pStyle w:val="12"/>
        <w:rPr>
          <w:color w:val="000000"/>
          <w:highlight w:val="none"/>
          <w:u w:val="single"/>
        </w:rPr>
      </w:pPr>
      <w:r>
        <w:rPr>
          <w:color w:val="000000"/>
          <w:highlight w:val="none"/>
        </w:rPr>
        <w:t>传真号码：</w:t>
      </w:r>
      <w:r>
        <w:rPr>
          <w:color w:val="000000"/>
          <w:highlight w:val="none"/>
          <w:u w:val="single"/>
        </w:rPr>
        <w:t xml:space="preserve">                            </w:t>
      </w:r>
    </w:p>
    <w:p>
      <w:pPr>
        <w:pStyle w:val="12"/>
        <w:rPr>
          <w:color w:val="000000"/>
          <w:highlight w:val="none"/>
        </w:rPr>
      </w:pPr>
      <w:r>
        <w:rPr>
          <w:color w:val="000000"/>
          <w:highlight w:val="none"/>
        </w:rPr>
        <w:t>电子信箱：</w:t>
      </w:r>
      <w:r>
        <w:rPr>
          <w:color w:val="000000"/>
          <w:highlight w:val="none"/>
          <w:u w:val="single"/>
        </w:rPr>
        <w:t xml:space="preserve">                        </w:t>
      </w:r>
    </w:p>
    <w:p>
      <w:pPr>
        <w:pStyle w:val="12"/>
        <w:rPr>
          <w:color w:val="000000"/>
          <w:highlight w:val="none"/>
        </w:rPr>
      </w:pPr>
      <w:r>
        <w:rPr>
          <w:color w:val="000000"/>
          <w:highlight w:val="none"/>
        </w:rPr>
        <w:t>投标人代表姓名：</w:t>
      </w:r>
      <w:r>
        <w:rPr>
          <w:color w:val="000000"/>
          <w:highlight w:val="none"/>
          <w:u w:val="single"/>
        </w:rPr>
        <w:t xml:space="preserve">                                </w:t>
      </w:r>
    </w:p>
    <w:p>
      <w:pPr>
        <w:pStyle w:val="12"/>
        <w:rPr>
          <w:color w:val="000000"/>
          <w:highlight w:val="none"/>
        </w:rPr>
      </w:pPr>
      <w:r>
        <w:rPr>
          <w:color w:val="000000"/>
          <w:highlight w:val="none"/>
        </w:rPr>
        <w:t>公章：</w:t>
      </w:r>
      <w:r>
        <w:rPr>
          <w:color w:val="000000"/>
          <w:highlight w:val="none"/>
          <w:u w:val="single"/>
        </w:rPr>
        <w:t xml:space="preserve">                                  </w:t>
      </w:r>
    </w:p>
    <w:p>
      <w:pPr>
        <w:pStyle w:val="12"/>
        <w:rPr>
          <w:color w:val="000000"/>
          <w:highlight w:val="none"/>
        </w:rPr>
      </w:pPr>
      <w:r>
        <w:rPr>
          <w:color w:val="000000"/>
          <w:highlight w:val="none"/>
        </w:rPr>
        <w:t>日期：</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w:t>
      </w:r>
    </w:p>
    <w:p>
      <w:pPr>
        <w:pStyle w:val="82"/>
        <w:rPr>
          <w:rFonts w:ascii="Times New Roman"/>
          <w:color w:val="000000"/>
          <w:highlight w:val="none"/>
        </w:rPr>
      </w:pPr>
      <w:r>
        <w:rPr>
          <w:rFonts w:ascii="Times New Roman"/>
          <w:color w:val="000000"/>
          <w:highlight w:val="none"/>
        </w:rPr>
        <w:br w:type="page"/>
      </w:r>
      <w:bookmarkStart w:id="690" w:name="_Toc22772"/>
      <w:bookmarkStart w:id="691" w:name="_Toc503130734"/>
      <w:bookmarkStart w:id="692" w:name="_Toc389457529"/>
      <w:bookmarkStart w:id="693" w:name="_Toc503130795"/>
      <w:bookmarkStart w:id="694" w:name="_Toc5116271"/>
      <w:bookmarkStart w:id="695" w:name="_Toc512602452"/>
      <w:bookmarkStart w:id="696" w:name="_Toc495406864"/>
      <w:bookmarkStart w:id="697" w:name="_Toc389653601"/>
      <w:bookmarkStart w:id="698" w:name="_Toc491700931"/>
      <w:bookmarkStart w:id="699" w:name="_Toc450211807"/>
      <w:bookmarkStart w:id="700" w:name="_Toc503130411"/>
      <w:bookmarkStart w:id="701" w:name="_Toc8343773"/>
      <w:bookmarkStart w:id="702" w:name="_Toc302374208"/>
      <w:bookmarkStart w:id="703" w:name="_Toc2063764"/>
      <w:bookmarkStart w:id="704" w:name="_Toc2063639"/>
      <w:bookmarkStart w:id="705" w:name="_Toc2063895"/>
      <w:bookmarkStart w:id="706" w:name="_Toc2063982"/>
      <w:r>
        <w:rPr>
          <w:rFonts w:ascii="Times New Roman"/>
          <w:color w:val="000000"/>
          <w:highlight w:val="none"/>
        </w:rPr>
        <w:t>投标报价汇总表</w:t>
      </w:r>
      <w:bookmarkEnd w:id="690"/>
      <w:bookmarkEnd w:id="691"/>
      <w:bookmarkEnd w:id="692"/>
      <w:bookmarkEnd w:id="693"/>
      <w:bookmarkEnd w:id="694"/>
      <w:bookmarkEnd w:id="695"/>
      <w:bookmarkEnd w:id="696"/>
      <w:bookmarkEnd w:id="697"/>
      <w:bookmarkEnd w:id="698"/>
      <w:bookmarkEnd w:id="699"/>
      <w:bookmarkEnd w:id="700"/>
    </w:p>
    <w:tbl>
      <w:tblPr>
        <w:tblStyle w:val="33"/>
        <w:tblW w:w="9513" w:type="dxa"/>
        <w:tblInd w:w="-1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3559"/>
        <w:gridCol w:w="59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9513" w:type="dxa"/>
            <w:gridSpan w:val="2"/>
            <w:noWrap w:val="0"/>
            <w:vAlign w:val="center"/>
          </w:tcPr>
          <w:p>
            <w:pPr>
              <w:pStyle w:val="67"/>
              <w:jc w:val="both"/>
              <w:rPr>
                <w:rFonts w:ascii="Times New Roman"/>
                <w:color w:val="000000"/>
                <w:highlight w:val="none"/>
              </w:rPr>
            </w:pPr>
            <w:r>
              <w:rPr>
                <w:rFonts w:ascii="Times New Roman"/>
                <w:color w:val="000000"/>
                <w:highlight w:val="none"/>
              </w:rPr>
              <w:t>一、投标报价汇总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Height w:val="737" w:hRule="atLeast"/>
        </w:trPr>
        <w:tc>
          <w:tcPr>
            <w:tcW w:w="3559" w:type="dxa"/>
            <w:noWrap w:val="0"/>
            <w:vAlign w:val="center"/>
          </w:tcPr>
          <w:p>
            <w:pPr>
              <w:pStyle w:val="53"/>
              <w:rPr>
                <w:b/>
                <w:color w:val="000000"/>
                <w:highlight w:val="none"/>
              </w:rPr>
            </w:pPr>
            <w:r>
              <w:rPr>
                <w:b/>
                <w:color w:val="000000"/>
                <w:highlight w:val="none"/>
              </w:rPr>
              <w:t>投标总价（小写）</w:t>
            </w:r>
          </w:p>
        </w:tc>
        <w:tc>
          <w:tcPr>
            <w:tcW w:w="5954" w:type="dxa"/>
            <w:noWrap w:val="0"/>
            <w:vAlign w:val="center"/>
          </w:tcPr>
          <w:p>
            <w:pPr>
              <w:pStyle w:val="53"/>
              <w:rPr>
                <w:color w:val="000000"/>
                <w:highlight w:val="none"/>
              </w:rPr>
            </w:pPr>
            <w:r>
              <w:rPr>
                <w:rFonts w:hint="eastAsia" w:hAnsi="宋体"/>
                <w:color w:val="000000"/>
                <w:highlight w:val="none"/>
                <w:u w:val="single"/>
              </w:rPr>
              <w:t xml:space="preserve">              </w:t>
            </w:r>
            <w:r>
              <w:rPr>
                <w:rFonts w:hint="eastAsia" w:hAnsi="宋体"/>
                <w:color w:val="000000"/>
                <w:highlight w:val="none"/>
              </w:rPr>
              <w:t xml:space="preserve"> </w:t>
            </w:r>
            <w:r>
              <w:rPr>
                <w:rFonts w:hAnsi="宋体"/>
                <w:color w:val="000000"/>
                <w:highlight w:val="none"/>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Height w:val="737" w:hRule="atLeast"/>
        </w:trPr>
        <w:tc>
          <w:tcPr>
            <w:tcW w:w="3559" w:type="dxa"/>
            <w:noWrap w:val="0"/>
            <w:vAlign w:val="center"/>
          </w:tcPr>
          <w:p>
            <w:pPr>
              <w:pStyle w:val="53"/>
              <w:rPr>
                <w:b/>
                <w:color w:val="000000"/>
                <w:highlight w:val="none"/>
              </w:rPr>
            </w:pPr>
            <w:r>
              <w:rPr>
                <w:b/>
                <w:color w:val="000000"/>
                <w:highlight w:val="none"/>
              </w:rPr>
              <w:t>投标总价（大写）</w:t>
            </w:r>
          </w:p>
        </w:tc>
        <w:tc>
          <w:tcPr>
            <w:tcW w:w="5954" w:type="dxa"/>
            <w:noWrap w:val="0"/>
            <w:vAlign w:val="center"/>
          </w:tcPr>
          <w:p>
            <w:pPr>
              <w:pStyle w:val="53"/>
              <w:rPr>
                <w:color w:val="000000"/>
                <w:highlight w:val="none"/>
              </w:rPr>
            </w:pPr>
            <w:r>
              <w:rPr>
                <w:rFonts w:hint="eastAsia" w:hAnsi="宋体"/>
                <w:color w:val="000000"/>
                <w:highlight w:val="none"/>
                <w:u w:val="single"/>
              </w:rPr>
              <w:t xml:space="preserve">              </w:t>
            </w:r>
            <w:r>
              <w:rPr>
                <w:rFonts w:hint="eastAsia" w:hAnsi="宋体"/>
                <w:color w:val="000000"/>
                <w:highlight w:val="none"/>
              </w:rPr>
              <w:t xml:space="preserve"> </w:t>
            </w:r>
            <w:r>
              <w:rPr>
                <w:rFonts w:hAnsi="宋体"/>
                <w:color w:val="000000"/>
                <w:highlight w:val="none"/>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Pr>
        <w:tc>
          <w:tcPr>
            <w:tcW w:w="9513" w:type="dxa"/>
            <w:gridSpan w:val="2"/>
            <w:noWrap w:val="0"/>
            <w:vAlign w:val="center"/>
          </w:tcPr>
          <w:p>
            <w:pPr>
              <w:pStyle w:val="67"/>
              <w:jc w:val="both"/>
              <w:rPr>
                <w:rFonts w:ascii="Times New Roman"/>
                <w:color w:val="000000"/>
                <w:highlight w:val="none"/>
              </w:rPr>
            </w:pPr>
            <w:r>
              <w:rPr>
                <w:rFonts w:ascii="Times New Roman"/>
                <w:color w:val="000000"/>
                <w:highlight w:val="none"/>
              </w:rPr>
              <w:t>二、其他关键信息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Height w:val="680" w:hRule="atLeast"/>
        </w:trPr>
        <w:tc>
          <w:tcPr>
            <w:tcW w:w="3559" w:type="dxa"/>
            <w:noWrap w:val="0"/>
            <w:vAlign w:val="center"/>
          </w:tcPr>
          <w:p>
            <w:pPr>
              <w:pStyle w:val="53"/>
              <w:rPr>
                <w:b/>
                <w:color w:val="000000"/>
                <w:highlight w:val="none"/>
              </w:rPr>
            </w:pPr>
            <w:r>
              <w:rPr>
                <w:b/>
                <w:color w:val="000000"/>
                <w:highlight w:val="none"/>
              </w:rPr>
              <w:t>完成期限</w:t>
            </w:r>
          </w:p>
        </w:tc>
        <w:tc>
          <w:tcPr>
            <w:tcW w:w="5954" w:type="dxa"/>
            <w:noWrap w:val="0"/>
            <w:vAlign w:val="center"/>
          </w:tcPr>
          <w:p>
            <w:pPr>
              <w:pStyle w:val="53"/>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wAfter w:w="0" w:type="dxa"/>
          <w:trHeight w:val="680" w:hRule="atLeast"/>
        </w:trPr>
        <w:tc>
          <w:tcPr>
            <w:tcW w:w="3559" w:type="dxa"/>
            <w:noWrap w:val="0"/>
            <w:vAlign w:val="center"/>
          </w:tcPr>
          <w:p>
            <w:pPr>
              <w:pStyle w:val="53"/>
              <w:rPr>
                <w:rFonts w:hint="eastAsia"/>
                <w:b/>
                <w:color w:val="000000"/>
                <w:highlight w:val="none"/>
              </w:rPr>
            </w:pPr>
            <w:r>
              <w:rPr>
                <w:rFonts w:hint="eastAsia"/>
                <w:b/>
                <w:color w:val="000000"/>
                <w:highlight w:val="none"/>
              </w:rPr>
              <w:t>质保期</w:t>
            </w:r>
          </w:p>
        </w:tc>
        <w:tc>
          <w:tcPr>
            <w:tcW w:w="5954" w:type="dxa"/>
            <w:noWrap w:val="0"/>
            <w:vAlign w:val="center"/>
          </w:tcPr>
          <w:p>
            <w:pPr>
              <w:pStyle w:val="53"/>
              <w:rPr>
                <w:color w:val="000000"/>
                <w:highlight w:val="none"/>
              </w:rPr>
            </w:pPr>
          </w:p>
        </w:tc>
      </w:tr>
    </w:tbl>
    <w:p>
      <w:pPr>
        <w:pStyle w:val="12"/>
        <w:ind w:firstLine="0"/>
        <w:rPr>
          <w:color w:val="000000"/>
          <w:sz w:val="21"/>
          <w:szCs w:val="21"/>
          <w:highlight w:val="none"/>
        </w:rPr>
      </w:pPr>
      <w:r>
        <w:rPr>
          <w:color w:val="000000"/>
          <w:sz w:val="21"/>
          <w:szCs w:val="21"/>
          <w:highlight w:val="none"/>
        </w:rPr>
        <w:t>注：</w:t>
      </w:r>
    </w:p>
    <w:p>
      <w:pPr>
        <w:pStyle w:val="12"/>
        <w:ind w:firstLine="425"/>
        <w:rPr>
          <w:color w:val="000000"/>
          <w:sz w:val="21"/>
          <w:szCs w:val="21"/>
          <w:highlight w:val="none"/>
        </w:rPr>
      </w:pPr>
      <w:r>
        <w:rPr>
          <w:color w:val="000000"/>
          <w:sz w:val="21"/>
          <w:szCs w:val="21"/>
          <w:highlight w:val="none"/>
        </w:rPr>
        <w:t>1. 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pPr>
        <w:pStyle w:val="12"/>
        <w:ind w:firstLine="425"/>
        <w:rPr>
          <w:color w:val="000000"/>
          <w:sz w:val="21"/>
          <w:szCs w:val="21"/>
          <w:highlight w:val="none"/>
        </w:rPr>
      </w:pPr>
      <w:r>
        <w:rPr>
          <w:color w:val="000000"/>
          <w:sz w:val="21"/>
          <w:szCs w:val="21"/>
          <w:highlight w:val="none"/>
        </w:rPr>
        <w:t>2. 投标人须在本表的“其他关键信息”区内填入所有开标所需的信息。</w:t>
      </w:r>
    </w:p>
    <w:p>
      <w:pPr>
        <w:pStyle w:val="12"/>
        <w:ind w:firstLine="425"/>
        <w:rPr>
          <w:color w:val="000000"/>
          <w:sz w:val="21"/>
          <w:szCs w:val="21"/>
          <w:highlight w:val="none"/>
        </w:rPr>
      </w:pPr>
      <w:r>
        <w:rPr>
          <w:color w:val="000000"/>
          <w:sz w:val="21"/>
          <w:szCs w:val="21"/>
          <w:highlight w:val="none"/>
        </w:rPr>
        <w:t>3. 本表“其他关键信息”内的“完成期限”的定义以招标文件的表述为准（对于货物采购招标项目一般应理解为招标文件定义的交货期；对于设备供货加安装类招标项目一般应</w:t>
      </w:r>
      <w:r>
        <w:rPr>
          <w:rFonts w:hint="eastAsia"/>
          <w:color w:val="000000"/>
          <w:sz w:val="21"/>
          <w:szCs w:val="21"/>
          <w:highlight w:val="none"/>
        </w:rPr>
        <w:t>理解</w:t>
      </w:r>
      <w:r>
        <w:rPr>
          <w:color w:val="000000"/>
          <w:sz w:val="21"/>
          <w:szCs w:val="21"/>
          <w:highlight w:val="none"/>
        </w:rPr>
        <w:t>为供货、安装、调试完毕，具备验收条件的完工期；对于服务类招标项目一般应理解为招标文件定义的完成期）。</w:t>
      </w:r>
    </w:p>
    <w:p>
      <w:pPr>
        <w:pStyle w:val="12"/>
        <w:ind w:firstLine="425"/>
        <w:rPr>
          <w:color w:val="000000"/>
          <w:sz w:val="21"/>
          <w:szCs w:val="21"/>
          <w:highlight w:val="none"/>
        </w:rPr>
      </w:pPr>
      <w:r>
        <w:rPr>
          <w:color w:val="000000"/>
          <w:sz w:val="21"/>
          <w:szCs w:val="21"/>
          <w:highlight w:val="none"/>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pPr>
        <w:pStyle w:val="12"/>
        <w:ind w:firstLine="425"/>
        <w:rPr>
          <w:color w:val="000000"/>
          <w:sz w:val="21"/>
          <w:szCs w:val="21"/>
          <w:highlight w:val="none"/>
        </w:rPr>
      </w:pPr>
    </w:p>
    <w:p>
      <w:pPr>
        <w:pStyle w:val="12"/>
        <w:tabs>
          <w:tab w:val="left" w:pos="5320"/>
        </w:tabs>
        <w:spacing w:before="360" w:beforeLines="150"/>
        <w:rPr>
          <w:color w:val="000000"/>
          <w:highlight w:val="none"/>
        </w:rPr>
      </w:pPr>
      <w:r>
        <w:rPr>
          <w:color w:val="000000"/>
          <w:highlight w:val="none"/>
        </w:rPr>
        <w:t>投标人授权代表签字：_________________</w:t>
      </w:r>
      <w:r>
        <w:rPr>
          <w:color w:val="000000"/>
          <w:highlight w:val="none"/>
        </w:rPr>
        <w:tab/>
      </w:r>
      <w:r>
        <w:rPr>
          <w:color w:val="000000"/>
          <w:highlight w:val="none"/>
        </w:rPr>
        <w:t>公章：_________________</w:t>
      </w:r>
    </w:p>
    <w:p>
      <w:pPr>
        <w:pStyle w:val="82"/>
        <w:rPr>
          <w:rFonts w:ascii="Times New Roman"/>
          <w:color w:val="000000"/>
          <w:highlight w:val="none"/>
        </w:rPr>
      </w:pPr>
      <w:r>
        <w:rPr>
          <w:rFonts w:ascii="Times New Roman"/>
          <w:color w:val="000000"/>
          <w:highlight w:val="none"/>
        </w:rPr>
        <w:br w:type="page"/>
      </w:r>
      <w:bookmarkEnd w:id="701"/>
      <w:bookmarkEnd w:id="702"/>
      <w:bookmarkEnd w:id="703"/>
      <w:bookmarkEnd w:id="704"/>
      <w:bookmarkEnd w:id="705"/>
      <w:bookmarkEnd w:id="706"/>
      <w:bookmarkStart w:id="707" w:name="_Toc491700932"/>
      <w:bookmarkStart w:id="708" w:name="_Toc503130796"/>
      <w:bookmarkStart w:id="709" w:name="_Toc495406865"/>
      <w:bookmarkStart w:id="710" w:name="_Toc512602453"/>
      <w:bookmarkStart w:id="711" w:name="_Toc503130735"/>
      <w:bookmarkStart w:id="712" w:name="_Toc14185"/>
      <w:bookmarkStart w:id="713" w:name="_Toc5116272"/>
      <w:bookmarkStart w:id="714" w:name="_Toc503130412"/>
      <w:r>
        <w:rPr>
          <w:rFonts w:ascii="Times New Roman"/>
          <w:color w:val="000000"/>
          <w:highlight w:val="none"/>
        </w:rPr>
        <w:t>分项报价表</w:t>
      </w:r>
      <w:bookmarkEnd w:id="707"/>
      <w:bookmarkEnd w:id="708"/>
      <w:bookmarkEnd w:id="709"/>
      <w:bookmarkEnd w:id="710"/>
      <w:bookmarkEnd w:id="711"/>
      <w:bookmarkEnd w:id="712"/>
      <w:bookmarkEnd w:id="713"/>
      <w:bookmarkEnd w:id="714"/>
    </w:p>
    <w:p>
      <w:pPr>
        <w:pStyle w:val="12"/>
        <w:rPr>
          <w:color w:val="000000"/>
          <w:highlight w:val="none"/>
        </w:rPr>
      </w:pPr>
      <w:bookmarkStart w:id="715" w:name="_Toc491700933"/>
      <w:bookmarkStart w:id="716" w:name="_Toc302374209"/>
      <w:bookmarkStart w:id="717" w:name="_Toc503130413"/>
      <w:bookmarkStart w:id="718" w:name="_Toc8343774"/>
      <w:bookmarkStart w:id="719" w:name="_Toc2063983"/>
      <w:bookmarkStart w:id="720" w:name="_Toc5116273"/>
      <w:bookmarkStart w:id="721" w:name="_Toc389653604"/>
      <w:bookmarkStart w:id="722" w:name="_Toc2063640"/>
      <w:bookmarkStart w:id="723" w:name="_Toc2063896"/>
      <w:bookmarkStart w:id="724" w:name="_Toc503130736"/>
      <w:bookmarkStart w:id="725" w:name="_Toc512602454"/>
      <w:bookmarkStart w:id="726" w:name="_Toc389457532"/>
      <w:bookmarkStart w:id="727" w:name="_Toc503130797"/>
      <w:bookmarkStart w:id="728" w:name="_Toc2063765"/>
      <w:bookmarkStart w:id="729" w:name="_Toc450211810"/>
      <w:bookmarkStart w:id="730" w:name="_Toc495406866"/>
      <w:r>
        <w:rPr>
          <w:rFonts w:hint="eastAsia"/>
          <w:color w:val="000000"/>
          <w:highlight w:val="none"/>
        </w:rPr>
        <w:t>项目编号</w:t>
      </w:r>
      <w:r>
        <w:rPr>
          <w:color w:val="000000"/>
          <w:highlight w:val="none"/>
        </w:rPr>
        <w:t>：___</w:t>
      </w:r>
    </w:p>
    <w:tbl>
      <w:tblPr>
        <w:tblStyle w:val="33"/>
        <w:tblW w:w="9185"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4"/>
        <w:gridCol w:w="1350"/>
        <w:gridCol w:w="1095"/>
        <w:gridCol w:w="1005"/>
        <w:gridCol w:w="1005"/>
        <w:gridCol w:w="1077"/>
        <w:gridCol w:w="1404"/>
        <w:gridCol w:w="17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blHeader/>
        </w:trPr>
        <w:tc>
          <w:tcPr>
            <w:tcW w:w="544" w:type="dxa"/>
            <w:vMerge w:val="restart"/>
            <w:tcBorders>
              <w:top w:val="single" w:color="auto" w:sz="12" w:space="0"/>
            </w:tcBorders>
            <w:noWrap w:val="0"/>
            <w:vAlign w:val="center"/>
          </w:tcPr>
          <w:p>
            <w:pPr>
              <w:widowControl/>
              <w:snapToGrid w:val="0"/>
              <w:spacing w:line="240" w:lineRule="auto"/>
              <w:jc w:val="center"/>
              <w:textAlignment w:val="center"/>
              <w:rPr>
                <w:rFonts w:hint="eastAsia" w:eastAsia="黑体"/>
                <w:color w:val="000000"/>
                <w:sz w:val="20"/>
                <w:highlight w:val="none"/>
              </w:rPr>
            </w:pPr>
            <w:r>
              <w:rPr>
                <w:rFonts w:hint="eastAsia" w:eastAsia="黑体"/>
                <w:color w:val="000000"/>
                <w:sz w:val="20"/>
                <w:highlight w:val="none"/>
              </w:rPr>
              <w:t>楼层</w:t>
            </w:r>
          </w:p>
        </w:tc>
        <w:tc>
          <w:tcPr>
            <w:tcW w:w="1350" w:type="dxa"/>
            <w:vMerge w:val="restart"/>
            <w:tcBorders>
              <w:top w:val="single" w:color="auto" w:sz="12" w:space="0"/>
            </w:tcBorders>
            <w:noWrap w:val="0"/>
            <w:vAlign w:val="center"/>
          </w:tcPr>
          <w:p>
            <w:pPr>
              <w:widowControl/>
              <w:snapToGrid w:val="0"/>
              <w:spacing w:line="240" w:lineRule="auto"/>
              <w:jc w:val="center"/>
              <w:textAlignment w:val="center"/>
              <w:rPr>
                <w:rFonts w:hint="eastAsia" w:eastAsia="黑体"/>
                <w:color w:val="000000"/>
                <w:sz w:val="20"/>
                <w:highlight w:val="none"/>
              </w:rPr>
            </w:pPr>
            <w:r>
              <w:rPr>
                <w:rFonts w:hint="eastAsia" w:eastAsia="黑体"/>
                <w:color w:val="000000"/>
                <w:sz w:val="20"/>
                <w:highlight w:val="none"/>
              </w:rPr>
              <w:t>使用区域</w:t>
            </w:r>
          </w:p>
        </w:tc>
        <w:tc>
          <w:tcPr>
            <w:tcW w:w="1095" w:type="dxa"/>
            <w:vMerge w:val="restart"/>
            <w:tcBorders>
              <w:top w:val="single" w:color="auto" w:sz="12" w:space="0"/>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r>
              <w:rPr>
                <w:rFonts w:hint="eastAsia" w:eastAsia="黑体"/>
                <w:color w:val="000000"/>
                <w:sz w:val="20"/>
                <w:highlight w:val="none"/>
              </w:rPr>
              <w:t>产品名称</w:t>
            </w:r>
          </w:p>
        </w:tc>
        <w:tc>
          <w:tcPr>
            <w:tcW w:w="2010" w:type="dxa"/>
            <w:gridSpan w:val="2"/>
            <w:tcBorders>
              <w:top w:val="single" w:color="auto" w:sz="12" w:space="0"/>
              <w:bottom w:val="double" w:color="auto" w:sz="6" w:space="0"/>
            </w:tcBorders>
            <w:noWrap w:val="0"/>
            <w:vAlign w:val="center"/>
          </w:tcPr>
          <w:p>
            <w:pPr>
              <w:spacing w:line="240" w:lineRule="auto"/>
              <w:ind w:left="-120" w:leftChars="-50" w:right="-120" w:rightChars="-50"/>
              <w:jc w:val="center"/>
              <w:rPr>
                <w:rFonts w:eastAsia="黑体"/>
                <w:color w:val="000000"/>
                <w:sz w:val="20"/>
                <w:highlight w:val="none"/>
              </w:rPr>
            </w:pPr>
            <w:r>
              <w:rPr>
                <w:rFonts w:hint="eastAsia" w:eastAsia="黑体"/>
                <w:color w:val="000000"/>
                <w:sz w:val="20"/>
                <w:highlight w:val="none"/>
              </w:rPr>
              <w:t>尺寸/规格（m）</w:t>
            </w:r>
          </w:p>
        </w:tc>
        <w:tc>
          <w:tcPr>
            <w:tcW w:w="1077" w:type="dxa"/>
            <w:vMerge w:val="restart"/>
            <w:tcBorders>
              <w:top w:val="single" w:color="auto" w:sz="12" w:space="0"/>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r>
              <w:rPr>
                <w:rFonts w:hint="eastAsia" w:eastAsia="黑体"/>
                <w:color w:val="000000"/>
                <w:sz w:val="20"/>
                <w:highlight w:val="none"/>
              </w:rPr>
              <w:t>数量</w:t>
            </w:r>
          </w:p>
        </w:tc>
        <w:tc>
          <w:tcPr>
            <w:tcW w:w="1404" w:type="dxa"/>
            <w:vMerge w:val="restart"/>
            <w:tcBorders>
              <w:top w:val="single" w:color="auto" w:sz="12" w:space="0"/>
              <w:lef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r>
              <w:rPr>
                <w:rFonts w:hint="eastAsia" w:eastAsia="黑体"/>
                <w:color w:val="000000"/>
                <w:sz w:val="20"/>
                <w:highlight w:val="none"/>
              </w:rPr>
              <w:t>单价（元）</w:t>
            </w:r>
          </w:p>
        </w:tc>
        <w:tc>
          <w:tcPr>
            <w:tcW w:w="1705" w:type="dxa"/>
            <w:vMerge w:val="restart"/>
            <w:tcBorders>
              <w:top w:val="single" w:color="auto" w:sz="12" w:space="0"/>
            </w:tcBorders>
            <w:noWrap w:val="0"/>
            <w:vAlign w:val="center"/>
          </w:tcPr>
          <w:p>
            <w:pPr>
              <w:spacing w:line="240" w:lineRule="auto"/>
              <w:ind w:left="-120" w:leftChars="-50" w:right="-120" w:rightChars="-50"/>
              <w:jc w:val="center"/>
              <w:rPr>
                <w:rFonts w:eastAsia="黑体"/>
                <w:color w:val="000000"/>
                <w:sz w:val="20"/>
                <w:highlight w:val="none"/>
              </w:rPr>
            </w:pPr>
            <w:r>
              <w:rPr>
                <w:rFonts w:hint="eastAsia" w:eastAsia="黑体"/>
                <w:color w:val="000000"/>
                <w:sz w:val="20"/>
                <w:highlight w:val="none"/>
              </w:rPr>
              <w:t>合价（元）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blHeader/>
        </w:trPr>
        <w:tc>
          <w:tcPr>
            <w:tcW w:w="544" w:type="dxa"/>
            <w:vMerge w:val="continue"/>
            <w:tcBorders>
              <w:bottom w:val="double" w:color="auto" w:sz="6" w:space="0"/>
            </w:tcBorders>
            <w:noWrap w:val="0"/>
            <w:vAlign w:val="center"/>
          </w:tcPr>
          <w:p>
            <w:pPr>
              <w:spacing w:line="240" w:lineRule="auto"/>
              <w:ind w:left="-120" w:leftChars="-50" w:right="-120" w:rightChars="-50"/>
              <w:jc w:val="center"/>
              <w:rPr>
                <w:rFonts w:eastAsia="黑体"/>
                <w:color w:val="000000"/>
                <w:sz w:val="20"/>
                <w:highlight w:val="none"/>
              </w:rPr>
            </w:pPr>
          </w:p>
        </w:tc>
        <w:tc>
          <w:tcPr>
            <w:tcW w:w="1350" w:type="dxa"/>
            <w:vMerge w:val="continue"/>
            <w:tcBorders>
              <w:bottom w:val="double" w:color="auto" w:sz="6" w:space="0"/>
            </w:tcBorders>
            <w:noWrap w:val="0"/>
            <w:vAlign w:val="center"/>
          </w:tcPr>
          <w:p>
            <w:pPr>
              <w:spacing w:line="240" w:lineRule="auto"/>
              <w:ind w:left="-120" w:leftChars="-50" w:right="-120" w:rightChars="-50"/>
              <w:jc w:val="center"/>
              <w:rPr>
                <w:rFonts w:hint="eastAsia" w:eastAsia="黑体"/>
                <w:color w:val="000000"/>
                <w:sz w:val="20"/>
                <w:highlight w:val="none"/>
              </w:rPr>
            </w:pPr>
          </w:p>
        </w:tc>
        <w:tc>
          <w:tcPr>
            <w:tcW w:w="1095" w:type="dxa"/>
            <w:vMerge w:val="continue"/>
            <w:tcBorders>
              <w:bottom w:val="double" w:color="auto" w:sz="6" w:space="0"/>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p>
        </w:tc>
        <w:tc>
          <w:tcPr>
            <w:tcW w:w="1005" w:type="dxa"/>
            <w:tcBorders>
              <w:top w:val="single" w:color="auto" w:sz="12" w:space="0"/>
              <w:bottom w:val="doub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宽</w:t>
            </w:r>
          </w:p>
        </w:tc>
        <w:tc>
          <w:tcPr>
            <w:tcW w:w="1005" w:type="dxa"/>
            <w:tcBorders>
              <w:top w:val="single" w:color="auto" w:sz="12" w:space="0"/>
              <w:left w:val="single" w:color="auto" w:sz="4" w:space="0"/>
              <w:bottom w:val="double" w:color="auto" w:sz="6"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高</w:t>
            </w:r>
          </w:p>
        </w:tc>
        <w:tc>
          <w:tcPr>
            <w:tcW w:w="1077" w:type="dxa"/>
            <w:vMerge w:val="continue"/>
            <w:tcBorders>
              <w:bottom w:val="double" w:color="auto" w:sz="6" w:space="0"/>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p>
        </w:tc>
        <w:tc>
          <w:tcPr>
            <w:tcW w:w="1404" w:type="dxa"/>
            <w:vMerge w:val="continue"/>
            <w:tcBorders>
              <w:left w:val="single" w:color="auto" w:sz="4" w:space="0"/>
              <w:bottom w:val="double" w:color="auto" w:sz="6" w:space="0"/>
            </w:tcBorders>
            <w:noWrap w:val="0"/>
            <w:vAlign w:val="center"/>
          </w:tcPr>
          <w:p>
            <w:pPr>
              <w:spacing w:line="240" w:lineRule="auto"/>
              <w:ind w:left="-120" w:leftChars="-50" w:right="-120" w:rightChars="-50"/>
              <w:jc w:val="center"/>
              <w:rPr>
                <w:rFonts w:hint="eastAsia" w:eastAsia="黑体"/>
                <w:color w:val="000000"/>
                <w:sz w:val="20"/>
                <w:highlight w:val="none"/>
              </w:rPr>
            </w:pPr>
          </w:p>
        </w:tc>
        <w:tc>
          <w:tcPr>
            <w:tcW w:w="1705" w:type="dxa"/>
            <w:vMerge w:val="continue"/>
            <w:tcBorders>
              <w:bottom w:val="double" w:color="auto" w:sz="6" w:space="0"/>
            </w:tcBorders>
            <w:noWrap w:val="0"/>
            <w:vAlign w:val="center"/>
          </w:tcPr>
          <w:p>
            <w:pPr>
              <w:spacing w:line="240" w:lineRule="auto"/>
              <w:ind w:left="-120" w:leftChars="-50" w:right="-120" w:rightChars="-50"/>
              <w:jc w:val="center"/>
              <w:rPr>
                <w:rFonts w:hint="eastAsia" w:eastAsia="黑体"/>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noWrap/>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教师办公室</w:t>
            </w:r>
          </w:p>
        </w:tc>
        <w:tc>
          <w:tcPr>
            <w:tcW w:w="1095" w:type="dxa"/>
            <w:vMerge w:val="restart"/>
            <w:tcBorders>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手动卷帘-透景</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12.75㎡</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noWrap/>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三层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12.75㎡</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noWrap/>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四层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8.50㎡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五层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设备机房与硬件制作</w:t>
            </w:r>
            <w:r>
              <w:rPr>
                <w:rFonts w:hint="eastAsia" w:ascii="宋体" w:hAnsi="宋体" w:eastAsia="宋体" w:cs="宋体"/>
                <w:color w:val="000000"/>
                <w:sz w:val="20"/>
                <w:highlight w:val="none"/>
                <w:lang w:val="en-US" w:eastAsia="zh-CN" w:bidi="ar"/>
              </w:rPr>
              <w:t>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教室办公室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办公室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学生自主创新</w:t>
            </w:r>
            <w:r>
              <w:rPr>
                <w:rFonts w:hint="eastAsia" w:ascii="宋体" w:hAnsi="宋体" w:eastAsia="宋体" w:cs="宋体"/>
                <w:color w:val="000000"/>
                <w:sz w:val="20"/>
                <w:highlight w:val="none"/>
                <w:lang w:val="en-US" w:eastAsia="zh-CN" w:bidi="ar"/>
              </w:rPr>
              <w:t>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eastAsia="zh-CN"/>
              </w:rPr>
            </w:pPr>
            <w:r>
              <w:rPr>
                <w:rFonts w:hint="default" w:ascii="宋体" w:hAnsi="宋体" w:eastAsia="宋体" w:cs="宋体"/>
                <w:color w:val="000000"/>
                <w:sz w:val="20"/>
                <w:highlight w:val="none"/>
                <w:lang w:val="en-US" w:eastAsia="zh-CN" w:bidi="ar"/>
              </w:rPr>
              <w:t>教室办公室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12.75㎡</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动物细胞室</w:t>
            </w:r>
          </w:p>
        </w:tc>
        <w:tc>
          <w:tcPr>
            <w:tcW w:w="1095" w:type="dxa"/>
            <w:vMerge w:val="restart"/>
            <w:tcBorders>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储能交叉预留实验室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14.28㎡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诺奖与光学实验室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激光原理与应用实验室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数控综合制造实验室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光机电集成实验室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激光加工与3D打印实验室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光纤陀螺实验室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驱动控制实验室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体验区</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交叉预留实验室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医疗器械实验室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医工交叉预留实验室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学生自主开发创新实验室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数值模拟实验室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16.17㎡</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心血管器械实验室</w:t>
            </w:r>
          </w:p>
        </w:tc>
        <w:tc>
          <w:tcPr>
            <w:tcW w:w="1095" w:type="dxa"/>
            <w:vMerge w:val="restart"/>
            <w:tcBorders>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骨科器械实验室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认知体验馆</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1.585</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15.45㎡</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三层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新工科预留实验室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7.14㎡</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大气化学实验室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大气物理实验室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物理海洋实验室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5.39㎡</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未来技术学院预留实验室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公共多功能会议室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天气预报实验室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16.17㎡</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海洋调查实验室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大气探测实验室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10.78㎡</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四层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光电材料生长与制备实验室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光学精密加工与检测实验室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光电薄膜实验室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更衣室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4.25㎡</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五层</w:t>
            </w: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电磁场与微波实验室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光通信与网络实验室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软件无线电实验室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计算机网络实验室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095" w:type="dxa"/>
            <w:vMerge w:val="continue"/>
            <w:tcBorders>
              <w:right w:val="single" w:color="auto" w:sz="4" w:space="0"/>
            </w:tcBorders>
            <w:noWrap w:val="0"/>
            <w:vAlign w:val="center"/>
          </w:tcPr>
          <w:p>
            <w:pPr>
              <w:widowControl/>
              <w:jc w:val="center"/>
              <w:rPr>
                <w:rFonts w:ascii="宋体" w:hAnsi="宋体" w:cs="宋体"/>
                <w:color w:val="000000"/>
                <w:sz w:val="20"/>
                <w:highlight w:val="none"/>
              </w:rPr>
            </w:pP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激光雷达实验室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机器视觉实验室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光源与照明基础实验室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25.00㎡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光电测量基础实验室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30.00㎡</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6.00台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6.00台</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植物实验室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13.80m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4.83m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3.50m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7.00m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2.25m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13.80m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4.53m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13.80m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4.43m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13.80m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4.53m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样品准备室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3.69m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激光加工与3D打印实验室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5.87m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应用光学基础实验室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3.06m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12.48m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92.40m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30.84m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24.00m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8.41m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24.00m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8.07m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近代光学基础实验室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12.48m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51.60m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5.44m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激光原理与技术基础实验室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12.48m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51.60m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5.44m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二层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光源与照明基础实验室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72.00m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22.86m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92.40m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31.14m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光电测量基础实验室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7.53m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7.17m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20.60m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6.82m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37.60m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13.16m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10.77m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10.63m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三层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仪器设备标定室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restart"/>
            <w:noWrap/>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四层</w:t>
            </w: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信息光学实验室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3.01m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12.48m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51.60m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红外与太赫兹实验室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3.01m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2.84m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激光技术与精密光谱实验室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3.06m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6.24m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10.40m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3.01m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lang w:val="en-US" w:eastAsia="zh-CN" w:bidi="ar-SA"/>
              </w:rPr>
            </w:pPr>
            <w:r>
              <w:rPr>
                <w:rFonts w:hint="default" w:ascii="宋体" w:hAnsi="宋体" w:eastAsia="宋体" w:cs="宋体"/>
                <w:color w:val="000000"/>
                <w:sz w:val="20"/>
                <w:highlight w:val="none"/>
                <w:lang w:val="en-US" w:eastAsia="zh-CN" w:bidi="ar"/>
              </w:rPr>
              <w:t>光电通讯与传感实验室</w:t>
            </w: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34.40m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12.48m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68.80m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23.20m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17.20m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544" w:type="dxa"/>
            <w:vMerge w:val="continue"/>
            <w:noWrap/>
            <w:vAlign w:val="center"/>
          </w:tcPr>
          <w:p>
            <w:pPr>
              <w:widowControl/>
              <w:jc w:val="center"/>
              <w:rPr>
                <w:rFonts w:hint="eastAsia" w:ascii="宋体" w:hAnsi="宋体" w:cs="宋体"/>
                <w:color w:val="000000"/>
                <w:sz w:val="20"/>
                <w:highlight w:val="none"/>
              </w:rPr>
            </w:pPr>
          </w:p>
        </w:tc>
        <w:tc>
          <w:tcPr>
            <w:tcW w:w="1350" w:type="dxa"/>
            <w:vMerge w:val="continue"/>
            <w:noWrap w:val="0"/>
            <w:vAlign w:val="center"/>
          </w:tcPr>
          <w:p>
            <w:pPr>
              <w:widowControl/>
              <w:jc w:val="center"/>
              <w:rPr>
                <w:rFonts w:hint="eastAsia" w:ascii="宋体" w:hAnsi="宋体" w:cs="宋体"/>
                <w:color w:val="000000"/>
                <w:sz w:val="20"/>
                <w:highlight w:val="none"/>
              </w:rPr>
            </w:pPr>
          </w:p>
        </w:tc>
        <w:tc>
          <w:tcPr>
            <w:tcW w:w="109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1005"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1005" w:type="dxa"/>
            <w:tcBorders>
              <w:lef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077" w:type="dxa"/>
            <w:tcBorders>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bidi="ar"/>
              </w:rPr>
            </w:pPr>
            <w:r>
              <w:rPr>
                <w:rFonts w:hint="eastAsia"/>
                <w:sz w:val="20"/>
                <w:szCs w:val="20"/>
              </w:rPr>
              <w:t>5.44m</w:t>
            </w:r>
          </w:p>
        </w:tc>
        <w:tc>
          <w:tcPr>
            <w:tcW w:w="1404" w:type="dxa"/>
            <w:tcBorders>
              <w:left w:val="single" w:color="auto" w:sz="4" w:space="0"/>
            </w:tcBorders>
            <w:noWrap w:val="0"/>
            <w:vAlign w:val="center"/>
          </w:tcPr>
          <w:p>
            <w:pPr>
              <w:pStyle w:val="12"/>
              <w:spacing w:before="120" w:beforeLines="50" w:after="120" w:afterLines="50" w:line="240" w:lineRule="auto"/>
              <w:ind w:left="120" w:leftChars="50" w:right="120" w:rightChars="50" w:firstLine="0"/>
              <w:jc w:val="center"/>
              <w:rPr>
                <w:rFonts w:hint="eastAsia"/>
                <w:color w:val="000000"/>
                <w:sz w:val="20"/>
                <w:highlight w:val="none"/>
              </w:rPr>
            </w:pPr>
          </w:p>
        </w:tc>
        <w:tc>
          <w:tcPr>
            <w:tcW w:w="1705" w:type="dxa"/>
            <w:noWrap/>
            <w:vAlign w:val="center"/>
          </w:tcPr>
          <w:p>
            <w:pPr>
              <w:pStyle w:val="53"/>
              <w:spacing w:after="0" w:line="240" w:lineRule="auto"/>
              <w:ind w:left="-120" w:leftChars="-50" w:right="-120" w:rightChars="-50"/>
              <w:rPr>
                <w:color w:val="000000"/>
                <w:sz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7480" w:type="dxa"/>
            <w:gridSpan w:val="7"/>
            <w:tcBorders>
              <w:bottom w:val="single" w:color="auto" w:sz="12" w:space="0"/>
            </w:tcBorders>
            <w:noWrap/>
            <w:vAlign w:val="center"/>
          </w:tcPr>
          <w:p>
            <w:pPr>
              <w:pStyle w:val="53"/>
              <w:spacing w:after="0" w:line="240" w:lineRule="auto"/>
              <w:ind w:left="-120" w:leftChars="-50" w:right="-120" w:rightChars="-50"/>
              <w:rPr>
                <w:color w:val="000000"/>
                <w:sz w:val="20"/>
                <w:highlight w:val="none"/>
              </w:rPr>
            </w:pPr>
            <w:r>
              <w:rPr>
                <w:rFonts w:hAnsi="宋体"/>
                <w:b/>
                <w:color w:val="000000"/>
                <w:sz w:val="20"/>
                <w:highlight w:val="none"/>
              </w:rPr>
              <w:t>总价</w:t>
            </w:r>
            <w:r>
              <w:rPr>
                <w:rFonts w:hint="eastAsia" w:hAnsi="宋体"/>
                <w:b/>
                <w:color w:val="000000"/>
                <w:sz w:val="20"/>
                <w:highlight w:val="none"/>
              </w:rPr>
              <w:t>（元）</w:t>
            </w:r>
          </w:p>
        </w:tc>
        <w:tc>
          <w:tcPr>
            <w:tcW w:w="1705" w:type="dxa"/>
            <w:tcBorders>
              <w:bottom w:val="single" w:color="auto" w:sz="12" w:space="0"/>
            </w:tcBorders>
            <w:noWrap/>
            <w:vAlign w:val="center"/>
          </w:tcPr>
          <w:p>
            <w:pPr>
              <w:pStyle w:val="53"/>
              <w:spacing w:after="0" w:line="240" w:lineRule="auto"/>
              <w:ind w:left="-120" w:leftChars="-50" w:right="-120" w:rightChars="-50"/>
              <w:rPr>
                <w:color w:val="000000"/>
                <w:sz w:val="20"/>
                <w:highlight w:val="none"/>
              </w:rPr>
            </w:pPr>
          </w:p>
        </w:tc>
      </w:tr>
    </w:tbl>
    <w:p>
      <w:pPr>
        <w:pStyle w:val="12"/>
        <w:ind w:firstLine="0"/>
        <w:rPr>
          <w:color w:val="000000"/>
          <w:sz w:val="21"/>
          <w:szCs w:val="21"/>
          <w:highlight w:val="none"/>
        </w:rPr>
      </w:pPr>
      <w:r>
        <w:rPr>
          <w:color w:val="000000"/>
          <w:sz w:val="21"/>
          <w:szCs w:val="21"/>
          <w:highlight w:val="none"/>
        </w:rPr>
        <w:t>注：</w:t>
      </w:r>
    </w:p>
    <w:p>
      <w:pPr>
        <w:pStyle w:val="12"/>
        <w:ind w:firstLine="425"/>
        <w:rPr>
          <w:color w:val="000000"/>
          <w:sz w:val="21"/>
          <w:szCs w:val="21"/>
          <w:highlight w:val="none"/>
        </w:rPr>
      </w:pPr>
      <w:r>
        <w:rPr>
          <w:color w:val="000000"/>
          <w:sz w:val="21"/>
          <w:szCs w:val="21"/>
          <w:highlight w:val="none"/>
        </w:rPr>
        <w:t>1. 投标人所填写的任一报价项的报价均应包括符合招标文件要求的与该报价项相关的所有费用（包括所有软硬件、服务费用、可能有的关税、增值税及其他税费等）。</w:t>
      </w:r>
    </w:p>
    <w:p>
      <w:pPr>
        <w:pStyle w:val="12"/>
        <w:ind w:firstLine="425"/>
        <w:rPr>
          <w:color w:val="000000"/>
          <w:sz w:val="21"/>
          <w:szCs w:val="21"/>
          <w:highlight w:val="none"/>
        </w:rPr>
      </w:pPr>
      <w:r>
        <w:rPr>
          <w:color w:val="000000"/>
          <w:sz w:val="21"/>
          <w:szCs w:val="21"/>
          <w:highlight w:val="none"/>
        </w:rPr>
        <w:t>2. 投标人应严格按照本表规定格式填报所有分项报价（包括每个报价项的型号和规格以及要求填报的全部价格）。</w:t>
      </w:r>
    </w:p>
    <w:p>
      <w:pPr>
        <w:pStyle w:val="12"/>
        <w:tabs>
          <w:tab w:val="left" w:pos="5320"/>
        </w:tabs>
        <w:spacing w:before="408" w:beforeLines="170"/>
        <w:rPr>
          <w:color w:val="000000"/>
          <w:highlight w:val="none"/>
        </w:rPr>
      </w:pPr>
      <w:r>
        <w:rPr>
          <w:color w:val="000000"/>
          <w:highlight w:val="none"/>
        </w:rPr>
        <w:t>投标人授权代表签字：_________________</w:t>
      </w:r>
      <w:r>
        <w:rPr>
          <w:color w:val="000000"/>
          <w:highlight w:val="none"/>
        </w:rPr>
        <w:tab/>
      </w:r>
      <w:r>
        <w:rPr>
          <w:color w:val="000000"/>
          <w:highlight w:val="none"/>
        </w:rPr>
        <w:t>公章：_________________</w:t>
      </w:r>
    </w:p>
    <w:p>
      <w:pPr>
        <w:pStyle w:val="82"/>
        <w:rPr>
          <w:rFonts w:ascii="Times New Roman"/>
          <w:color w:val="000000"/>
          <w:highlight w:val="none"/>
        </w:rPr>
      </w:pPr>
      <w:r>
        <w:rPr>
          <w:rFonts w:ascii="Times New Roman"/>
          <w:color w:val="000000"/>
          <w:highlight w:val="none"/>
        </w:rPr>
        <w:br w:type="page"/>
      </w:r>
      <w:bookmarkStart w:id="731" w:name="_Toc29601"/>
      <w:r>
        <w:rPr>
          <w:rFonts w:ascii="Times New Roman"/>
          <w:color w:val="000000"/>
          <w:highlight w:val="none"/>
        </w:rPr>
        <w:t>货物说明一览表格式</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pPr>
        <w:pStyle w:val="12"/>
        <w:rPr>
          <w:color w:val="000000"/>
          <w:highlight w:val="none"/>
        </w:rPr>
      </w:pPr>
      <w:r>
        <w:rPr>
          <w:rFonts w:hint="eastAsia"/>
          <w:color w:val="000000"/>
          <w:highlight w:val="none"/>
        </w:rPr>
        <w:t>项目编号</w:t>
      </w:r>
      <w:r>
        <w:rPr>
          <w:color w:val="000000"/>
          <w:highlight w:val="none"/>
        </w:rPr>
        <w:t>：___</w:t>
      </w:r>
    </w:p>
    <w:tbl>
      <w:tblPr>
        <w:tblStyle w:val="33"/>
        <w:tblW w:w="93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728"/>
        <w:gridCol w:w="1435"/>
        <w:gridCol w:w="1575"/>
        <w:gridCol w:w="967"/>
        <w:gridCol w:w="968"/>
        <w:gridCol w:w="1459"/>
        <w:gridCol w:w="1077"/>
        <w:gridCol w:w="11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tblHeader/>
          <w:jc w:val="center"/>
        </w:trPr>
        <w:tc>
          <w:tcPr>
            <w:tcW w:w="728" w:type="dxa"/>
            <w:vMerge w:val="restart"/>
            <w:tcBorders>
              <w:top w:val="single" w:color="auto" w:sz="12" w:space="0"/>
            </w:tcBorders>
            <w:noWrap w:val="0"/>
            <w:vAlign w:val="center"/>
          </w:tcPr>
          <w:p>
            <w:pPr>
              <w:widowControl/>
              <w:snapToGrid w:val="0"/>
              <w:spacing w:line="240" w:lineRule="auto"/>
              <w:ind w:left="0" w:leftChars="0" w:right="0" w:rightChars="0"/>
              <w:jc w:val="center"/>
              <w:textAlignment w:val="center"/>
              <w:rPr>
                <w:rFonts w:eastAsia="黑体"/>
                <w:color w:val="000000"/>
                <w:highlight w:val="none"/>
              </w:rPr>
            </w:pPr>
            <w:r>
              <w:rPr>
                <w:rFonts w:hint="eastAsia" w:eastAsia="黑体"/>
                <w:color w:val="000000"/>
                <w:sz w:val="20"/>
                <w:highlight w:val="none"/>
              </w:rPr>
              <w:t>楼层</w:t>
            </w:r>
          </w:p>
        </w:tc>
        <w:tc>
          <w:tcPr>
            <w:tcW w:w="1435" w:type="dxa"/>
            <w:vMerge w:val="restart"/>
            <w:tcBorders>
              <w:top w:val="single" w:color="auto" w:sz="12" w:space="0"/>
            </w:tcBorders>
            <w:noWrap w:val="0"/>
            <w:vAlign w:val="center"/>
          </w:tcPr>
          <w:p>
            <w:pPr>
              <w:widowControl/>
              <w:snapToGrid w:val="0"/>
              <w:spacing w:line="240" w:lineRule="auto"/>
              <w:ind w:left="0" w:leftChars="0" w:right="0" w:rightChars="0"/>
              <w:jc w:val="center"/>
              <w:textAlignment w:val="center"/>
              <w:rPr>
                <w:rFonts w:eastAsia="黑体"/>
                <w:color w:val="000000"/>
                <w:highlight w:val="none"/>
              </w:rPr>
            </w:pPr>
            <w:r>
              <w:rPr>
                <w:rFonts w:hint="eastAsia" w:eastAsia="黑体"/>
                <w:color w:val="000000"/>
                <w:sz w:val="20"/>
                <w:highlight w:val="none"/>
              </w:rPr>
              <w:t>使用区域</w:t>
            </w:r>
          </w:p>
        </w:tc>
        <w:tc>
          <w:tcPr>
            <w:tcW w:w="1575" w:type="dxa"/>
            <w:vMerge w:val="restart"/>
            <w:tcBorders>
              <w:top w:val="single" w:color="auto" w:sz="12" w:space="0"/>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r>
              <w:rPr>
                <w:rFonts w:hint="eastAsia" w:eastAsia="黑体"/>
                <w:color w:val="000000"/>
                <w:sz w:val="20"/>
                <w:highlight w:val="none"/>
              </w:rPr>
              <w:t>产品名称</w:t>
            </w:r>
          </w:p>
        </w:tc>
        <w:tc>
          <w:tcPr>
            <w:tcW w:w="1935" w:type="dxa"/>
            <w:gridSpan w:val="2"/>
            <w:tcBorders>
              <w:top w:val="single" w:color="auto" w:sz="12" w:space="0"/>
              <w:bottom w:val="nil"/>
              <w:right w:val="single" w:color="auto" w:sz="4" w:space="0"/>
            </w:tcBorders>
            <w:noWrap w:val="0"/>
            <w:vAlign w:val="center"/>
          </w:tcPr>
          <w:p>
            <w:pPr>
              <w:spacing w:line="240" w:lineRule="auto"/>
              <w:ind w:left="-120" w:leftChars="-50" w:right="-120" w:rightChars="-50"/>
              <w:jc w:val="center"/>
              <w:rPr>
                <w:rFonts w:eastAsia="黑体"/>
                <w:color w:val="000000"/>
                <w:sz w:val="20"/>
                <w:highlight w:val="none"/>
              </w:rPr>
            </w:pPr>
            <w:r>
              <w:rPr>
                <w:rFonts w:hint="eastAsia" w:eastAsia="黑体"/>
                <w:color w:val="000000"/>
                <w:sz w:val="20"/>
                <w:highlight w:val="none"/>
              </w:rPr>
              <w:t>尺寸/规格（m）</w:t>
            </w:r>
          </w:p>
        </w:tc>
        <w:tc>
          <w:tcPr>
            <w:tcW w:w="1459" w:type="dxa"/>
            <w:vMerge w:val="restart"/>
            <w:tcBorders>
              <w:top w:val="single" w:color="auto" w:sz="12" w:space="0"/>
            </w:tcBorders>
            <w:noWrap w:val="0"/>
            <w:vAlign w:val="center"/>
          </w:tcPr>
          <w:p>
            <w:pPr>
              <w:pStyle w:val="16"/>
              <w:jc w:val="center"/>
              <w:rPr>
                <w:rFonts w:eastAsia="黑体"/>
                <w:color w:val="000000"/>
                <w:highlight w:val="none"/>
              </w:rPr>
            </w:pPr>
            <w:r>
              <w:rPr>
                <w:rFonts w:hint="eastAsia" w:eastAsia="黑体"/>
                <w:color w:val="000000"/>
                <w:highlight w:val="none"/>
              </w:rPr>
              <w:t>原产地</w:t>
            </w:r>
          </w:p>
        </w:tc>
        <w:tc>
          <w:tcPr>
            <w:tcW w:w="1077" w:type="dxa"/>
            <w:vMerge w:val="restart"/>
            <w:tcBorders>
              <w:top w:val="single" w:color="auto" w:sz="12" w:space="0"/>
            </w:tcBorders>
            <w:noWrap w:val="0"/>
            <w:vAlign w:val="center"/>
          </w:tcPr>
          <w:p>
            <w:pPr>
              <w:pStyle w:val="16"/>
              <w:jc w:val="center"/>
              <w:rPr>
                <w:rFonts w:eastAsia="黑体"/>
                <w:color w:val="000000"/>
                <w:highlight w:val="none"/>
              </w:rPr>
            </w:pPr>
            <w:r>
              <w:rPr>
                <w:rFonts w:eastAsia="黑体"/>
                <w:color w:val="000000"/>
                <w:highlight w:val="none"/>
              </w:rPr>
              <w:t>数量</w:t>
            </w:r>
          </w:p>
        </w:tc>
        <w:tc>
          <w:tcPr>
            <w:tcW w:w="1105" w:type="dxa"/>
            <w:vMerge w:val="restart"/>
            <w:tcBorders>
              <w:top w:val="single" w:color="auto" w:sz="12" w:space="0"/>
            </w:tcBorders>
            <w:noWrap w:val="0"/>
            <w:vAlign w:val="center"/>
          </w:tcPr>
          <w:p>
            <w:pPr>
              <w:pStyle w:val="16"/>
              <w:jc w:val="center"/>
              <w:rPr>
                <w:rFonts w:eastAsia="黑体"/>
                <w:color w:val="000000"/>
                <w:highlight w:val="none"/>
              </w:rPr>
            </w:pPr>
            <w:r>
              <w:rPr>
                <w:rFonts w:hint="eastAsia" w:eastAsia="黑体"/>
                <w:color w:val="000000"/>
                <w:highlight w:val="none"/>
              </w:rPr>
              <w:t>制造商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tblHeader/>
          <w:jc w:val="center"/>
        </w:trPr>
        <w:tc>
          <w:tcPr>
            <w:tcW w:w="728" w:type="dxa"/>
            <w:vMerge w:val="continue"/>
            <w:tcBorders>
              <w:bottom w:val="nil"/>
            </w:tcBorders>
            <w:noWrap w:val="0"/>
            <w:vAlign w:val="top"/>
          </w:tcPr>
          <w:p>
            <w:pPr>
              <w:pStyle w:val="16"/>
              <w:rPr>
                <w:rFonts w:eastAsia="黑体"/>
                <w:color w:val="000000"/>
                <w:highlight w:val="none"/>
              </w:rPr>
            </w:pPr>
          </w:p>
        </w:tc>
        <w:tc>
          <w:tcPr>
            <w:tcW w:w="1435" w:type="dxa"/>
            <w:vMerge w:val="continue"/>
            <w:tcBorders>
              <w:bottom w:val="nil"/>
            </w:tcBorders>
            <w:noWrap w:val="0"/>
            <w:vAlign w:val="top"/>
          </w:tcPr>
          <w:p>
            <w:pPr>
              <w:pStyle w:val="16"/>
              <w:rPr>
                <w:rFonts w:eastAsia="黑体"/>
                <w:color w:val="000000"/>
                <w:highlight w:val="none"/>
              </w:rPr>
            </w:pPr>
          </w:p>
        </w:tc>
        <w:tc>
          <w:tcPr>
            <w:tcW w:w="1575" w:type="dxa"/>
            <w:vMerge w:val="continue"/>
            <w:tcBorders>
              <w:bottom w:val="nil"/>
              <w:right w:val="single" w:color="auto" w:sz="4" w:space="0"/>
            </w:tcBorders>
            <w:noWrap w:val="0"/>
            <w:vAlign w:val="center"/>
          </w:tcPr>
          <w:p>
            <w:pPr>
              <w:spacing w:line="240" w:lineRule="auto"/>
              <w:ind w:left="-120" w:leftChars="-50" w:right="-120" w:rightChars="-50"/>
              <w:jc w:val="center"/>
              <w:rPr>
                <w:rFonts w:hint="eastAsia" w:eastAsia="黑体"/>
                <w:color w:val="000000"/>
                <w:sz w:val="20"/>
                <w:highlight w:val="none"/>
              </w:rPr>
            </w:pPr>
          </w:p>
        </w:tc>
        <w:tc>
          <w:tcPr>
            <w:tcW w:w="967" w:type="dxa"/>
            <w:tcBorders>
              <w:top w:val="single" w:color="auto" w:sz="12" w:space="0"/>
              <w:bottom w:val="nil"/>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宽</w:t>
            </w:r>
          </w:p>
        </w:tc>
        <w:tc>
          <w:tcPr>
            <w:tcW w:w="968" w:type="dxa"/>
            <w:tcBorders>
              <w:top w:val="single" w:color="auto" w:sz="12" w:space="0"/>
              <w:left w:val="single" w:color="auto" w:sz="4" w:space="0"/>
              <w:bottom w:val="nil"/>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eastAsia" w:ascii="宋体" w:hAnsi="宋体" w:cs="宋体"/>
                <w:color w:val="000000"/>
                <w:sz w:val="20"/>
                <w:highlight w:val="none"/>
                <w:lang w:bidi="ar"/>
              </w:rPr>
              <w:t>高</w:t>
            </w:r>
          </w:p>
        </w:tc>
        <w:tc>
          <w:tcPr>
            <w:tcW w:w="1459" w:type="dxa"/>
            <w:vMerge w:val="continue"/>
            <w:tcBorders>
              <w:bottom w:val="nil"/>
            </w:tcBorders>
            <w:noWrap w:val="0"/>
            <w:vAlign w:val="top"/>
          </w:tcPr>
          <w:p>
            <w:pPr>
              <w:pStyle w:val="16"/>
              <w:rPr>
                <w:rFonts w:hint="eastAsia" w:eastAsia="黑体"/>
                <w:color w:val="000000"/>
                <w:highlight w:val="none"/>
              </w:rPr>
            </w:pPr>
          </w:p>
        </w:tc>
        <w:tc>
          <w:tcPr>
            <w:tcW w:w="1077" w:type="dxa"/>
            <w:vMerge w:val="continue"/>
            <w:tcBorders>
              <w:bottom w:val="nil"/>
            </w:tcBorders>
            <w:noWrap w:val="0"/>
            <w:vAlign w:val="top"/>
          </w:tcPr>
          <w:p>
            <w:pPr>
              <w:pStyle w:val="16"/>
              <w:rPr>
                <w:rFonts w:eastAsia="黑体"/>
                <w:color w:val="000000"/>
                <w:highlight w:val="none"/>
              </w:rPr>
            </w:pPr>
          </w:p>
        </w:tc>
        <w:tc>
          <w:tcPr>
            <w:tcW w:w="1105" w:type="dxa"/>
            <w:vMerge w:val="continue"/>
            <w:tcBorders>
              <w:bottom w:val="nil"/>
            </w:tcBorders>
            <w:noWrap w:val="0"/>
            <w:vAlign w:val="top"/>
          </w:tcPr>
          <w:p>
            <w:pPr>
              <w:pStyle w:val="16"/>
              <w:rPr>
                <w:rFonts w:hint="eastAsia" w:eastAsia="黑体"/>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tcBorders>
              <w:top w:val="doub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二层</w:t>
            </w:r>
          </w:p>
        </w:tc>
        <w:tc>
          <w:tcPr>
            <w:tcW w:w="1435" w:type="dxa"/>
            <w:tcBorders>
              <w:top w:val="doub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教师办公室</w:t>
            </w:r>
          </w:p>
        </w:tc>
        <w:tc>
          <w:tcPr>
            <w:tcW w:w="1575" w:type="dxa"/>
            <w:vMerge w:val="restart"/>
            <w:tcBorders>
              <w:top w:val="doub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手动卷帘-透景</w:t>
            </w:r>
          </w:p>
        </w:tc>
        <w:tc>
          <w:tcPr>
            <w:tcW w:w="967" w:type="dxa"/>
            <w:tcBorders>
              <w:top w:val="doub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968" w:type="dxa"/>
            <w:tcBorders>
              <w:top w:val="doub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double" w:color="auto" w:sz="6" w:space="0"/>
              <w:bottom w:val="single" w:color="auto" w:sz="6" w:space="0"/>
            </w:tcBorders>
            <w:noWrap w:val="0"/>
            <w:vAlign w:val="top"/>
          </w:tcPr>
          <w:p>
            <w:pPr>
              <w:pStyle w:val="16"/>
              <w:rPr>
                <w:color w:val="000000"/>
                <w:highlight w:val="none"/>
              </w:rPr>
            </w:pPr>
          </w:p>
        </w:tc>
        <w:tc>
          <w:tcPr>
            <w:tcW w:w="1077" w:type="dxa"/>
            <w:tcBorders>
              <w:top w:val="doub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12.75㎡</w:t>
            </w:r>
          </w:p>
        </w:tc>
        <w:tc>
          <w:tcPr>
            <w:tcW w:w="1105" w:type="dxa"/>
            <w:tcBorders>
              <w:top w:val="doub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三层</w:t>
            </w: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12.75㎡</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四层</w:t>
            </w: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8.50㎡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tcBorders>
              <w:top w:val="single" w:color="auto" w:sz="6" w:space="0"/>
            </w:tcBorders>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五层</w:t>
            </w: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设备机房与硬件制作</w:t>
            </w:r>
            <w:r>
              <w:rPr>
                <w:rFonts w:hint="eastAsia" w:ascii="宋体" w:hAnsi="宋体" w:eastAsia="宋体" w:cs="宋体"/>
                <w:color w:val="000000"/>
                <w:sz w:val="20"/>
                <w:highlight w:val="none"/>
                <w:lang w:val="en-US" w:eastAsia="zh-CN" w:bidi="ar"/>
              </w:rPr>
              <w:t>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rFonts w:hint="eastAsia"/>
                <w:color w:val="000000"/>
                <w:highlight w:val="none"/>
              </w:rPr>
            </w:pP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教室办公室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rFonts w:hint="eastAsia"/>
                <w:color w:val="000000"/>
                <w:highlight w:val="none"/>
              </w:rPr>
            </w:pP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办公室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rFonts w:hint="eastAsia"/>
                <w:color w:val="000000"/>
                <w:highlight w:val="none"/>
              </w:rPr>
            </w:pPr>
          </w:p>
        </w:tc>
        <w:tc>
          <w:tcPr>
            <w:tcW w:w="1435"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学生自主创新</w:t>
            </w:r>
            <w:r>
              <w:rPr>
                <w:rFonts w:hint="eastAsia" w:ascii="宋体" w:hAnsi="宋体" w:eastAsia="宋体" w:cs="宋体"/>
                <w:color w:val="000000"/>
                <w:sz w:val="20"/>
                <w:highlight w:val="none"/>
                <w:lang w:val="en-US" w:eastAsia="zh-CN" w:bidi="ar"/>
              </w:rPr>
              <w:t>实验室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rFonts w:hint="eastAsia"/>
                <w:color w:val="000000"/>
                <w:highlight w:val="none"/>
              </w:rPr>
            </w:pPr>
          </w:p>
        </w:tc>
        <w:tc>
          <w:tcPr>
            <w:tcW w:w="1435" w:type="dxa"/>
            <w:vMerge w:val="restart"/>
            <w:tcBorders>
              <w:top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eastAsia="zh-CN"/>
              </w:rPr>
            </w:pPr>
            <w:r>
              <w:rPr>
                <w:rFonts w:hint="default" w:ascii="宋体" w:hAnsi="宋体" w:eastAsia="宋体" w:cs="宋体"/>
                <w:color w:val="000000"/>
                <w:sz w:val="20"/>
                <w:highlight w:val="none"/>
                <w:lang w:val="en-US" w:eastAsia="zh-CN" w:bidi="ar"/>
              </w:rPr>
              <w:t>教室办公室</w:t>
            </w: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rFonts w:hint="eastAsia"/>
                <w:color w:val="000000"/>
                <w:highlight w:val="none"/>
              </w:rPr>
            </w:pPr>
          </w:p>
        </w:tc>
        <w:tc>
          <w:tcPr>
            <w:tcW w:w="1435" w:type="dxa"/>
            <w:vMerge w:val="continue"/>
            <w:noWrap w:val="0"/>
            <w:vAlign w:val="center"/>
          </w:tcPr>
          <w:p>
            <w:pPr>
              <w:widowControl/>
              <w:jc w:val="center"/>
              <w:rPr>
                <w:rFonts w:hint="eastAsia" w:ascii="宋体" w:hAnsi="宋体" w:cs="宋体"/>
                <w:color w:val="000000"/>
                <w:sz w:val="20"/>
                <w:highlight w:val="none"/>
              </w:rPr>
            </w:pP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color w:val="000000"/>
                <w:highlight w:val="none"/>
              </w:rPr>
            </w:pPr>
          </w:p>
        </w:tc>
        <w:tc>
          <w:tcPr>
            <w:tcW w:w="1435" w:type="dxa"/>
            <w:vMerge w:val="continue"/>
            <w:noWrap w:val="0"/>
            <w:vAlign w:val="center"/>
          </w:tcPr>
          <w:p>
            <w:pPr>
              <w:widowControl/>
              <w:jc w:val="center"/>
              <w:rPr>
                <w:rFonts w:hint="eastAsia" w:ascii="宋体" w:hAnsi="宋体" w:cs="宋体"/>
                <w:color w:val="000000"/>
                <w:sz w:val="20"/>
                <w:highlight w:val="none"/>
              </w:rPr>
            </w:pP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color w:val="000000"/>
                <w:highlight w:val="none"/>
              </w:rPr>
            </w:pPr>
          </w:p>
        </w:tc>
        <w:tc>
          <w:tcPr>
            <w:tcW w:w="1435" w:type="dxa"/>
            <w:vMerge w:val="continue"/>
            <w:noWrap w:val="0"/>
            <w:vAlign w:val="center"/>
          </w:tcPr>
          <w:p>
            <w:pPr>
              <w:widowControl/>
              <w:jc w:val="center"/>
              <w:rPr>
                <w:rFonts w:hint="eastAsia" w:ascii="宋体" w:hAnsi="宋体" w:cs="宋体"/>
                <w:color w:val="000000"/>
                <w:sz w:val="20"/>
                <w:highlight w:val="none"/>
              </w:rPr>
            </w:pPr>
          </w:p>
        </w:tc>
        <w:tc>
          <w:tcPr>
            <w:tcW w:w="1575" w:type="dxa"/>
            <w:vMerge w:val="continue"/>
            <w:tcBorders>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6"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6" w:space="0"/>
            </w:tcBorders>
            <w:noWrap w:val="0"/>
            <w:vAlign w:val="top"/>
          </w:tcPr>
          <w:p>
            <w:pPr>
              <w:pStyle w:val="16"/>
              <w:rPr>
                <w:color w:val="000000"/>
                <w:highlight w:val="none"/>
              </w:rPr>
            </w:pPr>
          </w:p>
        </w:tc>
        <w:tc>
          <w:tcPr>
            <w:tcW w:w="1077" w:type="dxa"/>
            <w:tcBorders>
              <w:top w:val="single" w:color="auto" w:sz="6" w:space="0"/>
              <w:bottom w:val="single" w:color="auto" w:sz="6"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tcBorders>
              <w:top w:val="single" w:color="auto" w:sz="6" w:space="0"/>
              <w:bottom w:val="single" w:color="auto" w:sz="6"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tcBorders>
              <w:bottom w:val="single" w:color="auto" w:sz="12" w:space="0"/>
            </w:tcBorders>
            <w:noWrap w:val="0"/>
            <w:vAlign w:val="center"/>
          </w:tcPr>
          <w:p>
            <w:pPr>
              <w:pStyle w:val="16"/>
              <w:rPr>
                <w:color w:val="000000"/>
                <w:highlight w:val="none"/>
              </w:rPr>
            </w:pPr>
          </w:p>
        </w:tc>
        <w:tc>
          <w:tcPr>
            <w:tcW w:w="1435" w:type="dxa"/>
            <w:vMerge w:val="continue"/>
            <w:tcBorders>
              <w:bottom w:val="single" w:color="auto" w:sz="12" w:space="0"/>
            </w:tcBorders>
            <w:noWrap w:val="0"/>
            <w:vAlign w:val="center"/>
          </w:tcPr>
          <w:p>
            <w:pPr>
              <w:widowControl/>
              <w:jc w:val="center"/>
              <w:rPr>
                <w:rFonts w:hint="eastAsia" w:ascii="宋体" w:hAnsi="宋体" w:cs="宋体"/>
                <w:color w:val="000000"/>
                <w:sz w:val="20"/>
                <w:highlight w:val="none"/>
              </w:rPr>
            </w:pPr>
          </w:p>
        </w:tc>
        <w:tc>
          <w:tcPr>
            <w:tcW w:w="1575" w:type="dxa"/>
            <w:vMerge w:val="continue"/>
            <w:tcBorders>
              <w:bottom w:val="single" w:color="auto" w:sz="12" w:space="0"/>
              <w:right w:val="single" w:color="auto" w:sz="4" w:space="0"/>
            </w:tcBorders>
            <w:noWrap w:val="0"/>
            <w:vAlign w:val="center"/>
          </w:tcPr>
          <w:p>
            <w:pPr>
              <w:widowControl/>
              <w:jc w:val="center"/>
              <w:rPr>
                <w:rFonts w:hint="eastAsia" w:ascii="宋体" w:hAnsi="宋体" w:cs="宋体"/>
                <w:color w:val="000000"/>
                <w:sz w:val="20"/>
                <w:highlight w:val="none"/>
              </w:rPr>
            </w:pPr>
          </w:p>
        </w:tc>
        <w:tc>
          <w:tcPr>
            <w:tcW w:w="967" w:type="dxa"/>
            <w:tcBorders>
              <w:top w:val="single" w:color="auto" w:sz="6" w:space="0"/>
              <w:bottom w:val="single" w:color="auto" w:sz="12" w:space="0"/>
              <w:right w:val="single" w:color="auto" w:sz="4"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968" w:type="dxa"/>
            <w:tcBorders>
              <w:top w:val="single" w:color="auto" w:sz="6" w:space="0"/>
              <w:left w:val="single" w:color="auto" w:sz="4" w:space="0"/>
              <w:bottom w:val="single" w:color="auto" w:sz="12" w:space="0"/>
              <w:right w:val="single" w:color="auto" w:sz="4" w:space="0"/>
            </w:tcBorders>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tcBorders>
              <w:top w:val="single" w:color="auto" w:sz="6" w:space="0"/>
              <w:bottom w:val="single" w:color="auto" w:sz="12" w:space="0"/>
            </w:tcBorders>
            <w:noWrap w:val="0"/>
            <w:vAlign w:val="top"/>
          </w:tcPr>
          <w:p>
            <w:pPr>
              <w:pStyle w:val="16"/>
              <w:rPr>
                <w:color w:val="000000"/>
                <w:highlight w:val="none"/>
              </w:rPr>
            </w:pPr>
          </w:p>
        </w:tc>
        <w:tc>
          <w:tcPr>
            <w:tcW w:w="1077" w:type="dxa"/>
            <w:tcBorders>
              <w:top w:val="single" w:color="auto" w:sz="6" w:space="0"/>
              <w:bottom w:val="single" w:color="auto" w:sz="12" w:space="0"/>
            </w:tcBorders>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12.75㎡</w:t>
            </w:r>
          </w:p>
        </w:tc>
        <w:tc>
          <w:tcPr>
            <w:tcW w:w="1105" w:type="dxa"/>
            <w:tcBorders>
              <w:top w:val="single" w:color="auto" w:sz="6" w:space="0"/>
              <w:bottom w:val="single" w:color="auto" w:sz="12" w:space="0"/>
            </w:tcBorders>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动物细胞室</w:t>
            </w:r>
          </w:p>
        </w:tc>
        <w:tc>
          <w:tcPr>
            <w:tcW w:w="157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储能交叉预留实验室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14.28㎡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诺奖与光学实验室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激光原理与应用实验室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数控综合制造实验室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光机电集成实验室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激光加工与3D打印实验室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光纤陀螺实验室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驱动控制实验室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体验区</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交叉预留实验室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医疗器械实验室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医工交叉预留实验室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学生自主开发创新实验室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讨论室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数值模拟实验室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keepNext w:val="0"/>
              <w:keepLines w:val="0"/>
              <w:widowControl/>
              <w:suppressLineNumbers w:val="0"/>
              <w:snapToGrid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16.17㎡</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心血管器械实验室</w:t>
            </w:r>
          </w:p>
        </w:tc>
        <w:tc>
          <w:tcPr>
            <w:tcW w:w="157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手动卷帘-遮光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骨科器械实验室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认知体验馆</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1.585</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15.45㎡</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三层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新工科预留实验室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7.14㎡</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大气化学实验室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大气物理实验室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物理海洋实验室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5.39㎡</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未来技术学院预留实验室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公共多功能会议室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天气预报实验室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16.17㎡</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海洋调查实验室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大气探测实验室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1.960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2.750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10.78㎡</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四层</w:t>
            </w: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光电材料生长与制备实验室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光学精密加工与检测实验室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光电薄膜实验室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更衣室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1.700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4.25㎡</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五层</w:t>
            </w: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电磁场与微波实验室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光通信与网络实验室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软件无线电实验室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计算机网络实验室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多功能室</w:t>
            </w:r>
          </w:p>
        </w:tc>
        <w:tc>
          <w:tcPr>
            <w:tcW w:w="1575" w:type="dxa"/>
            <w:vMerge w:val="continue"/>
            <w:noWrap w:val="0"/>
            <w:vAlign w:val="top"/>
          </w:tcPr>
          <w:p>
            <w:pPr>
              <w:widowControl/>
              <w:jc w:val="center"/>
              <w:rPr>
                <w:rFonts w:hint="eastAsia" w:ascii="宋体" w:hAnsi="宋体" w:cs="宋体"/>
                <w:color w:val="000000"/>
                <w:sz w:val="20"/>
                <w:highlight w:val="none"/>
              </w:rPr>
            </w:pP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激光雷达实验室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机器视觉实验室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光源与照明基础实验室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25.00㎡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光电测量基础实验室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电动卷帘-遮光</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30.00㎡</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电动卷帘-控制</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6.00台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电动卷帘-电机</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2.500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6.00台</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一层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植物实验室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13.80m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4.830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4.83m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3.500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3.50m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3.400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7.00m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2.250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2.25m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13.80m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4.53m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13.80m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4.430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4.43m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13.80m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4.530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4.53m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样品准备室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3.690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3.69m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激光加工与3D打印实验室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5.87m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二层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应用光学基础实验室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3.06m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12.48m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92.40m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10.280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30.84m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24.00m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8.410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8.41m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24.00m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8.070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8.07m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近代光学基础实验室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12.48m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51.60m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5.44m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激光原理与技术基础实验室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12.48m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51.60m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center"/>
          </w:tcPr>
          <w:p>
            <w:pPr>
              <w:pStyle w:val="16"/>
              <w:rPr>
                <w:color w:val="000000"/>
                <w:highlight w:val="none"/>
              </w:rPr>
            </w:pPr>
          </w:p>
        </w:tc>
        <w:tc>
          <w:tcPr>
            <w:tcW w:w="1435" w:type="dxa"/>
            <w:vMerge w:val="continue"/>
            <w:noWrap w:val="0"/>
            <w:vAlign w:val="center"/>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5.44m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eastAsia" w:ascii="宋体" w:hAnsi="宋体" w:cs="宋体"/>
                <w:color w:val="000000"/>
                <w:sz w:val="20"/>
                <w:highlight w:val="none"/>
                <w:lang w:bidi="ar"/>
              </w:rPr>
              <w:t>二层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光源与照明基础实验室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72.00m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7.620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22.86m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92.40m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10.380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31.14m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光电测量基础实验室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7.530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7.53m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7.170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7.17m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20.60m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6.820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6.82m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37.60m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13.160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13.16m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10.770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10.77m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10.630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10.63m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三层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仪器设备标定室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3.600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restart"/>
            <w:noWrap w:val="0"/>
            <w:vAlign w:val="center"/>
          </w:tcPr>
          <w:p>
            <w:pPr>
              <w:widowControl/>
              <w:snapToGrid w:val="0"/>
              <w:spacing w:line="240" w:lineRule="auto"/>
              <w:jc w:val="center"/>
              <w:textAlignment w:val="center"/>
              <w:rPr>
                <w:rFonts w:ascii="宋体" w:hAnsi="宋体" w:cs="宋体"/>
                <w:color w:val="000000"/>
                <w:sz w:val="20"/>
                <w:highlight w:val="none"/>
              </w:rPr>
            </w:pPr>
            <w:r>
              <w:rPr>
                <w:rFonts w:hint="default" w:ascii="宋体" w:hAnsi="宋体" w:eastAsia="宋体" w:cs="宋体"/>
                <w:color w:val="000000"/>
                <w:sz w:val="20"/>
                <w:highlight w:val="none"/>
                <w:lang w:val="en-US" w:eastAsia="zh-CN" w:bidi="ar"/>
              </w:rPr>
              <w:t>四层</w:t>
            </w: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信息光学实验室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3.01m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12.48m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51.60m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红外与太赫兹实验室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3.01m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2.840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2.84m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rPr>
            </w:pPr>
            <w:r>
              <w:rPr>
                <w:rFonts w:hint="default" w:ascii="宋体" w:hAnsi="宋体" w:eastAsia="宋体" w:cs="宋体"/>
                <w:color w:val="000000"/>
                <w:sz w:val="20"/>
                <w:highlight w:val="none"/>
                <w:lang w:val="en-US" w:eastAsia="zh-CN" w:bidi="ar"/>
              </w:rPr>
              <w:t>激光技术与精密光谱实验室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3.060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3.06m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6.24m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10.40m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3.010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3.01m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restart"/>
            <w:noWrap w:val="0"/>
            <w:vAlign w:val="center"/>
          </w:tcPr>
          <w:p>
            <w:pPr>
              <w:widowControl/>
              <w:snapToGrid w:val="0"/>
              <w:spacing w:line="240" w:lineRule="auto"/>
              <w:jc w:val="center"/>
              <w:textAlignment w:val="center"/>
              <w:rPr>
                <w:rFonts w:hint="eastAsia" w:ascii="宋体" w:hAnsi="宋体" w:cs="宋体"/>
                <w:color w:val="000000"/>
                <w:sz w:val="20"/>
                <w:highlight w:val="none"/>
                <w:lang w:val="en-US" w:eastAsia="zh-CN" w:bidi="ar-SA"/>
              </w:rPr>
            </w:pPr>
            <w:r>
              <w:rPr>
                <w:rFonts w:hint="default" w:ascii="宋体" w:hAnsi="宋体" w:eastAsia="宋体" w:cs="宋体"/>
                <w:color w:val="000000"/>
                <w:sz w:val="20"/>
                <w:highlight w:val="none"/>
                <w:lang w:val="en-US" w:eastAsia="zh-CN" w:bidi="ar"/>
              </w:rPr>
              <w:t>光电通讯与传感实验室</w:t>
            </w: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34.40m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6.240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12.48m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68.80m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5.800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23.20m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w:t>
            </w:r>
            <w:r>
              <w:rPr>
                <w:rFonts w:hint="eastAsia" w:ascii="宋体" w:hAnsi="宋体" w:eastAsia="宋体" w:cs="宋体"/>
                <w:color w:val="000000"/>
                <w:sz w:val="20"/>
                <w:highlight w:val="none"/>
                <w:lang w:val="en-US" w:eastAsia="zh-CN" w:bidi="ar"/>
              </w:rPr>
              <w:t>全黑布帘</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17.20m</w:t>
            </w:r>
          </w:p>
        </w:tc>
        <w:tc>
          <w:tcPr>
            <w:tcW w:w="1105" w:type="dxa"/>
            <w:noWrap w:val="0"/>
            <w:vAlign w:val="top"/>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6" w:hRule="atLeast"/>
          <w:jc w:val="center"/>
        </w:trPr>
        <w:tc>
          <w:tcPr>
            <w:tcW w:w="728" w:type="dxa"/>
            <w:vMerge w:val="continue"/>
            <w:noWrap w:val="0"/>
            <w:vAlign w:val="top"/>
          </w:tcPr>
          <w:p>
            <w:pPr>
              <w:pStyle w:val="16"/>
              <w:rPr>
                <w:color w:val="000000"/>
                <w:highlight w:val="none"/>
              </w:rPr>
            </w:pPr>
          </w:p>
        </w:tc>
        <w:tc>
          <w:tcPr>
            <w:tcW w:w="1435" w:type="dxa"/>
            <w:vMerge w:val="continue"/>
            <w:noWrap w:val="0"/>
            <w:vAlign w:val="top"/>
          </w:tcPr>
          <w:p>
            <w:pPr>
              <w:widowControl/>
              <w:jc w:val="center"/>
              <w:rPr>
                <w:rFonts w:hint="eastAsia" w:ascii="宋体" w:hAnsi="宋体" w:cs="宋体"/>
                <w:color w:val="000000"/>
                <w:sz w:val="20"/>
                <w:highlight w:val="none"/>
              </w:rPr>
            </w:pPr>
          </w:p>
        </w:tc>
        <w:tc>
          <w:tcPr>
            <w:tcW w:w="1575"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手动开合帘-轨道</w:t>
            </w:r>
          </w:p>
        </w:tc>
        <w:tc>
          <w:tcPr>
            <w:tcW w:w="967"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5.440</w:t>
            </w:r>
          </w:p>
        </w:tc>
        <w:tc>
          <w:tcPr>
            <w:tcW w:w="968" w:type="dxa"/>
            <w:noWrap w:val="0"/>
            <w:vAlign w:val="center"/>
          </w:tcPr>
          <w:p>
            <w:pPr>
              <w:widowControl/>
              <w:snapToGrid w:val="0"/>
              <w:spacing w:line="240" w:lineRule="auto"/>
              <w:jc w:val="center"/>
              <w:textAlignment w:val="center"/>
              <w:rPr>
                <w:rFonts w:hint="eastAsia" w:ascii="宋体" w:hAnsi="宋体" w:eastAsia="宋体" w:cs="宋体"/>
                <w:color w:val="000000"/>
                <w:sz w:val="20"/>
                <w:highlight w:val="none"/>
                <w:lang w:val="en-US" w:eastAsia="zh-CN" w:bidi="ar"/>
              </w:rPr>
            </w:pPr>
            <w:r>
              <w:rPr>
                <w:rFonts w:hint="default" w:ascii="宋体" w:hAnsi="宋体" w:eastAsia="宋体" w:cs="宋体"/>
                <w:color w:val="000000"/>
                <w:sz w:val="20"/>
                <w:highlight w:val="none"/>
                <w:lang w:val="en-US" w:eastAsia="zh-CN" w:bidi="ar"/>
              </w:rPr>
              <w:t>3.200</w:t>
            </w:r>
          </w:p>
        </w:tc>
        <w:tc>
          <w:tcPr>
            <w:tcW w:w="1459" w:type="dxa"/>
            <w:noWrap w:val="0"/>
            <w:vAlign w:val="top"/>
          </w:tcPr>
          <w:p>
            <w:pPr>
              <w:pStyle w:val="16"/>
              <w:rPr>
                <w:color w:val="000000"/>
                <w:highlight w:val="none"/>
              </w:rPr>
            </w:pPr>
          </w:p>
        </w:tc>
        <w:tc>
          <w:tcPr>
            <w:tcW w:w="1077" w:type="dxa"/>
            <w:noWrap w:val="0"/>
            <w:vAlign w:val="center"/>
          </w:tcPr>
          <w:p>
            <w:pPr>
              <w:widowControl/>
              <w:snapToGrid w:val="0"/>
              <w:spacing w:line="240" w:lineRule="auto"/>
              <w:jc w:val="center"/>
              <w:textAlignment w:val="center"/>
              <w:rPr>
                <w:rFonts w:hint="eastAsia" w:ascii="宋体" w:hAnsi="宋体" w:eastAsia="宋体" w:cs="宋体"/>
                <w:color w:val="000000"/>
                <w:sz w:val="20"/>
                <w:szCs w:val="20"/>
                <w:highlight w:val="none"/>
                <w:lang w:val="en-US" w:eastAsia="zh-CN" w:bidi="ar"/>
              </w:rPr>
            </w:pPr>
            <w:r>
              <w:rPr>
                <w:rFonts w:hint="eastAsia"/>
                <w:sz w:val="20"/>
                <w:szCs w:val="20"/>
              </w:rPr>
              <w:t>5.44m</w:t>
            </w:r>
          </w:p>
        </w:tc>
        <w:tc>
          <w:tcPr>
            <w:tcW w:w="1105" w:type="dxa"/>
            <w:noWrap w:val="0"/>
            <w:vAlign w:val="top"/>
          </w:tcPr>
          <w:p>
            <w:pPr>
              <w:pStyle w:val="16"/>
              <w:rPr>
                <w:color w:val="000000"/>
                <w:highlight w:val="none"/>
              </w:rPr>
            </w:pPr>
          </w:p>
        </w:tc>
      </w:tr>
    </w:tbl>
    <w:p>
      <w:pPr>
        <w:pStyle w:val="12"/>
        <w:tabs>
          <w:tab w:val="left" w:pos="5320"/>
        </w:tabs>
        <w:spacing w:before="360" w:beforeLines="150"/>
        <w:rPr>
          <w:color w:val="000000"/>
          <w:highlight w:val="none"/>
        </w:rPr>
      </w:pPr>
      <w:r>
        <w:rPr>
          <w:color w:val="000000"/>
          <w:highlight w:val="none"/>
        </w:rPr>
        <w:t>投标人授权代表签字：_________________</w:t>
      </w:r>
      <w:r>
        <w:rPr>
          <w:color w:val="000000"/>
          <w:highlight w:val="none"/>
        </w:rPr>
        <w:tab/>
      </w:r>
      <w:r>
        <w:rPr>
          <w:color w:val="000000"/>
          <w:highlight w:val="none"/>
        </w:rPr>
        <w:t>公章：_________________</w:t>
      </w:r>
    </w:p>
    <w:p>
      <w:pPr>
        <w:pStyle w:val="82"/>
        <w:rPr>
          <w:rFonts w:ascii="Times New Roman"/>
          <w:color w:val="000000"/>
          <w:highlight w:val="none"/>
        </w:rPr>
      </w:pPr>
      <w:r>
        <w:rPr>
          <w:rFonts w:ascii="Times New Roman"/>
          <w:color w:val="000000"/>
          <w:highlight w:val="none"/>
        </w:rPr>
        <w:br w:type="page"/>
      </w:r>
      <w:bookmarkStart w:id="732" w:name="_Toc503130798"/>
      <w:bookmarkStart w:id="733" w:name="_Toc512602455"/>
      <w:bookmarkStart w:id="734" w:name="_Toc4849"/>
      <w:bookmarkStart w:id="735" w:name="_Toc2063641"/>
      <w:bookmarkStart w:id="736" w:name="_Toc389457533"/>
      <w:bookmarkStart w:id="737" w:name="_Toc503130737"/>
      <w:bookmarkStart w:id="738" w:name="_Toc495406867"/>
      <w:bookmarkStart w:id="739" w:name="_Toc8343775"/>
      <w:bookmarkStart w:id="740" w:name="_Toc450211811"/>
      <w:bookmarkStart w:id="741" w:name="_Toc389653605"/>
      <w:bookmarkStart w:id="742" w:name="_Toc503130414"/>
      <w:bookmarkStart w:id="743" w:name="_Toc2063984"/>
      <w:bookmarkStart w:id="744" w:name="_Toc491700934"/>
      <w:bookmarkStart w:id="745" w:name="_Toc302374210"/>
      <w:bookmarkStart w:id="746" w:name="_Toc2063766"/>
      <w:bookmarkStart w:id="747" w:name="_Toc2063897"/>
      <w:bookmarkStart w:id="748" w:name="_Toc5116274"/>
      <w:r>
        <w:rPr>
          <w:rFonts w:ascii="Times New Roman"/>
          <w:color w:val="000000"/>
          <w:highlight w:val="none"/>
        </w:rPr>
        <w:t>技术规格响应/偏离表格式</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Pr>
        <w:pStyle w:val="12"/>
        <w:rPr>
          <w:color w:val="000000"/>
          <w:highlight w:val="none"/>
        </w:rPr>
      </w:pPr>
      <w:r>
        <w:rPr>
          <w:rFonts w:hint="eastAsia"/>
          <w:color w:val="000000"/>
          <w:highlight w:val="none"/>
        </w:rPr>
        <w:t>项目编号</w:t>
      </w:r>
      <w:r>
        <w:rPr>
          <w:color w:val="000000"/>
          <w:highlight w:val="none"/>
        </w:rPr>
        <w:t>：___</w:t>
      </w:r>
    </w:p>
    <w:tbl>
      <w:tblPr>
        <w:tblStyle w:val="33"/>
        <w:tblW w:w="0" w:type="auto"/>
        <w:tblInd w:w="-1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667"/>
        <w:gridCol w:w="1797"/>
        <w:gridCol w:w="1382"/>
        <w:gridCol w:w="1159"/>
        <w:gridCol w:w="1159"/>
        <w:gridCol w:w="926"/>
        <w:gridCol w:w="2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7" w:hRule="atLeast"/>
          <w:tblHeader/>
        </w:trPr>
        <w:tc>
          <w:tcPr>
            <w:tcW w:w="667"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序号</w:t>
            </w:r>
          </w:p>
        </w:tc>
        <w:tc>
          <w:tcPr>
            <w:tcW w:w="1797"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货物</w:t>
            </w:r>
            <w:r>
              <w:rPr>
                <w:rFonts w:ascii="Times New Roman" w:hAnsi="Times New Roman"/>
                <w:color w:val="000000"/>
                <w:highlight w:val="none"/>
              </w:rPr>
              <w:br w:type="textWrapping"/>
            </w:r>
            <w:r>
              <w:rPr>
                <w:rFonts w:ascii="Times New Roman" w:hAnsi="Times New Roman"/>
                <w:color w:val="000000"/>
                <w:highlight w:val="none"/>
              </w:rPr>
              <w:t>名称</w:t>
            </w:r>
          </w:p>
        </w:tc>
        <w:tc>
          <w:tcPr>
            <w:tcW w:w="1382"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招标文件</w:t>
            </w:r>
            <w:r>
              <w:rPr>
                <w:rFonts w:ascii="Times New Roman" w:hAnsi="Times New Roman"/>
                <w:color w:val="000000"/>
                <w:highlight w:val="none"/>
              </w:rPr>
              <w:br w:type="textWrapping"/>
            </w:r>
            <w:r>
              <w:rPr>
                <w:rFonts w:ascii="Times New Roman" w:hAnsi="Times New Roman"/>
                <w:color w:val="000000"/>
                <w:highlight w:val="none"/>
              </w:rPr>
              <w:t>条目号</w:t>
            </w:r>
          </w:p>
        </w:tc>
        <w:tc>
          <w:tcPr>
            <w:tcW w:w="1159"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招标规格</w:t>
            </w:r>
          </w:p>
        </w:tc>
        <w:tc>
          <w:tcPr>
            <w:tcW w:w="1159"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投标规格</w:t>
            </w:r>
          </w:p>
        </w:tc>
        <w:tc>
          <w:tcPr>
            <w:tcW w:w="926"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响应/</w:t>
            </w:r>
            <w:r>
              <w:rPr>
                <w:rFonts w:ascii="Times New Roman" w:hAnsi="Times New Roman"/>
                <w:color w:val="000000"/>
                <w:highlight w:val="none"/>
              </w:rPr>
              <w:br w:type="textWrapping"/>
            </w:r>
            <w:r>
              <w:rPr>
                <w:rFonts w:ascii="Times New Roman" w:hAnsi="Times New Roman"/>
                <w:color w:val="000000"/>
                <w:highlight w:val="none"/>
              </w:rPr>
              <w:t>偏离</w:t>
            </w:r>
          </w:p>
        </w:tc>
        <w:tc>
          <w:tcPr>
            <w:tcW w:w="2440"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tcBorders>
              <w:top w:val="double" w:color="auto" w:sz="6" w:space="0"/>
            </w:tcBorders>
            <w:noWrap w:val="0"/>
            <w:vAlign w:val="center"/>
          </w:tcPr>
          <w:p>
            <w:pPr>
              <w:pStyle w:val="16"/>
              <w:rPr>
                <w:color w:val="000000"/>
                <w:highlight w:val="none"/>
              </w:rPr>
            </w:pPr>
          </w:p>
        </w:tc>
        <w:tc>
          <w:tcPr>
            <w:tcW w:w="1797" w:type="dxa"/>
            <w:tcBorders>
              <w:top w:val="double" w:color="auto" w:sz="6" w:space="0"/>
            </w:tcBorders>
            <w:noWrap w:val="0"/>
            <w:vAlign w:val="center"/>
          </w:tcPr>
          <w:p>
            <w:pPr>
              <w:pStyle w:val="16"/>
              <w:rPr>
                <w:color w:val="000000"/>
                <w:highlight w:val="none"/>
              </w:rPr>
            </w:pPr>
          </w:p>
        </w:tc>
        <w:tc>
          <w:tcPr>
            <w:tcW w:w="1382" w:type="dxa"/>
            <w:tcBorders>
              <w:top w:val="double" w:color="auto" w:sz="6" w:space="0"/>
            </w:tcBorders>
            <w:noWrap w:val="0"/>
            <w:vAlign w:val="center"/>
          </w:tcPr>
          <w:p>
            <w:pPr>
              <w:pStyle w:val="16"/>
              <w:rPr>
                <w:color w:val="000000"/>
                <w:highlight w:val="none"/>
              </w:rPr>
            </w:pPr>
          </w:p>
        </w:tc>
        <w:tc>
          <w:tcPr>
            <w:tcW w:w="1159" w:type="dxa"/>
            <w:tcBorders>
              <w:top w:val="double" w:color="auto" w:sz="6" w:space="0"/>
            </w:tcBorders>
            <w:noWrap w:val="0"/>
            <w:vAlign w:val="center"/>
          </w:tcPr>
          <w:p>
            <w:pPr>
              <w:pStyle w:val="16"/>
              <w:rPr>
                <w:color w:val="000000"/>
                <w:highlight w:val="none"/>
              </w:rPr>
            </w:pPr>
          </w:p>
        </w:tc>
        <w:tc>
          <w:tcPr>
            <w:tcW w:w="1159" w:type="dxa"/>
            <w:tcBorders>
              <w:top w:val="double" w:color="auto" w:sz="6" w:space="0"/>
            </w:tcBorders>
            <w:noWrap w:val="0"/>
            <w:vAlign w:val="center"/>
          </w:tcPr>
          <w:p>
            <w:pPr>
              <w:pStyle w:val="16"/>
              <w:rPr>
                <w:color w:val="000000"/>
                <w:highlight w:val="none"/>
              </w:rPr>
            </w:pPr>
          </w:p>
        </w:tc>
        <w:tc>
          <w:tcPr>
            <w:tcW w:w="926" w:type="dxa"/>
            <w:tcBorders>
              <w:top w:val="double" w:color="auto" w:sz="6" w:space="0"/>
            </w:tcBorders>
            <w:noWrap w:val="0"/>
            <w:vAlign w:val="center"/>
          </w:tcPr>
          <w:p>
            <w:pPr>
              <w:pStyle w:val="16"/>
              <w:rPr>
                <w:color w:val="000000"/>
                <w:highlight w:val="none"/>
              </w:rPr>
            </w:pPr>
          </w:p>
        </w:tc>
        <w:tc>
          <w:tcPr>
            <w:tcW w:w="2440" w:type="dxa"/>
            <w:tcBorders>
              <w:top w:val="double" w:color="auto" w:sz="6" w:space="0"/>
            </w:tcBorders>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7"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797" w:type="dxa"/>
            <w:noWrap w:val="0"/>
            <w:vAlign w:val="center"/>
          </w:tcPr>
          <w:p>
            <w:pPr>
              <w:pStyle w:val="16"/>
              <w:rPr>
                <w:color w:val="000000"/>
                <w:highlight w:val="none"/>
              </w:rPr>
            </w:pPr>
          </w:p>
        </w:tc>
        <w:tc>
          <w:tcPr>
            <w:tcW w:w="1382"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1159" w:type="dxa"/>
            <w:noWrap w:val="0"/>
            <w:vAlign w:val="center"/>
          </w:tcPr>
          <w:p>
            <w:pPr>
              <w:pStyle w:val="16"/>
              <w:rPr>
                <w:color w:val="000000"/>
                <w:highlight w:val="none"/>
              </w:rPr>
            </w:pPr>
          </w:p>
        </w:tc>
        <w:tc>
          <w:tcPr>
            <w:tcW w:w="926" w:type="dxa"/>
            <w:noWrap w:val="0"/>
            <w:vAlign w:val="center"/>
          </w:tcPr>
          <w:p>
            <w:pPr>
              <w:pStyle w:val="16"/>
              <w:rPr>
                <w:color w:val="000000"/>
                <w:highlight w:val="none"/>
              </w:rPr>
            </w:pPr>
          </w:p>
        </w:tc>
        <w:tc>
          <w:tcPr>
            <w:tcW w:w="2440" w:type="dxa"/>
            <w:noWrap w:val="0"/>
            <w:vAlign w:val="center"/>
          </w:tcPr>
          <w:p>
            <w:pPr>
              <w:pStyle w:val="16"/>
              <w:rPr>
                <w:color w:val="000000"/>
                <w:highlight w:val="none"/>
              </w:rPr>
            </w:pPr>
          </w:p>
        </w:tc>
      </w:tr>
    </w:tbl>
    <w:p>
      <w:pPr>
        <w:pStyle w:val="12"/>
        <w:tabs>
          <w:tab w:val="left" w:pos="5320"/>
        </w:tabs>
        <w:spacing w:before="360" w:beforeLines="150"/>
        <w:rPr>
          <w:color w:val="000000"/>
          <w:highlight w:val="none"/>
        </w:rPr>
      </w:pPr>
      <w:r>
        <w:rPr>
          <w:color w:val="000000"/>
          <w:highlight w:val="none"/>
        </w:rPr>
        <w:t>投标人授权代表签字：_________________</w:t>
      </w:r>
      <w:r>
        <w:rPr>
          <w:color w:val="000000"/>
          <w:highlight w:val="none"/>
        </w:rPr>
        <w:tab/>
      </w:r>
      <w:r>
        <w:rPr>
          <w:color w:val="000000"/>
          <w:highlight w:val="none"/>
        </w:rPr>
        <w:t>公章：_________________</w:t>
      </w:r>
    </w:p>
    <w:p>
      <w:pPr>
        <w:pStyle w:val="12"/>
        <w:rPr>
          <w:color w:val="000000"/>
          <w:highlight w:val="none"/>
        </w:rPr>
      </w:pPr>
    </w:p>
    <w:p>
      <w:pPr>
        <w:pStyle w:val="60"/>
        <w:rPr>
          <w:rFonts w:hint="eastAsia"/>
          <w:color w:val="000000"/>
          <w:highlight w:val="none"/>
        </w:rPr>
      </w:pPr>
      <w:r>
        <w:rPr>
          <w:color w:val="000000"/>
          <w:highlight w:val="none"/>
        </w:rPr>
        <w:t>注：投标人应对照招标文件</w:t>
      </w:r>
      <w:r>
        <w:rPr>
          <w:rStyle w:val="66"/>
          <w:rFonts w:ascii="Times New Roman"/>
          <w:color w:val="000000"/>
          <w:highlight w:val="none"/>
        </w:rPr>
        <w:t>技术规格</w:t>
      </w:r>
      <w:r>
        <w:rPr>
          <w:color w:val="000000"/>
          <w:highlight w:val="none"/>
        </w:rPr>
        <w:t>，逐条说明所提供货物</w:t>
      </w:r>
      <w:r>
        <w:rPr>
          <w:rFonts w:hint="eastAsia"/>
          <w:color w:val="000000"/>
          <w:highlight w:val="none"/>
        </w:rPr>
        <w:t>及</w:t>
      </w:r>
      <w:r>
        <w:rPr>
          <w:color w:val="000000"/>
          <w:highlight w:val="none"/>
        </w:rPr>
        <w:t>服务已对招标文件的</w:t>
      </w:r>
      <w:r>
        <w:rPr>
          <w:rStyle w:val="66"/>
          <w:rFonts w:ascii="Times New Roman"/>
          <w:color w:val="000000"/>
          <w:highlight w:val="none"/>
        </w:rPr>
        <w:t>技术规格</w:t>
      </w:r>
      <w:r>
        <w:rPr>
          <w:color w:val="000000"/>
          <w:highlight w:val="none"/>
        </w:rPr>
        <w:t>做出了实质性的响应，并申明与</w:t>
      </w:r>
      <w:r>
        <w:rPr>
          <w:rStyle w:val="66"/>
          <w:rFonts w:ascii="Times New Roman"/>
          <w:color w:val="000000"/>
          <w:highlight w:val="none"/>
        </w:rPr>
        <w:t>技术规格</w:t>
      </w:r>
      <w:r>
        <w:rPr>
          <w:color w:val="000000"/>
          <w:highlight w:val="none"/>
        </w:rPr>
        <w:t>条文的偏差和例外。特别对有具体参数要求的指标，投标人必须提供所投设备的具体参数值。</w:t>
      </w:r>
    </w:p>
    <w:p>
      <w:pPr>
        <w:pStyle w:val="60"/>
        <w:rPr>
          <w:color w:val="000000"/>
          <w:highlight w:val="none"/>
        </w:rPr>
      </w:pPr>
    </w:p>
    <w:p>
      <w:pPr>
        <w:pStyle w:val="82"/>
        <w:rPr>
          <w:rFonts w:ascii="Times New Roman"/>
          <w:color w:val="000000"/>
          <w:highlight w:val="none"/>
        </w:rPr>
      </w:pPr>
      <w:r>
        <w:rPr>
          <w:rFonts w:ascii="Times New Roman"/>
          <w:color w:val="000000"/>
          <w:highlight w:val="none"/>
          <w:u w:val="single"/>
        </w:rPr>
        <w:br w:type="page"/>
      </w:r>
      <w:bookmarkStart w:id="749" w:name="_Toc503130415"/>
      <w:bookmarkStart w:id="750" w:name="_Toc495406868"/>
      <w:bookmarkStart w:id="751" w:name="_Toc450211812"/>
      <w:bookmarkStart w:id="752" w:name="_Toc503130738"/>
      <w:bookmarkStart w:id="753" w:name="_Toc389457534"/>
      <w:bookmarkStart w:id="754" w:name="_Toc302374211"/>
      <w:bookmarkStart w:id="755" w:name="_Toc491700935"/>
      <w:bookmarkStart w:id="756" w:name="_Toc512602456"/>
      <w:bookmarkStart w:id="757" w:name="_Toc5116275"/>
      <w:bookmarkStart w:id="758" w:name="_Toc503130799"/>
      <w:bookmarkStart w:id="759" w:name="_Toc389653606"/>
      <w:bookmarkStart w:id="760" w:name="_Toc24380"/>
      <w:r>
        <w:rPr>
          <w:rFonts w:ascii="Times New Roman"/>
          <w:color w:val="000000"/>
          <w:highlight w:val="none"/>
        </w:rPr>
        <w:t>商务条款响应/偏离表</w:t>
      </w:r>
      <w:bookmarkEnd w:id="749"/>
      <w:bookmarkEnd w:id="750"/>
      <w:bookmarkEnd w:id="751"/>
      <w:bookmarkEnd w:id="752"/>
      <w:bookmarkEnd w:id="753"/>
      <w:bookmarkEnd w:id="754"/>
      <w:bookmarkEnd w:id="755"/>
      <w:bookmarkEnd w:id="756"/>
      <w:bookmarkEnd w:id="757"/>
      <w:bookmarkEnd w:id="758"/>
      <w:bookmarkEnd w:id="759"/>
      <w:bookmarkEnd w:id="760"/>
    </w:p>
    <w:p>
      <w:pPr>
        <w:pStyle w:val="12"/>
        <w:rPr>
          <w:color w:val="000000"/>
          <w:highlight w:val="none"/>
        </w:rPr>
      </w:pPr>
      <w:r>
        <w:rPr>
          <w:rFonts w:hint="eastAsia"/>
          <w:color w:val="000000"/>
          <w:highlight w:val="none"/>
        </w:rPr>
        <w:t>项目编号</w:t>
      </w:r>
      <w:r>
        <w:rPr>
          <w:color w:val="000000"/>
          <w:highlight w:val="none"/>
        </w:rPr>
        <w:t>：___</w:t>
      </w:r>
    </w:p>
    <w:tbl>
      <w:tblPr>
        <w:tblStyle w:val="33"/>
        <w:tblW w:w="0" w:type="auto"/>
        <w:tblInd w:w="-1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667"/>
        <w:gridCol w:w="1643"/>
        <w:gridCol w:w="2770"/>
        <w:gridCol w:w="2770"/>
        <w:gridCol w:w="16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7" w:hRule="atLeast"/>
          <w:tblHeader/>
        </w:trPr>
        <w:tc>
          <w:tcPr>
            <w:tcW w:w="667"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序号</w:t>
            </w:r>
          </w:p>
        </w:tc>
        <w:tc>
          <w:tcPr>
            <w:tcW w:w="1643"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招标文件条目号</w:t>
            </w:r>
          </w:p>
        </w:tc>
        <w:tc>
          <w:tcPr>
            <w:tcW w:w="2770"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招标文件的商务条款</w:t>
            </w:r>
          </w:p>
        </w:tc>
        <w:tc>
          <w:tcPr>
            <w:tcW w:w="2770"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投标文件的商务条款</w:t>
            </w:r>
          </w:p>
        </w:tc>
        <w:tc>
          <w:tcPr>
            <w:tcW w:w="1680" w:type="dxa"/>
            <w:tcBorders>
              <w:top w:val="single" w:color="auto" w:sz="12" w:space="0"/>
              <w:bottom w:val="double" w:color="auto" w:sz="6" w:space="0"/>
            </w:tcBorders>
            <w:noWrap w:val="0"/>
            <w:vAlign w:val="center"/>
          </w:tcPr>
          <w:p>
            <w:pPr>
              <w:pStyle w:val="17"/>
              <w:ind w:left="72" w:right="72"/>
              <w:rPr>
                <w:rFonts w:ascii="Times New Roman" w:hAnsi="Times New Roman"/>
                <w:color w:val="000000"/>
                <w:highlight w:val="none"/>
              </w:rPr>
            </w:pPr>
            <w:r>
              <w:rPr>
                <w:rFonts w:ascii="Times New Roman" w:hAnsi="Times New Roman"/>
                <w:color w:val="000000"/>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tcBorders>
              <w:top w:val="double" w:color="auto" w:sz="6" w:space="0"/>
            </w:tcBorders>
            <w:noWrap w:val="0"/>
            <w:vAlign w:val="center"/>
          </w:tcPr>
          <w:p>
            <w:pPr>
              <w:pStyle w:val="16"/>
              <w:rPr>
                <w:color w:val="000000"/>
                <w:highlight w:val="none"/>
              </w:rPr>
            </w:pPr>
          </w:p>
        </w:tc>
        <w:tc>
          <w:tcPr>
            <w:tcW w:w="1643" w:type="dxa"/>
            <w:tcBorders>
              <w:top w:val="double" w:color="auto" w:sz="6" w:space="0"/>
            </w:tcBorders>
            <w:noWrap w:val="0"/>
            <w:vAlign w:val="center"/>
          </w:tcPr>
          <w:p>
            <w:pPr>
              <w:pStyle w:val="16"/>
              <w:rPr>
                <w:color w:val="000000"/>
                <w:highlight w:val="none"/>
              </w:rPr>
            </w:pPr>
          </w:p>
        </w:tc>
        <w:tc>
          <w:tcPr>
            <w:tcW w:w="2770" w:type="dxa"/>
            <w:tcBorders>
              <w:top w:val="double" w:color="auto" w:sz="6" w:space="0"/>
            </w:tcBorders>
            <w:noWrap w:val="0"/>
            <w:vAlign w:val="center"/>
          </w:tcPr>
          <w:p>
            <w:pPr>
              <w:pStyle w:val="16"/>
              <w:rPr>
                <w:color w:val="000000"/>
                <w:highlight w:val="none"/>
              </w:rPr>
            </w:pPr>
          </w:p>
        </w:tc>
        <w:tc>
          <w:tcPr>
            <w:tcW w:w="2770" w:type="dxa"/>
            <w:tcBorders>
              <w:top w:val="double" w:color="auto" w:sz="6" w:space="0"/>
            </w:tcBorders>
            <w:noWrap w:val="0"/>
            <w:vAlign w:val="center"/>
          </w:tcPr>
          <w:p>
            <w:pPr>
              <w:pStyle w:val="16"/>
              <w:rPr>
                <w:color w:val="000000"/>
                <w:highlight w:val="none"/>
              </w:rPr>
            </w:pPr>
          </w:p>
        </w:tc>
        <w:tc>
          <w:tcPr>
            <w:tcW w:w="1680" w:type="dxa"/>
            <w:tcBorders>
              <w:top w:val="double" w:color="auto" w:sz="6" w:space="0"/>
            </w:tcBorders>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7"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wBefore w:w="0" w:type="dxa"/>
          <w:trHeight w:val="818" w:hRule="atLeast"/>
        </w:trPr>
        <w:tc>
          <w:tcPr>
            <w:tcW w:w="667" w:type="dxa"/>
            <w:noWrap w:val="0"/>
            <w:vAlign w:val="center"/>
          </w:tcPr>
          <w:p>
            <w:pPr>
              <w:pStyle w:val="16"/>
              <w:rPr>
                <w:color w:val="000000"/>
                <w:highlight w:val="none"/>
              </w:rPr>
            </w:pPr>
          </w:p>
        </w:tc>
        <w:tc>
          <w:tcPr>
            <w:tcW w:w="1643"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2770" w:type="dxa"/>
            <w:noWrap w:val="0"/>
            <w:vAlign w:val="center"/>
          </w:tcPr>
          <w:p>
            <w:pPr>
              <w:pStyle w:val="16"/>
              <w:rPr>
                <w:color w:val="000000"/>
                <w:highlight w:val="none"/>
              </w:rPr>
            </w:pPr>
          </w:p>
        </w:tc>
        <w:tc>
          <w:tcPr>
            <w:tcW w:w="1680" w:type="dxa"/>
            <w:noWrap w:val="0"/>
            <w:vAlign w:val="center"/>
          </w:tcPr>
          <w:p>
            <w:pPr>
              <w:pStyle w:val="16"/>
              <w:rPr>
                <w:color w:val="000000"/>
                <w:highlight w:val="none"/>
              </w:rPr>
            </w:pPr>
          </w:p>
        </w:tc>
      </w:tr>
    </w:tbl>
    <w:p>
      <w:pPr>
        <w:pStyle w:val="12"/>
        <w:tabs>
          <w:tab w:val="left" w:pos="5320"/>
        </w:tabs>
        <w:spacing w:before="360" w:beforeLines="150"/>
        <w:rPr>
          <w:color w:val="000000"/>
          <w:highlight w:val="none"/>
        </w:rPr>
      </w:pPr>
      <w:r>
        <w:rPr>
          <w:color w:val="000000"/>
          <w:highlight w:val="none"/>
        </w:rPr>
        <w:t>投标人授权代表签字：_________________</w:t>
      </w:r>
      <w:r>
        <w:rPr>
          <w:color w:val="000000"/>
          <w:highlight w:val="none"/>
        </w:rPr>
        <w:tab/>
      </w:r>
      <w:r>
        <w:rPr>
          <w:color w:val="000000"/>
          <w:highlight w:val="none"/>
        </w:rPr>
        <w:t>公章：_________________</w:t>
      </w:r>
    </w:p>
    <w:p>
      <w:pPr>
        <w:pStyle w:val="12"/>
        <w:rPr>
          <w:color w:val="000000"/>
          <w:highlight w:val="none"/>
        </w:rPr>
      </w:pPr>
    </w:p>
    <w:p>
      <w:pPr>
        <w:pStyle w:val="60"/>
        <w:rPr>
          <w:color w:val="000000"/>
          <w:highlight w:val="none"/>
        </w:rPr>
      </w:pPr>
      <w:r>
        <w:rPr>
          <w:color w:val="000000"/>
          <w:highlight w:val="none"/>
        </w:rPr>
        <w:t>注：若投标人对招标文件商务条款无偏离，则可在本表中注明“所有条款无偏离”。</w:t>
      </w:r>
    </w:p>
    <w:p>
      <w:pPr>
        <w:pStyle w:val="82"/>
        <w:rPr>
          <w:rFonts w:ascii="Times New Roman"/>
          <w:color w:val="000000"/>
          <w:highlight w:val="none"/>
        </w:rPr>
      </w:pPr>
      <w:r>
        <w:rPr>
          <w:rFonts w:ascii="Times New Roman"/>
          <w:color w:val="000000"/>
          <w:highlight w:val="none"/>
          <w:u w:val="single"/>
        </w:rPr>
        <w:br w:type="page"/>
      </w:r>
      <w:bookmarkStart w:id="761" w:name="_Toc503130416"/>
      <w:bookmarkStart w:id="762" w:name="_Toc495406869"/>
      <w:bookmarkStart w:id="763" w:name="_Toc491700936"/>
      <w:bookmarkStart w:id="764" w:name="_Toc2063767"/>
      <w:bookmarkStart w:id="765" w:name="_Toc450211813"/>
      <w:bookmarkStart w:id="766" w:name="_Toc302374212"/>
      <w:bookmarkStart w:id="767" w:name="_Toc2063985"/>
      <w:bookmarkStart w:id="768" w:name="_Toc503130800"/>
      <w:bookmarkStart w:id="769" w:name="_Toc389457535"/>
      <w:bookmarkStart w:id="770" w:name="_Toc389653607"/>
      <w:bookmarkStart w:id="771" w:name="_Toc2063898"/>
      <w:bookmarkStart w:id="772" w:name="_Toc8343776"/>
      <w:bookmarkStart w:id="773" w:name="_Toc503130739"/>
      <w:bookmarkStart w:id="774" w:name="_Toc5116276"/>
      <w:bookmarkStart w:id="775" w:name="_Toc23516"/>
      <w:bookmarkStart w:id="776" w:name="_Toc2063642"/>
      <w:bookmarkStart w:id="777" w:name="_Toc512602457"/>
      <w:r>
        <w:rPr>
          <w:rFonts w:ascii="Times New Roman"/>
          <w:color w:val="000000"/>
          <w:highlight w:val="none"/>
        </w:rPr>
        <w:t>投标保证金银行保函格式</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pPr>
        <w:jc w:val="center"/>
        <w:rPr>
          <w:color w:val="000000"/>
          <w:highlight w:val="none"/>
        </w:rPr>
      </w:pPr>
      <w:bookmarkStart w:id="778" w:name="_Toc450211814"/>
      <w:bookmarkStart w:id="779" w:name="_Toc389457536"/>
      <w:bookmarkStart w:id="780" w:name="_Toc389653608"/>
      <w:r>
        <w:rPr>
          <w:color w:val="000000"/>
          <w:highlight w:val="none"/>
        </w:rPr>
        <w:t>（若报价保证金采用电汇、支票等其他形式提供，则无需填写本格式）</w:t>
      </w:r>
    </w:p>
    <w:p>
      <w:pPr>
        <w:pStyle w:val="2"/>
        <w:numPr>
          <w:ilvl w:val="0"/>
          <w:numId w:val="0"/>
        </w:numPr>
        <w:rPr>
          <w:rFonts w:ascii="Times New Roman"/>
          <w:color w:val="000000"/>
          <w:highlight w:val="none"/>
        </w:rPr>
      </w:pPr>
      <w:bookmarkStart w:id="781" w:name="_Toc24807"/>
      <w:bookmarkStart w:id="782" w:name="_Toc503130417"/>
      <w:bookmarkStart w:id="783" w:name="_Toc5116277"/>
      <w:bookmarkStart w:id="784" w:name="_Toc512602458"/>
      <w:r>
        <w:rPr>
          <w:rFonts w:ascii="Times New Roman"/>
          <w:color w:val="000000"/>
          <w:highlight w:val="none"/>
        </w:rPr>
        <w:t>致：</w:t>
      </w:r>
      <w:r>
        <w:rPr>
          <w:rFonts w:ascii="Times New Roman"/>
          <w:color w:val="000000"/>
          <w:highlight w:val="none"/>
          <w:u w:val="single"/>
        </w:rPr>
        <w:t xml:space="preserve">                                 </w:t>
      </w:r>
      <w:r>
        <w:rPr>
          <w:rFonts w:ascii="Times New Roman"/>
          <w:color w:val="000000"/>
          <w:highlight w:val="none"/>
        </w:rPr>
        <w:t>（招标代理机构名称）</w:t>
      </w:r>
      <w:bookmarkEnd w:id="778"/>
      <w:bookmarkEnd w:id="779"/>
      <w:bookmarkEnd w:id="780"/>
      <w:bookmarkEnd w:id="781"/>
      <w:bookmarkEnd w:id="782"/>
      <w:bookmarkEnd w:id="783"/>
      <w:bookmarkEnd w:id="784"/>
    </w:p>
    <w:p>
      <w:pPr>
        <w:pStyle w:val="12"/>
        <w:rPr>
          <w:color w:val="000000"/>
          <w:highlight w:val="none"/>
        </w:rPr>
      </w:pPr>
      <w:r>
        <w:rPr>
          <w:color w:val="000000"/>
          <w:highlight w:val="none"/>
        </w:rPr>
        <w:t>本保函作为</w:t>
      </w:r>
      <w:r>
        <w:rPr>
          <w:color w:val="000000"/>
          <w:highlight w:val="none"/>
          <w:u w:val="single"/>
        </w:rPr>
        <w:t xml:space="preserve">                                      </w:t>
      </w:r>
      <w:r>
        <w:rPr>
          <w:color w:val="000000"/>
          <w:highlight w:val="none"/>
        </w:rPr>
        <w:t>（投标人名称）（以下简称投标人）对</w:t>
      </w:r>
      <w:r>
        <w:rPr>
          <w:color w:val="000000"/>
          <w:highlight w:val="none"/>
          <w:u w:val="single"/>
        </w:rPr>
        <w:t xml:space="preserve">                                </w:t>
      </w:r>
      <w:r>
        <w:rPr>
          <w:color w:val="000000"/>
          <w:highlight w:val="none"/>
        </w:rPr>
        <w:t>（买方名称）第</w:t>
      </w:r>
      <w:r>
        <w:rPr>
          <w:color w:val="000000"/>
          <w:highlight w:val="none"/>
          <w:u w:val="single"/>
        </w:rPr>
        <w:t xml:space="preserve">        </w:t>
      </w:r>
      <w:r>
        <w:rPr>
          <w:color w:val="000000"/>
          <w:highlight w:val="none"/>
        </w:rPr>
        <w:t>号投标邀请书，关于提供</w:t>
      </w:r>
      <w:r>
        <w:rPr>
          <w:color w:val="000000"/>
          <w:highlight w:val="none"/>
          <w:u w:val="single"/>
        </w:rPr>
        <w:t xml:space="preserve">                    </w:t>
      </w:r>
      <w:r>
        <w:rPr>
          <w:color w:val="000000"/>
          <w:highlight w:val="none"/>
        </w:rPr>
        <w:t>（货物名称）的投标保证金。</w:t>
      </w:r>
    </w:p>
    <w:p>
      <w:pPr>
        <w:pStyle w:val="12"/>
        <w:rPr>
          <w:color w:val="000000"/>
          <w:highlight w:val="none"/>
        </w:rPr>
      </w:pPr>
      <w:r>
        <w:rPr>
          <w:color w:val="000000"/>
          <w:highlight w:val="none"/>
          <w:u w:val="single"/>
        </w:rPr>
        <w:t xml:space="preserve">                                </w:t>
      </w:r>
      <w:r>
        <w:rPr>
          <w:color w:val="000000"/>
          <w:highlight w:val="none"/>
        </w:rPr>
        <w:t>（银行名称）无条件地、不可撤销地保证并约束本行及其后继者，一旦收到贵方提出的下列任何一种情况的书面通知后不管投标人如何反对，立即不可追索地向贵方支付总额为</w:t>
      </w:r>
      <w:r>
        <w:rPr>
          <w:color w:val="000000"/>
          <w:highlight w:val="none"/>
          <w:u w:val="single"/>
        </w:rPr>
        <w:t xml:space="preserve">                     </w:t>
      </w:r>
      <w:r>
        <w:rPr>
          <w:color w:val="000000"/>
          <w:highlight w:val="none"/>
        </w:rPr>
        <w:t>元的人民币：</w:t>
      </w:r>
    </w:p>
    <w:p>
      <w:pPr>
        <w:ind w:left="1274" w:leftChars="236" w:hanging="708" w:hangingChars="295"/>
        <w:rPr>
          <w:color w:val="000000"/>
          <w:highlight w:val="none"/>
        </w:rPr>
      </w:pPr>
      <w:r>
        <w:rPr>
          <w:color w:val="000000"/>
          <w:highlight w:val="none"/>
        </w:rPr>
        <w:t>（1）</w:t>
      </w:r>
      <w:r>
        <w:rPr>
          <w:color w:val="000000"/>
          <w:highlight w:val="none"/>
        </w:rPr>
        <w:tab/>
      </w:r>
      <w:r>
        <w:rPr>
          <w:color w:val="000000"/>
          <w:highlight w:val="none"/>
        </w:rPr>
        <w:t>投标人在开标后至投标有效期届满前撤销其投标；或</w:t>
      </w:r>
    </w:p>
    <w:p>
      <w:pPr>
        <w:ind w:left="1274" w:leftChars="236" w:hanging="708" w:hangingChars="295"/>
        <w:rPr>
          <w:color w:val="000000"/>
          <w:highlight w:val="none"/>
        </w:rPr>
      </w:pPr>
      <w:r>
        <w:rPr>
          <w:color w:val="000000"/>
          <w:highlight w:val="none"/>
        </w:rPr>
        <w:t>（2）</w:t>
      </w:r>
      <w:r>
        <w:rPr>
          <w:color w:val="000000"/>
          <w:highlight w:val="none"/>
        </w:rPr>
        <w:tab/>
      </w:r>
      <w:r>
        <w:rPr>
          <w:color w:val="000000"/>
          <w:highlight w:val="none"/>
        </w:rPr>
        <w:t>投标人在收到中标通知书后</w:t>
      </w:r>
      <w:r>
        <w:rPr>
          <w:rFonts w:hint="eastAsia"/>
          <w:color w:val="000000"/>
          <w:highlight w:val="none"/>
        </w:rPr>
        <w:t>三十（30）</w:t>
      </w:r>
      <w:r>
        <w:rPr>
          <w:color w:val="000000"/>
          <w:highlight w:val="none"/>
        </w:rPr>
        <w:t>天内，未与招标人签订合同；或</w:t>
      </w:r>
    </w:p>
    <w:p>
      <w:pPr>
        <w:ind w:left="1274" w:leftChars="236" w:hanging="708" w:hangingChars="295"/>
        <w:rPr>
          <w:color w:val="000000"/>
          <w:highlight w:val="none"/>
        </w:rPr>
      </w:pPr>
      <w:r>
        <w:rPr>
          <w:color w:val="000000"/>
          <w:highlight w:val="none"/>
        </w:rPr>
        <w:t>（3）</w:t>
      </w:r>
      <w:r>
        <w:rPr>
          <w:color w:val="000000"/>
          <w:highlight w:val="none"/>
        </w:rPr>
        <w:tab/>
      </w:r>
      <w:r>
        <w:rPr>
          <w:color w:val="000000"/>
          <w:highlight w:val="none"/>
        </w:rPr>
        <w:t>投标人在收到中标通知书后</w:t>
      </w:r>
      <w:r>
        <w:rPr>
          <w:rFonts w:hint="eastAsia"/>
          <w:color w:val="000000"/>
          <w:highlight w:val="none"/>
        </w:rPr>
        <w:t>三十（30）</w:t>
      </w:r>
      <w:r>
        <w:rPr>
          <w:color w:val="000000"/>
          <w:highlight w:val="none"/>
        </w:rPr>
        <w:t>天内，未向招标人提交可接受的履约保证金（若合同条款有约定）。</w:t>
      </w:r>
    </w:p>
    <w:p>
      <w:pPr>
        <w:ind w:left="1274" w:leftChars="236" w:hanging="708" w:hangingChars="295"/>
        <w:rPr>
          <w:color w:val="000000"/>
          <w:highlight w:val="none"/>
        </w:rPr>
      </w:pPr>
      <w:r>
        <w:rPr>
          <w:color w:val="000000"/>
          <w:highlight w:val="none"/>
        </w:rPr>
        <w:t>（4）</w:t>
      </w:r>
      <w:r>
        <w:rPr>
          <w:color w:val="000000"/>
          <w:highlight w:val="none"/>
        </w:rPr>
        <w:tab/>
      </w:r>
      <w:r>
        <w:rPr>
          <w:color w:val="000000"/>
          <w:highlight w:val="none"/>
        </w:rPr>
        <w:t>投标人在收到中标通知书后十四（14）天内，未向贵方支付</w:t>
      </w:r>
      <w:r>
        <w:rPr>
          <w:rFonts w:hint="eastAsia"/>
          <w:color w:val="000000"/>
          <w:highlight w:val="none"/>
        </w:rPr>
        <w:t>招标代理咨询服务费</w:t>
      </w:r>
      <w:r>
        <w:rPr>
          <w:color w:val="000000"/>
          <w:highlight w:val="none"/>
        </w:rPr>
        <w:t>。</w:t>
      </w:r>
    </w:p>
    <w:p>
      <w:pPr>
        <w:pStyle w:val="12"/>
        <w:rPr>
          <w:color w:val="000000"/>
          <w:highlight w:val="none"/>
        </w:rPr>
      </w:pPr>
      <w:r>
        <w:rPr>
          <w:color w:val="000000"/>
          <w:highlight w:val="none"/>
        </w:rPr>
        <w:t>除贵方提前终止或解除本保函外，本保函从开标之日至投标有效期届满之日始终有效，且在贵方和投标人同意延长并通知本行的期限内继续有效。</w:t>
      </w:r>
    </w:p>
    <w:p>
      <w:pPr>
        <w:pStyle w:val="12"/>
        <w:rPr>
          <w:color w:val="000000"/>
          <w:highlight w:val="none"/>
        </w:rPr>
      </w:pPr>
    </w:p>
    <w:p>
      <w:pPr>
        <w:pStyle w:val="12"/>
        <w:rPr>
          <w:color w:val="000000"/>
          <w:highlight w:val="none"/>
        </w:rPr>
      </w:pPr>
    </w:p>
    <w:p>
      <w:pPr>
        <w:pStyle w:val="12"/>
        <w:rPr>
          <w:color w:val="000000"/>
          <w:highlight w:val="none"/>
        </w:rPr>
      </w:pPr>
    </w:p>
    <w:p>
      <w:pPr>
        <w:pStyle w:val="12"/>
        <w:rPr>
          <w:color w:val="000000"/>
          <w:highlight w:val="none"/>
        </w:rPr>
      </w:pPr>
    </w:p>
    <w:p>
      <w:pPr>
        <w:autoSpaceDE w:val="0"/>
        <w:autoSpaceDN w:val="0"/>
        <w:ind w:firstLine="4320"/>
        <w:textAlignment w:val="bottom"/>
        <w:rPr>
          <w:color w:val="000000"/>
          <w:highlight w:val="none"/>
          <w:u w:val="single"/>
        </w:rPr>
      </w:pPr>
      <w:r>
        <w:rPr>
          <w:color w:val="000000"/>
          <w:highlight w:val="none"/>
        </w:rPr>
        <w:t>银行授权代表（打印）：</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u w:val="single"/>
        </w:rPr>
      </w:pPr>
      <w:r>
        <w:rPr>
          <w:color w:val="000000"/>
          <w:highlight w:val="none"/>
        </w:rPr>
        <w:t>银行授权代表（签字）：</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u w:val="single"/>
        </w:rPr>
      </w:pPr>
      <w:r>
        <w:rPr>
          <w:color w:val="000000"/>
          <w:highlight w:val="none"/>
        </w:rPr>
        <w:t>银行名称：</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rPr>
      </w:pPr>
      <w:r>
        <w:rPr>
          <w:color w:val="000000"/>
          <w:highlight w:val="none"/>
        </w:rPr>
        <w:t>银行盖章：</w:t>
      </w:r>
      <w:r>
        <w:rPr>
          <w:color w:val="000000"/>
          <w:highlight w:val="none"/>
          <w:u w:val="single"/>
        </w:rPr>
        <w:t xml:space="preserve">                            </w:t>
      </w:r>
    </w:p>
    <w:p>
      <w:pPr>
        <w:autoSpaceDE w:val="0"/>
        <w:autoSpaceDN w:val="0"/>
        <w:ind w:firstLine="4320"/>
        <w:textAlignment w:val="bottom"/>
        <w:rPr>
          <w:color w:val="000000"/>
          <w:highlight w:val="none"/>
        </w:rPr>
      </w:pPr>
    </w:p>
    <w:p>
      <w:pPr>
        <w:autoSpaceDE w:val="0"/>
        <w:autoSpaceDN w:val="0"/>
        <w:ind w:firstLine="4320"/>
        <w:textAlignment w:val="bottom"/>
        <w:rPr>
          <w:color w:val="000000"/>
          <w:highlight w:val="none"/>
        </w:rPr>
      </w:pPr>
      <w:r>
        <w:rPr>
          <w:color w:val="000000"/>
          <w:highlight w:val="none"/>
        </w:rPr>
        <w:t>日期：</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w:t>
      </w:r>
    </w:p>
    <w:p>
      <w:pPr>
        <w:autoSpaceDE w:val="0"/>
        <w:autoSpaceDN w:val="0"/>
        <w:ind w:firstLine="4320"/>
        <w:textAlignment w:val="bottom"/>
        <w:rPr>
          <w:color w:val="000000"/>
          <w:highlight w:val="none"/>
        </w:rPr>
      </w:pPr>
    </w:p>
    <w:p>
      <w:pPr>
        <w:autoSpaceDE w:val="0"/>
        <w:autoSpaceDN w:val="0"/>
        <w:ind w:firstLine="4320"/>
        <w:textAlignment w:val="bottom"/>
        <w:rPr>
          <w:color w:val="000000"/>
          <w:highlight w:val="none"/>
        </w:rPr>
      </w:pPr>
      <w:r>
        <w:rPr>
          <w:color w:val="000000"/>
          <w:highlight w:val="none"/>
        </w:rPr>
        <w:t>银行地址：</w:t>
      </w:r>
      <w:r>
        <w:rPr>
          <w:color w:val="000000"/>
          <w:highlight w:val="none"/>
          <w:u w:val="single"/>
        </w:rPr>
        <w:t xml:space="preserve">                            </w:t>
      </w:r>
    </w:p>
    <w:p>
      <w:pPr>
        <w:pStyle w:val="82"/>
        <w:rPr>
          <w:rFonts w:ascii="Times New Roman"/>
          <w:color w:val="000000"/>
          <w:highlight w:val="none"/>
        </w:rPr>
      </w:pPr>
      <w:r>
        <w:rPr>
          <w:rFonts w:ascii="Times New Roman"/>
          <w:color w:val="000000"/>
          <w:highlight w:val="none"/>
        </w:rPr>
        <w:br w:type="page"/>
      </w:r>
      <w:bookmarkStart w:id="785" w:name="_Toc503130418"/>
      <w:bookmarkStart w:id="786" w:name="_Toc495406870"/>
      <w:bookmarkStart w:id="787" w:name="_Toc2063899"/>
      <w:bookmarkStart w:id="788" w:name="_Toc512602459"/>
      <w:bookmarkStart w:id="789" w:name="_Toc389653609"/>
      <w:bookmarkStart w:id="790" w:name="_Toc5116278"/>
      <w:bookmarkStart w:id="791" w:name="_Toc450211815"/>
      <w:bookmarkStart w:id="792" w:name="_Toc491700937"/>
      <w:bookmarkStart w:id="793" w:name="_Toc2063643"/>
      <w:bookmarkStart w:id="794" w:name="_Toc2063986"/>
      <w:bookmarkStart w:id="795" w:name="_Toc503130801"/>
      <w:bookmarkStart w:id="796" w:name="_Toc389457537"/>
      <w:bookmarkStart w:id="797" w:name="_Toc8343777"/>
      <w:bookmarkStart w:id="798" w:name="_Toc302374213"/>
      <w:bookmarkStart w:id="799" w:name="_Toc2063768"/>
      <w:bookmarkStart w:id="800" w:name="_Toc503130740"/>
      <w:bookmarkStart w:id="801" w:name="_Toc17072"/>
      <w:r>
        <w:rPr>
          <w:rFonts w:ascii="Times New Roman"/>
          <w:color w:val="000000"/>
          <w:highlight w:val="none"/>
        </w:rPr>
        <w:t>履约保函格式</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pPr>
        <w:pStyle w:val="2"/>
        <w:numPr>
          <w:ilvl w:val="0"/>
          <w:numId w:val="0"/>
        </w:numPr>
        <w:rPr>
          <w:rFonts w:ascii="Times New Roman"/>
          <w:color w:val="000000"/>
          <w:highlight w:val="none"/>
        </w:rPr>
      </w:pPr>
      <w:bookmarkStart w:id="802" w:name="_Toc389653610"/>
      <w:bookmarkStart w:id="803" w:name="_Toc389457538"/>
      <w:bookmarkStart w:id="804" w:name="_Toc25990"/>
      <w:bookmarkStart w:id="805" w:name="_Toc5116279"/>
      <w:bookmarkStart w:id="806" w:name="_Toc450211816"/>
      <w:bookmarkStart w:id="807" w:name="_Toc512602460"/>
      <w:bookmarkStart w:id="808" w:name="_Toc503130419"/>
      <w:r>
        <w:rPr>
          <w:rFonts w:ascii="Times New Roman"/>
          <w:color w:val="000000"/>
          <w:highlight w:val="none"/>
        </w:rPr>
        <w:t>致：</w:t>
      </w:r>
      <w:r>
        <w:rPr>
          <w:rFonts w:ascii="Times New Roman"/>
          <w:color w:val="000000"/>
          <w:highlight w:val="none"/>
          <w:u w:val="single"/>
        </w:rPr>
        <w:t xml:space="preserve">                                 </w:t>
      </w:r>
      <w:r>
        <w:rPr>
          <w:rFonts w:ascii="Times New Roman"/>
          <w:color w:val="000000"/>
          <w:highlight w:val="none"/>
        </w:rPr>
        <w:t>（买方名称）</w:t>
      </w:r>
      <w:bookmarkEnd w:id="802"/>
      <w:bookmarkEnd w:id="803"/>
      <w:bookmarkEnd w:id="804"/>
      <w:bookmarkEnd w:id="805"/>
      <w:bookmarkEnd w:id="806"/>
      <w:bookmarkEnd w:id="807"/>
      <w:bookmarkEnd w:id="808"/>
    </w:p>
    <w:p>
      <w:pPr>
        <w:pStyle w:val="12"/>
        <w:rPr>
          <w:color w:val="000000"/>
          <w:highlight w:val="none"/>
        </w:rPr>
      </w:pPr>
      <w:r>
        <w:rPr>
          <w:color w:val="000000"/>
          <w:highlight w:val="none"/>
        </w:rPr>
        <w:t>鉴于</w:t>
      </w:r>
      <w:r>
        <w:rPr>
          <w:color w:val="000000"/>
          <w:highlight w:val="none"/>
          <w:u w:val="single"/>
        </w:rPr>
        <w:t xml:space="preserve">                                      </w:t>
      </w:r>
      <w:r>
        <w:rPr>
          <w:color w:val="000000"/>
          <w:highlight w:val="none"/>
        </w:rPr>
        <w:t>（卖方名称）（以下简称“卖方”）已收到了贵方</w:t>
      </w:r>
      <w:r>
        <w:rPr>
          <w:color w:val="000000"/>
          <w:highlight w:val="none"/>
          <w:u w:val="single"/>
        </w:rPr>
        <w:t xml:space="preserve">                      </w:t>
      </w:r>
      <w:r>
        <w:rPr>
          <w:color w:val="000000"/>
          <w:highlight w:val="none"/>
        </w:rPr>
        <w:t>（货物名称）采购招标（项目编号为</w:t>
      </w:r>
      <w:r>
        <w:rPr>
          <w:color w:val="000000"/>
          <w:highlight w:val="none"/>
          <w:u w:val="single"/>
        </w:rPr>
        <w:t xml:space="preserve">        </w:t>
      </w:r>
      <w:r>
        <w:rPr>
          <w:color w:val="000000"/>
          <w:highlight w:val="none"/>
        </w:rPr>
        <w:t>）的中标通知书。</w:t>
      </w:r>
    </w:p>
    <w:p>
      <w:pPr>
        <w:pStyle w:val="12"/>
        <w:rPr>
          <w:color w:val="000000"/>
          <w:highlight w:val="none"/>
        </w:rPr>
      </w:pPr>
      <w:r>
        <w:rPr>
          <w:color w:val="000000"/>
          <w:highlight w:val="none"/>
        </w:rPr>
        <w:t>根据贵方在合同中规定的卖方应向贵方提交由一家信誉良好的银行出具的百分之十（10%）合同价格的银行保函作为卖方履行合同义务的保证金。</w:t>
      </w:r>
    </w:p>
    <w:p>
      <w:pPr>
        <w:pStyle w:val="12"/>
        <w:rPr>
          <w:color w:val="000000"/>
          <w:highlight w:val="none"/>
        </w:rPr>
      </w:pPr>
      <w:r>
        <w:rPr>
          <w:color w:val="000000"/>
          <w:highlight w:val="none"/>
        </w:rPr>
        <w:t>我行同意为卖方出具此保函：</w:t>
      </w:r>
    </w:p>
    <w:p>
      <w:pPr>
        <w:pStyle w:val="12"/>
        <w:rPr>
          <w:color w:val="000000"/>
          <w:highlight w:val="none"/>
        </w:rPr>
      </w:pPr>
      <w:r>
        <w:rPr>
          <w:color w:val="000000"/>
          <w:highlight w:val="none"/>
        </w:rPr>
        <w:t>我行特此承诺，我行作为保证人并以卖方的名义向贵方出具总额为</w:t>
      </w:r>
      <w:r>
        <w:rPr>
          <w:color w:val="000000"/>
          <w:highlight w:val="none"/>
          <w:u w:val="single"/>
        </w:rPr>
        <w:t xml:space="preserve">                 </w:t>
      </w:r>
      <w:r>
        <w:rPr>
          <w:color w:val="000000"/>
          <w:highlight w:val="none"/>
          <w:u w:val="single"/>
        </w:rPr>
        <w:br w:type="textWrapping"/>
      </w:r>
      <w:r>
        <w:rPr>
          <w:color w:val="000000"/>
          <w:highlight w:val="none"/>
          <w:u w:val="single"/>
        </w:rPr>
        <w:t xml:space="preserve">                  </w:t>
      </w:r>
      <w:r>
        <w:rPr>
          <w:color w:val="000000"/>
          <w:highlight w:val="none"/>
        </w:rPr>
        <w:t>（以大写和数字表示的保证金金额）的保函。我行在第一次收到贵方提出的卖方违反了合同规定的书面通告后，就无条件地向贵方支付保函限额之内的一笔或数笔款项，而贵方无须证明或说明要求的原因和理由。</w:t>
      </w:r>
    </w:p>
    <w:p>
      <w:pPr>
        <w:pStyle w:val="12"/>
        <w:rPr>
          <w:color w:val="000000"/>
          <w:highlight w:val="none"/>
        </w:rPr>
      </w:pPr>
      <w:r>
        <w:rPr>
          <w:color w:val="000000"/>
          <w:highlight w:val="none"/>
        </w:rPr>
        <w:t>本保函在</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日前一直有效。</w:t>
      </w:r>
    </w:p>
    <w:p>
      <w:pPr>
        <w:pStyle w:val="12"/>
        <w:rPr>
          <w:color w:val="000000"/>
          <w:highlight w:val="none"/>
        </w:rPr>
      </w:pPr>
    </w:p>
    <w:p>
      <w:pPr>
        <w:pStyle w:val="12"/>
        <w:rPr>
          <w:color w:val="000000"/>
          <w:highlight w:val="none"/>
        </w:rPr>
      </w:pPr>
    </w:p>
    <w:p>
      <w:pPr>
        <w:pStyle w:val="12"/>
        <w:rPr>
          <w:color w:val="000000"/>
          <w:highlight w:val="none"/>
        </w:rPr>
      </w:pPr>
    </w:p>
    <w:p>
      <w:pPr>
        <w:pStyle w:val="12"/>
        <w:rPr>
          <w:color w:val="000000"/>
          <w:highlight w:val="none"/>
        </w:rPr>
      </w:pPr>
    </w:p>
    <w:p>
      <w:pPr>
        <w:autoSpaceDE w:val="0"/>
        <w:autoSpaceDN w:val="0"/>
        <w:ind w:firstLine="4320"/>
        <w:textAlignment w:val="bottom"/>
        <w:rPr>
          <w:color w:val="000000"/>
          <w:highlight w:val="none"/>
          <w:u w:val="single"/>
        </w:rPr>
      </w:pPr>
      <w:r>
        <w:rPr>
          <w:color w:val="000000"/>
          <w:highlight w:val="none"/>
        </w:rPr>
        <w:t>银行授权代表（打印）：</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u w:val="single"/>
        </w:rPr>
      </w:pPr>
      <w:r>
        <w:rPr>
          <w:color w:val="000000"/>
          <w:highlight w:val="none"/>
        </w:rPr>
        <w:t>银行授权代表（签字）：</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u w:val="single"/>
        </w:rPr>
      </w:pPr>
      <w:r>
        <w:rPr>
          <w:color w:val="000000"/>
          <w:highlight w:val="none"/>
        </w:rPr>
        <w:t>银行名称：</w:t>
      </w:r>
      <w:r>
        <w:rPr>
          <w:color w:val="000000"/>
          <w:highlight w:val="none"/>
          <w:u w:val="single"/>
        </w:rPr>
        <w:t xml:space="preserve">                            </w:t>
      </w:r>
    </w:p>
    <w:p>
      <w:pPr>
        <w:autoSpaceDE w:val="0"/>
        <w:autoSpaceDN w:val="0"/>
        <w:ind w:firstLine="4320"/>
        <w:textAlignment w:val="bottom"/>
        <w:rPr>
          <w:color w:val="000000"/>
          <w:highlight w:val="none"/>
          <w:u w:val="single"/>
        </w:rPr>
      </w:pPr>
    </w:p>
    <w:p>
      <w:pPr>
        <w:autoSpaceDE w:val="0"/>
        <w:autoSpaceDN w:val="0"/>
        <w:ind w:firstLine="4320"/>
        <w:textAlignment w:val="bottom"/>
        <w:rPr>
          <w:color w:val="000000"/>
          <w:highlight w:val="none"/>
        </w:rPr>
      </w:pPr>
      <w:r>
        <w:rPr>
          <w:color w:val="000000"/>
          <w:highlight w:val="none"/>
        </w:rPr>
        <w:t>银行盖章：</w:t>
      </w:r>
      <w:r>
        <w:rPr>
          <w:color w:val="000000"/>
          <w:highlight w:val="none"/>
          <w:u w:val="single"/>
        </w:rPr>
        <w:t xml:space="preserve">                            </w:t>
      </w:r>
    </w:p>
    <w:p>
      <w:pPr>
        <w:autoSpaceDE w:val="0"/>
        <w:autoSpaceDN w:val="0"/>
        <w:ind w:firstLine="4320"/>
        <w:textAlignment w:val="bottom"/>
        <w:rPr>
          <w:color w:val="000000"/>
          <w:highlight w:val="none"/>
        </w:rPr>
      </w:pPr>
    </w:p>
    <w:p>
      <w:pPr>
        <w:autoSpaceDE w:val="0"/>
        <w:autoSpaceDN w:val="0"/>
        <w:ind w:firstLine="4320"/>
        <w:textAlignment w:val="bottom"/>
        <w:rPr>
          <w:color w:val="000000"/>
          <w:highlight w:val="none"/>
        </w:rPr>
      </w:pPr>
      <w:r>
        <w:rPr>
          <w:color w:val="000000"/>
          <w:highlight w:val="none"/>
        </w:rPr>
        <w:t>日期：</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w:t>
      </w:r>
    </w:p>
    <w:p>
      <w:pPr>
        <w:autoSpaceDE w:val="0"/>
        <w:autoSpaceDN w:val="0"/>
        <w:ind w:firstLine="4320"/>
        <w:textAlignment w:val="bottom"/>
        <w:rPr>
          <w:color w:val="000000"/>
          <w:highlight w:val="none"/>
        </w:rPr>
      </w:pPr>
    </w:p>
    <w:p>
      <w:pPr>
        <w:autoSpaceDE w:val="0"/>
        <w:autoSpaceDN w:val="0"/>
        <w:ind w:firstLine="4320"/>
        <w:textAlignment w:val="bottom"/>
        <w:rPr>
          <w:color w:val="000000"/>
          <w:highlight w:val="none"/>
        </w:rPr>
      </w:pPr>
      <w:r>
        <w:rPr>
          <w:color w:val="000000"/>
          <w:highlight w:val="none"/>
        </w:rPr>
        <w:t>银行地址：</w:t>
      </w:r>
      <w:r>
        <w:rPr>
          <w:color w:val="000000"/>
          <w:highlight w:val="none"/>
          <w:u w:val="single"/>
        </w:rPr>
        <w:t xml:space="preserve">                            </w:t>
      </w:r>
    </w:p>
    <w:p>
      <w:pPr>
        <w:pStyle w:val="82"/>
        <w:rPr>
          <w:rFonts w:ascii="Times New Roman"/>
          <w:color w:val="000000"/>
          <w:highlight w:val="none"/>
        </w:rPr>
      </w:pPr>
      <w:r>
        <w:rPr>
          <w:rFonts w:ascii="Times New Roman"/>
          <w:color w:val="000000"/>
          <w:highlight w:val="none"/>
        </w:rPr>
        <w:br w:type="page"/>
      </w:r>
      <w:bookmarkStart w:id="809" w:name="_Toc389457555"/>
      <w:bookmarkStart w:id="810" w:name="_Toc5116280"/>
      <w:bookmarkStart w:id="811" w:name="_Toc8343791"/>
      <w:bookmarkStart w:id="812" w:name="_Toc301765405"/>
      <w:bookmarkStart w:id="813" w:name="_Toc491700939"/>
      <w:bookmarkStart w:id="814" w:name="_Toc2063657"/>
      <w:bookmarkStart w:id="815" w:name="_Toc2063782"/>
      <w:bookmarkStart w:id="816" w:name="_Toc2063913"/>
      <w:bookmarkStart w:id="817" w:name="_Toc5023"/>
      <w:bookmarkStart w:id="818" w:name="_Toc503130741"/>
      <w:bookmarkStart w:id="819" w:name="_Toc2063961"/>
      <w:bookmarkStart w:id="820" w:name="_Toc389653627"/>
      <w:bookmarkStart w:id="821" w:name="_Toc495406871"/>
      <w:bookmarkStart w:id="822" w:name="_Toc512602461"/>
      <w:bookmarkStart w:id="823" w:name="_Toc302374228"/>
      <w:bookmarkStart w:id="824" w:name="_Toc389465281"/>
      <w:bookmarkStart w:id="825" w:name="_Toc503130420"/>
      <w:bookmarkStart w:id="826" w:name="_Toc503130802"/>
      <w:bookmarkStart w:id="827" w:name="_Toc450211833"/>
      <w:r>
        <w:rPr>
          <w:rFonts w:ascii="Times New Roman"/>
          <w:color w:val="000000"/>
          <w:highlight w:val="none"/>
        </w:rPr>
        <w:t>制造厂的声明</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pPr>
        <w:pStyle w:val="2"/>
        <w:numPr>
          <w:ilvl w:val="0"/>
          <w:numId w:val="8"/>
        </w:numPr>
        <w:rPr>
          <w:rFonts w:ascii="Times New Roman"/>
          <w:color w:val="000000"/>
          <w:highlight w:val="none"/>
        </w:rPr>
      </w:pPr>
      <w:bookmarkStart w:id="828" w:name="_Toc452800756"/>
      <w:bookmarkStart w:id="829" w:name="_Toc452727011"/>
      <w:bookmarkStart w:id="830" w:name="_Toc434462853"/>
      <w:bookmarkStart w:id="831" w:name="_Toc452306167"/>
      <w:bookmarkStart w:id="832" w:name="_Toc450211834"/>
      <w:bookmarkStart w:id="833" w:name="_Toc2063658"/>
      <w:bookmarkStart w:id="834" w:name="_Toc389457556"/>
      <w:bookmarkStart w:id="835" w:name="_Toc434460949"/>
      <w:bookmarkStart w:id="836" w:name="_Toc5116281"/>
      <w:bookmarkStart w:id="837" w:name="_Toc452727371"/>
      <w:bookmarkStart w:id="838" w:name="_Toc302374229"/>
      <w:bookmarkStart w:id="839" w:name="_Toc8343792"/>
      <w:bookmarkStart w:id="840" w:name="_Toc512602462"/>
      <w:bookmarkStart w:id="841" w:name="_Toc434462242"/>
      <w:bookmarkStart w:id="842" w:name="_Toc389653628"/>
      <w:bookmarkStart w:id="843" w:name="_Toc2063914"/>
      <w:bookmarkStart w:id="844" w:name="_Toc14327"/>
      <w:bookmarkStart w:id="845" w:name="_Toc434897357"/>
      <w:bookmarkStart w:id="846" w:name="_Toc503130421"/>
      <w:bookmarkStart w:id="847" w:name="_Toc2063783"/>
      <w:r>
        <w:rPr>
          <w:rFonts w:ascii="Times New Roman"/>
          <w:color w:val="000000"/>
          <w:highlight w:val="none"/>
        </w:rPr>
        <w:t>名称及其他情况</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p>
    <w:p>
      <w:pPr>
        <w:pStyle w:val="12"/>
        <w:rPr>
          <w:color w:val="000000"/>
          <w:highlight w:val="none"/>
        </w:rPr>
      </w:pPr>
      <w:bookmarkStart w:id="848" w:name="_Toc389653629"/>
      <w:bookmarkStart w:id="849" w:name="_Toc302374230"/>
      <w:bookmarkStart w:id="850" w:name="_Toc452800757"/>
      <w:bookmarkStart w:id="851" w:name="_Toc452306168"/>
      <w:bookmarkStart w:id="852" w:name="_Toc452727012"/>
      <w:bookmarkStart w:id="853" w:name="_Toc389457557"/>
      <w:bookmarkStart w:id="854" w:name="_Toc434462243"/>
      <w:bookmarkStart w:id="855" w:name="_Toc434897358"/>
      <w:bookmarkStart w:id="856" w:name="_Toc452727372"/>
      <w:bookmarkStart w:id="857" w:name="_Toc434460950"/>
      <w:bookmarkStart w:id="858" w:name="_Toc450211835"/>
      <w:bookmarkStart w:id="859" w:name="_Toc2063915"/>
      <w:bookmarkStart w:id="860" w:name="_Toc8343793"/>
      <w:bookmarkStart w:id="861" w:name="_Toc2063784"/>
      <w:bookmarkStart w:id="862" w:name="_Toc434462854"/>
      <w:bookmarkStart w:id="863" w:name="_Toc2063659"/>
      <w:r>
        <w:rPr>
          <w:color w:val="000000"/>
          <w:highlight w:val="none"/>
        </w:rPr>
        <w:t>（1）</w:t>
      </w:r>
      <w:r>
        <w:rPr>
          <w:color w:val="000000"/>
          <w:highlight w:val="none"/>
        </w:rPr>
        <w:tab/>
      </w:r>
      <w:r>
        <w:rPr>
          <w:color w:val="000000"/>
          <w:highlight w:val="none"/>
        </w:rPr>
        <w:t>制造厂名称：</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（2）</w:t>
      </w:r>
      <w:r>
        <w:rPr>
          <w:color w:val="000000"/>
          <w:highlight w:val="none"/>
        </w:rPr>
        <w:tab/>
      </w:r>
      <w:r>
        <w:rPr>
          <w:color w:val="000000"/>
          <w:highlight w:val="none"/>
        </w:rPr>
        <w:t>地址：</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（3）</w:t>
      </w:r>
      <w:r>
        <w:rPr>
          <w:color w:val="000000"/>
          <w:highlight w:val="none"/>
        </w:rPr>
        <w:tab/>
      </w:r>
      <w:r>
        <w:rPr>
          <w:color w:val="000000"/>
          <w:highlight w:val="none"/>
        </w:rPr>
        <w:t>成立和（或）注册日期：</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（4）</w:t>
      </w:r>
      <w:r>
        <w:rPr>
          <w:color w:val="000000"/>
          <w:highlight w:val="none"/>
        </w:rPr>
        <w:tab/>
      </w:r>
      <w:r>
        <w:rPr>
          <w:color w:val="000000"/>
          <w:highlight w:val="none"/>
        </w:rPr>
        <w:t>所属行业：</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（5）</w:t>
      </w:r>
      <w:r>
        <w:rPr>
          <w:color w:val="000000"/>
          <w:highlight w:val="none"/>
        </w:rPr>
        <w:tab/>
      </w:r>
      <w:r>
        <w:rPr>
          <w:color w:val="000000"/>
          <w:highlight w:val="none"/>
        </w:rPr>
        <w:t>企业性质：</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（6）</w:t>
      </w:r>
      <w:r>
        <w:rPr>
          <w:color w:val="000000"/>
          <w:highlight w:val="none"/>
        </w:rPr>
        <w:tab/>
      </w:r>
      <w:r>
        <w:rPr>
          <w:color w:val="000000"/>
          <w:highlight w:val="none"/>
        </w:rPr>
        <w:t>从业人员人数：</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（7）</w:t>
      </w:r>
      <w:r>
        <w:rPr>
          <w:color w:val="000000"/>
          <w:highlight w:val="none"/>
        </w:rPr>
        <w:tab/>
      </w:r>
      <w:r>
        <w:rPr>
          <w:color w:val="000000"/>
          <w:highlight w:val="none"/>
        </w:rPr>
        <w:t>营业收入：</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（8）</w:t>
      </w:r>
      <w:r>
        <w:rPr>
          <w:color w:val="000000"/>
          <w:highlight w:val="none"/>
        </w:rPr>
        <w:tab/>
      </w:r>
      <w:r>
        <w:rPr>
          <w:color w:val="000000"/>
          <w:highlight w:val="none"/>
        </w:rPr>
        <w:t>资产总额：</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（9）</w:t>
      </w:r>
      <w:r>
        <w:rPr>
          <w:color w:val="000000"/>
          <w:highlight w:val="none"/>
        </w:rPr>
        <w:tab/>
      </w:r>
      <w:r>
        <w:rPr>
          <w:color w:val="000000"/>
          <w:highlight w:val="none"/>
        </w:rPr>
        <w:t>近期资产负债表（到</w:t>
      </w:r>
      <w:r>
        <w:rPr>
          <w:color w:val="000000"/>
          <w:highlight w:val="none"/>
          <w:u w:val="single"/>
        </w:rPr>
        <w:tab/>
      </w:r>
      <w:r>
        <w:rPr>
          <w:color w:val="000000"/>
          <w:highlight w:val="none"/>
          <w:u w:val="single"/>
        </w:rPr>
        <w:tab/>
      </w:r>
      <w:r>
        <w:rPr>
          <w:color w:val="000000"/>
          <w:highlight w:val="none"/>
        </w:rPr>
        <w:t>年</w:t>
      </w:r>
      <w:r>
        <w:rPr>
          <w:color w:val="000000"/>
          <w:highlight w:val="none"/>
          <w:u w:val="single"/>
        </w:rPr>
        <w:tab/>
      </w:r>
      <w:r>
        <w:rPr>
          <w:color w:val="000000"/>
          <w:highlight w:val="none"/>
          <w:u w:val="single"/>
        </w:rPr>
        <w:tab/>
      </w:r>
      <w:r>
        <w:rPr>
          <w:color w:val="000000"/>
          <w:highlight w:val="none"/>
        </w:rPr>
        <w:t>月</w:t>
      </w:r>
      <w:r>
        <w:rPr>
          <w:color w:val="000000"/>
          <w:highlight w:val="none"/>
          <w:u w:val="single"/>
        </w:rPr>
        <w:tab/>
      </w:r>
      <w:r>
        <w:rPr>
          <w:color w:val="000000"/>
          <w:highlight w:val="none"/>
          <w:u w:val="single"/>
        </w:rPr>
        <w:tab/>
      </w:r>
      <w:r>
        <w:rPr>
          <w:color w:val="000000"/>
          <w:highlight w:val="none"/>
        </w:rPr>
        <w:t>日止）</w:t>
      </w:r>
    </w:p>
    <w:p>
      <w:pPr>
        <w:pStyle w:val="12"/>
        <w:rPr>
          <w:color w:val="000000"/>
          <w:highlight w:val="none"/>
        </w:rPr>
      </w:pPr>
      <w:r>
        <w:rPr>
          <w:color w:val="000000"/>
          <w:highlight w:val="none"/>
        </w:rPr>
        <w:tab/>
      </w:r>
      <w:r>
        <w:rPr>
          <w:color w:val="000000"/>
          <w:highlight w:val="none"/>
        </w:rPr>
        <w:t>（a）</w:t>
      </w:r>
      <w:r>
        <w:rPr>
          <w:color w:val="000000"/>
          <w:highlight w:val="none"/>
        </w:rPr>
        <w:tab/>
      </w:r>
      <w:r>
        <w:rPr>
          <w:color w:val="000000"/>
          <w:highlight w:val="none"/>
        </w:rPr>
        <w:t>固定资产：</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（b）</w:t>
      </w:r>
      <w:r>
        <w:rPr>
          <w:color w:val="000000"/>
          <w:highlight w:val="none"/>
        </w:rPr>
        <w:tab/>
      </w:r>
      <w:r>
        <w:rPr>
          <w:color w:val="000000"/>
          <w:highlight w:val="none"/>
        </w:rPr>
        <w:t>流动资金：</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（c）</w:t>
      </w:r>
      <w:r>
        <w:rPr>
          <w:color w:val="000000"/>
          <w:highlight w:val="none"/>
        </w:rPr>
        <w:tab/>
      </w:r>
      <w:r>
        <w:rPr>
          <w:color w:val="000000"/>
          <w:highlight w:val="none"/>
        </w:rPr>
        <w:t>长期负债：</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（d）</w:t>
      </w:r>
      <w:r>
        <w:rPr>
          <w:color w:val="000000"/>
          <w:highlight w:val="none"/>
        </w:rPr>
        <w:tab/>
      </w:r>
      <w:r>
        <w:rPr>
          <w:color w:val="000000"/>
          <w:highlight w:val="none"/>
        </w:rPr>
        <w:t>短期负债：</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2"/>
        <w:numPr>
          <w:ilvl w:val="0"/>
          <w:numId w:val="8"/>
        </w:numPr>
        <w:rPr>
          <w:rFonts w:ascii="Times New Roman"/>
          <w:color w:val="000000"/>
          <w:highlight w:val="none"/>
        </w:rPr>
      </w:pPr>
      <w:bookmarkStart w:id="864" w:name="_Toc512602463"/>
      <w:bookmarkStart w:id="865" w:name="_Toc5116282"/>
      <w:bookmarkStart w:id="866" w:name="_Toc503130422"/>
      <w:bookmarkStart w:id="867" w:name="_Toc10166"/>
      <w:r>
        <w:rPr>
          <w:rFonts w:ascii="Times New Roman"/>
          <w:color w:val="000000"/>
          <w:highlight w:val="none"/>
        </w:rPr>
        <w:t>制造投标货物的设施及其他情况</w:t>
      </w:r>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pPr>
        <w:pStyle w:val="12"/>
        <w:rPr>
          <w:color w:val="000000"/>
          <w:highlight w:val="none"/>
        </w:rPr>
      </w:pPr>
      <w:r>
        <w:rPr>
          <w:color w:val="000000"/>
          <w:highlight w:val="none"/>
        </w:rPr>
        <w:t>（1）</w:t>
      </w:r>
      <w:r>
        <w:rPr>
          <w:color w:val="000000"/>
          <w:highlight w:val="none"/>
        </w:rPr>
        <w:tab/>
      </w:r>
      <w:r>
        <w:rPr>
          <w:color w:val="000000"/>
          <w:highlight w:val="none"/>
        </w:rPr>
        <w:t>关于制造投标货物的设施及其他情况：</w:t>
      </w:r>
    </w:p>
    <w:p>
      <w:pPr>
        <w:tabs>
          <w:tab w:val="left" w:pos="2500"/>
          <w:tab w:val="left" w:pos="5100"/>
          <w:tab w:val="left" w:pos="7680"/>
        </w:tabs>
        <w:autoSpaceDE w:val="0"/>
        <w:autoSpaceDN w:val="0"/>
        <w:textAlignment w:val="bottom"/>
        <w:rPr>
          <w:color w:val="000000"/>
          <w:highlight w:val="none"/>
        </w:rPr>
      </w:pPr>
      <w:r>
        <w:rPr>
          <w:color w:val="000000"/>
          <w:highlight w:val="none"/>
        </w:rPr>
        <w:t>工厂名称地址</w:t>
      </w:r>
      <w:r>
        <w:rPr>
          <w:color w:val="000000"/>
          <w:highlight w:val="none"/>
        </w:rPr>
        <w:tab/>
      </w:r>
      <w:r>
        <w:rPr>
          <w:color w:val="000000"/>
          <w:highlight w:val="none"/>
        </w:rPr>
        <w:t>生产的项目</w:t>
      </w:r>
      <w:r>
        <w:rPr>
          <w:color w:val="000000"/>
          <w:highlight w:val="none"/>
        </w:rPr>
        <w:tab/>
      </w:r>
      <w:r>
        <w:rPr>
          <w:color w:val="000000"/>
          <w:highlight w:val="none"/>
        </w:rPr>
        <w:t>年生产能力</w:t>
      </w:r>
      <w:r>
        <w:rPr>
          <w:color w:val="000000"/>
          <w:highlight w:val="none"/>
        </w:rPr>
        <w:tab/>
      </w:r>
      <w:r>
        <w:rPr>
          <w:color w:val="000000"/>
          <w:highlight w:val="none"/>
        </w:rPr>
        <w:t>职工人数</w:t>
      </w:r>
    </w:p>
    <w:p>
      <w:pPr>
        <w:tabs>
          <w:tab w:val="left" w:pos="2500"/>
          <w:tab w:val="left" w:pos="5100"/>
          <w:tab w:val="left" w:pos="7680"/>
        </w:tabs>
        <w:autoSpaceDE w:val="0"/>
        <w:autoSpaceDN w:val="0"/>
        <w:textAlignment w:val="bottom"/>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r>
        <w:rPr>
          <w:color w:val="000000"/>
          <w:highlight w:val="none"/>
        </w:rPr>
        <w:tab/>
      </w:r>
      <w:r>
        <w:rPr>
          <w:color w:val="000000"/>
          <w:highlight w:val="none"/>
          <w:u w:val="single"/>
        </w:rPr>
        <w:t xml:space="preserve">            </w:t>
      </w:r>
      <w:r>
        <w:rPr>
          <w:color w:val="000000"/>
          <w:highlight w:val="none"/>
        </w:rPr>
        <w:tab/>
      </w:r>
      <w:r>
        <w:rPr>
          <w:color w:val="000000"/>
          <w:highlight w:val="none"/>
          <w:u w:val="single"/>
        </w:rPr>
        <w:t xml:space="preserve">            </w:t>
      </w:r>
    </w:p>
    <w:p>
      <w:pPr>
        <w:tabs>
          <w:tab w:val="left" w:pos="2500"/>
          <w:tab w:val="left" w:pos="5100"/>
          <w:tab w:val="left" w:pos="7680"/>
        </w:tabs>
        <w:autoSpaceDE w:val="0"/>
        <w:autoSpaceDN w:val="0"/>
        <w:textAlignment w:val="bottom"/>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r>
        <w:rPr>
          <w:color w:val="000000"/>
          <w:highlight w:val="none"/>
        </w:rPr>
        <w:tab/>
      </w:r>
      <w:r>
        <w:rPr>
          <w:color w:val="000000"/>
          <w:highlight w:val="none"/>
          <w:u w:val="single"/>
        </w:rPr>
        <w:t xml:space="preserve">            </w:t>
      </w:r>
      <w:r>
        <w:rPr>
          <w:color w:val="000000"/>
          <w:highlight w:val="none"/>
        </w:rPr>
        <w:tab/>
      </w:r>
      <w:r>
        <w:rPr>
          <w:color w:val="000000"/>
          <w:highlight w:val="none"/>
          <w:u w:val="single"/>
        </w:rPr>
        <w:t xml:space="preserve">            </w:t>
      </w:r>
    </w:p>
    <w:p>
      <w:pPr>
        <w:pStyle w:val="12"/>
        <w:rPr>
          <w:color w:val="000000"/>
          <w:highlight w:val="none"/>
        </w:rPr>
      </w:pPr>
      <w:r>
        <w:rPr>
          <w:color w:val="000000"/>
          <w:highlight w:val="none"/>
        </w:rPr>
        <w:t>（2）</w:t>
      </w:r>
      <w:r>
        <w:rPr>
          <w:color w:val="000000"/>
          <w:highlight w:val="none"/>
        </w:rPr>
        <w:tab/>
      </w:r>
      <w:r>
        <w:rPr>
          <w:color w:val="000000"/>
          <w:highlight w:val="none"/>
        </w:rPr>
        <w:t>本制造厂不生产，而须从其他制造厂购买的主要零部件：</w:t>
      </w:r>
    </w:p>
    <w:p>
      <w:pPr>
        <w:tabs>
          <w:tab w:val="left" w:pos="4840"/>
        </w:tabs>
        <w:rPr>
          <w:color w:val="000000"/>
          <w:highlight w:val="none"/>
        </w:rPr>
      </w:pPr>
      <w:r>
        <w:rPr>
          <w:color w:val="000000"/>
          <w:highlight w:val="none"/>
        </w:rPr>
        <w:t>制造厂的名称和地址</w:t>
      </w:r>
      <w:r>
        <w:rPr>
          <w:color w:val="000000"/>
          <w:highlight w:val="none"/>
        </w:rPr>
        <w:tab/>
      </w:r>
      <w:r>
        <w:rPr>
          <w:color w:val="000000"/>
          <w:highlight w:val="none"/>
        </w:rPr>
        <w:t>主要零部件名称</w:t>
      </w:r>
    </w:p>
    <w:p>
      <w:pPr>
        <w:tabs>
          <w:tab w:val="left" w:pos="4840"/>
        </w:tabs>
        <w:rPr>
          <w:color w:val="000000"/>
          <w:highlight w:val="non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4840"/>
        </w:tabs>
        <w:rPr>
          <w:color w:val="000000"/>
          <w:highlight w:val="non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868" w:name="_Toc503130423"/>
      <w:bookmarkStart w:id="869" w:name="_Toc5116283"/>
      <w:bookmarkStart w:id="870" w:name="_Toc434462244"/>
      <w:bookmarkStart w:id="871" w:name="_Toc8343794"/>
      <w:bookmarkStart w:id="872" w:name="_Toc452727373"/>
      <w:bookmarkStart w:id="873" w:name="_Toc434897359"/>
      <w:bookmarkStart w:id="874" w:name="_Toc452306169"/>
      <w:bookmarkStart w:id="875" w:name="_Toc452727013"/>
      <w:bookmarkStart w:id="876" w:name="_Toc389653630"/>
      <w:bookmarkStart w:id="877" w:name="_Toc434462855"/>
      <w:bookmarkStart w:id="878" w:name="_Toc434460951"/>
      <w:bookmarkStart w:id="879" w:name="_Toc389457558"/>
      <w:bookmarkStart w:id="880" w:name="_Toc18448"/>
      <w:bookmarkStart w:id="881" w:name="_Toc452800758"/>
      <w:bookmarkStart w:id="882" w:name="_Toc450211836"/>
      <w:bookmarkStart w:id="883" w:name="_Toc2063660"/>
      <w:bookmarkStart w:id="884" w:name="_Toc2063785"/>
      <w:bookmarkStart w:id="885" w:name="_Toc302374231"/>
      <w:bookmarkStart w:id="886" w:name="_Toc2063916"/>
      <w:bookmarkStart w:id="887" w:name="_Toc512602464"/>
      <w:r>
        <w:rPr>
          <w:rFonts w:ascii="Times New Roman"/>
          <w:color w:val="000000"/>
          <w:highlight w:val="none"/>
        </w:rPr>
        <w:t>制造厂生产此投标货物的历史（年数）</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pPr>
        <w:tabs>
          <w:tab w:val="left" w:pos="8180"/>
        </w:tabs>
        <w:rPr>
          <w:color w:val="000000"/>
          <w:highlight w:val="none"/>
          <w:u w:val="single"/>
        </w:rPr>
      </w:pPr>
      <w:r>
        <w:rPr>
          <w:color w:val="000000"/>
          <w:highlight w:val="none"/>
          <w:u w:val="single"/>
        </w:rPr>
        <w:tab/>
      </w:r>
    </w:p>
    <w:p>
      <w:pPr>
        <w:pStyle w:val="2"/>
        <w:numPr>
          <w:ilvl w:val="0"/>
          <w:numId w:val="8"/>
        </w:numPr>
        <w:rPr>
          <w:rFonts w:ascii="Times New Roman"/>
          <w:color w:val="000000"/>
          <w:highlight w:val="none"/>
        </w:rPr>
      </w:pPr>
      <w:bookmarkStart w:id="888" w:name="_Toc389457559"/>
      <w:bookmarkStart w:id="889" w:name="_Toc450211837"/>
      <w:bookmarkStart w:id="890" w:name="_Toc2063917"/>
      <w:bookmarkStart w:id="891" w:name="_Toc2063661"/>
      <w:bookmarkStart w:id="892" w:name="_Toc5116284"/>
      <w:bookmarkStart w:id="893" w:name="_Toc2063786"/>
      <w:bookmarkStart w:id="894" w:name="_Toc452800759"/>
      <w:bookmarkStart w:id="895" w:name="_Toc434897360"/>
      <w:bookmarkStart w:id="896" w:name="_Toc512602465"/>
      <w:bookmarkStart w:id="897" w:name="_Toc434462856"/>
      <w:bookmarkStart w:id="898" w:name="_Toc18032"/>
      <w:bookmarkStart w:id="899" w:name="_Toc389653631"/>
      <w:bookmarkStart w:id="900" w:name="_Toc503130424"/>
      <w:bookmarkStart w:id="901" w:name="_Toc434462245"/>
      <w:bookmarkStart w:id="902" w:name="_Toc452306170"/>
      <w:bookmarkStart w:id="903" w:name="_Toc302374232"/>
      <w:bookmarkStart w:id="904" w:name="_Toc434460952"/>
      <w:bookmarkStart w:id="905" w:name="_Toc452727374"/>
      <w:bookmarkStart w:id="906" w:name="_Toc452727014"/>
      <w:bookmarkStart w:id="907" w:name="_Toc8343795"/>
      <w:r>
        <w:rPr>
          <w:rFonts w:ascii="Times New Roman"/>
          <w:color w:val="000000"/>
          <w:highlight w:val="none"/>
        </w:rPr>
        <w:t>近三年该货物销售给境内、外主要客户的名称地址</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pPr>
        <w:tabs>
          <w:tab w:val="left" w:pos="4840"/>
        </w:tabs>
        <w:rPr>
          <w:color w:val="000000"/>
          <w:highlight w:val="none"/>
        </w:rPr>
      </w:pPr>
      <w:r>
        <w:rPr>
          <w:color w:val="000000"/>
          <w:highlight w:val="none"/>
        </w:rPr>
        <w:t>名称和地址</w:t>
      </w:r>
      <w:r>
        <w:rPr>
          <w:color w:val="000000"/>
          <w:highlight w:val="none"/>
        </w:rPr>
        <w:tab/>
      </w:r>
      <w:r>
        <w:rPr>
          <w:color w:val="000000"/>
          <w:highlight w:val="none"/>
        </w:rPr>
        <w:t>销售项目</w:t>
      </w:r>
    </w:p>
    <w:p>
      <w:pPr>
        <w:tabs>
          <w:tab w:val="left" w:pos="48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48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908" w:name="_Toc450211838"/>
      <w:bookmarkStart w:id="909" w:name="_Toc389653632"/>
      <w:bookmarkStart w:id="910" w:name="_Toc2063662"/>
      <w:bookmarkStart w:id="911" w:name="_Toc452800760"/>
      <w:bookmarkStart w:id="912" w:name="_Toc434462857"/>
      <w:bookmarkStart w:id="913" w:name="_Toc452727015"/>
      <w:bookmarkStart w:id="914" w:name="_Toc25206"/>
      <w:bookmarkStart w:id="915" w:name="_Toc434897361"/>
      <w:bookmarkStart w:id="916" w:name="_Toc434462246"/>
      <w:bookmarkStart w:id="917" w:name="_Toc434460953"/>
      <w:bookmarkStart w:id="918" w:name="_Toc503130425"/>
      <w:bookmarkStart w:id="919" w:name="_Toc452306171"/>
      <w:bookmarkStart w:id="920" w:name="_Toc2063918"/>
      <w:bookmarkStart w:id="921" w:name="_Toc302374233"/>
      <w:bookmarkStart w:id="922" w:name="_Toc389457560"/>
      <w:bookmarkStart w:id="923" w:name="_Toc452727375"/>
      <w:bookmarkStart w:id="924" w:name="_Toc2063787"/>
      <w:bookmarkStart w:id="925" w:name="_Toc8343796"/>
      <w:bookmarkStart w:id="926" w:name="_Toc512602466"/>
      <w:bookmarkStart w:id="927" w:name="_Toc5116285"/>
      <w:r>
        <w:rPr>
          <w:rFonts w:ascii="Times New Roman"/>
          <w:color w:val="000000"/>
          <w:highlight w:val="none"/>
        </w:rPr>
        <w:t>近三年的年营业额</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pPr>
        <w:tabs>
          <w:tab w:val="left" w:pos="500"/>
          <w:tab w:val="left" w:pos="2820"/>
          <w:tab w:val="left" w:pos="5380"/>
          <w:tab w:val="left" w:pos="7840"/>
        </w:tabs>
        <w:autoSpaceDE w:val="0"/>
        <w:autoSpaceDN w:val="0"/>
        <w:textAlignment w:val="bottom"/>
        <w:rPr>
          <w:color w:val="000000"/>
          <w:highlight w:val="none"/>
        </w:rPr>
      </w:pPr>
      <w:r>
        <w:rPr>
          <w:color w:val="000000"/>
          <w:highlight w:val="none"/>
        </w:rPr>
        <w:tab/>
      </w:r>
      <w:r>
        <w:rPr>
          <w:color w:val="000000"/>
          <w:highlight w:val="none"/>
        </w:rPr>
        <w:t>年份</w:t>
      </w:r>
      <w:r>
        <w:rPr>
          <w:color w:val="000000"/>
          <w:highlight w:val="none"/>
        </w:rPr>
        <w:tab/>
      </w:r>
      <w:r>
        <w:rPr>
          <w:color w:val="000000"/>
          <w:highlight w:val="none"/>
        </w:rPr>
        <w:t>总额</w:t>
      </w:r>
    </w:p>
    <w:p>
      <w:pPr>
        <w:tabs>
          <w:tab w:val="left" w:pos="2320"/>
          <w:tab w:val="left" w:pos="4880"/>
          <w:tab w:val="left" w:pos="7400"/>
        </w:tabs>
        <w:autoSpaceDE w:val="0"/>
        <w:autoSpaceDN w:val="0"/>
        <w:textAlignment w:val="bottom"/>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2320"/>
          <w:tab w:val="left" w:pos="4880"/>
          <w:tab w:val="left" w:pos="7400"/>
        </w:tabs>
        <w:autoSpaceDE w:val="0"/>
        <w:autoSpaceDN w:val="0"/>
        <w:textAlignment w:val="bottom"/>
        <w:rPr>
          <w:color w:val="000000"/>
          <w:highlight w:val="non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928" w:name="_Toc503130426"/>
      <w:bookmarkStart w:id="929" w:name="_Toc2063788"/>
      <w:bookmarkStart w:id="930" w:name="_Toc26790"/>
      <w:bookmarkStart w:id="931" w:name="_Toc302374234"/>
      <w:bookmarkStart w:id="932" w:name="_Toc5116286"/>
      <w:bookmarkStart w:id="933" w:name="_Toc452727016"/>
      <w:bookmarkStart w:id="934" w:name="_Toc452306172"/>
      <w:bookmarkStart w:id="935" w:name="_Toc512602467"/>
      <w:bookmarkStart w:id="936" w:name="_Toc452800761"/>
      <w:bookmarkStart w:id="937" w:name="_Toc2063919"/>
      <w:bookmarkStart w:id="938" w:name="_Toc434460954"/>
      <w:bookmarkStart w:id="939" w:name="_Toc434897362"/>
      <w:bookmarkStart w:id="940" w:name="_Toc389653633"/>
      <w:bookmarkStart w:id="941" w:name="_Toc434462858"/>
      <w:bookmarkStart w:id="942" w:name="_Toc434462247"/>
      <w:bookmarkStart w:id="943" w:name="_Toc8343797"/>
      <w:bookmarkStart w:id="944" w:name="_Toc2063663"/>
      <w:bookmarkStart w:id="945" w:name="_Toc389457561"/>
      <w:bookmarkStart w:id="946" w:name="_Toc452727376"/>
      <w:bookmarkStart w:id="947" w:name="_Toc450211839"/>
      <w:r>
        <w:rPr>
          <w:rFonts w:ascii="Times New Roman"/>
          <w:color w:val="000000"/>
          <w:highlight w:val="none"/>
        </w:rPr>
        <w:t>易损件供应商的名称和地址</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pPr>
        <w:tabs>
          <w:tab w:val="left" w:pos="5400"/>
        </w:tabs>
        <w:autoSpaceDE w:val="0"/>
        <w:autoSpaceDN w:val="0"/>
        <w:ind w:firstLine="940"/>
        <w:textAlignment w:val="bottom"/>
        <w:rPr>
          <w:color w:val="000000"/>
          <w:highlight w:val="none"/>
        </w:rPr>
      </w:pPr>
      <w:r>
        <w:rPr>
          <w:color w:val="000000"/>
          <w:highlight w:val="none"/>
        </w:rPr>
        <w:t>部件名称</w:t>
      </w:r>
      <w:r>
        <w:rPr>
          <w:color w:val="000000"/>
          <w:highlight w:val="none"/>
        </w:rPr>
        <w:tab/>
      </w:r>
      <w:r>
        <w:rPr>
          <w:color w:val="000000"/>
          <w:highlight w:val="none"/>
        </w:rPr>
        <w:t>供应商</w:t>
      </w:r>
    </w:p>
    <w:p>
      <w:pPr>
        <w:tabs>
          <w:tab w:val="left" w:pos="43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4340"/>
        </w:tabs>
        <w:rPr>
          <w:color w:val="000000"/>
          <w:highlight w:val="non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948" w:name="_Toc5116287"/>
      <w:bookmarkStart w:id="949" w:name="_Toc512602468"/>
      <w:bookmarkStart w:id="950" w:name="_Toc389653634"/>
      <w:bookmarkStart w:id="951" w:name="_Toc450211840"/>
      <w:bookmarkStart w:id="952" w:name="_Toc452727377"/>
      <w:bookmarkStart w:id="953" w:name="_Toc434460955"/>
      <w:bookmarkStart w:id="954" w:name="_Toc452727017"/>
      <w:bookmarkStart w:id="955" w:name="_Toc389457562"/>
      <w:bookmarkStart w:id="956" w:name="_Toc2063920"/>
      <w:bookmarkStart w:id="957" w:name="_Toc10299"/>
      <w:bookmarkStart w:id="958" w:name="_Toc2063789"/>
      <w:bookmarkStart w:id="959" w:name="_Toc452306173"/>
      <w:bookmarkStart w:id="960" w:name="_Toc434462248"/>
      <w:bookmarkStart w:id="961" w:name="_Toc302374235"/>
      <w:bookmarkStart w:id="962" w:name="_Toc8343798"/>
      <w:bookmarkStart w:id="963" w:name="_Toc503130427"/>
      <w:bookmarkStart w:id="964" w:name="_Toc2063664"/>
      <w:bookmarkStart w:id="965" w:name="_Toc452800762"/>
      <w:bookmarkStart w:id="966" w:name="_Toc434897363"/>
      <w:bookmarkStart w:id="967" w:name="_Toc434462859"/>
      <w:r>
        <w:rPr>
          <w:rFonts w:ascii="Times New Roman"/>
          <w:color w:val="000000"/>
          <w:highlight w:val="none"/>
        </w:rPr>
        <w:t>有关开户银行的名称和地址</w:t>
      </w:r>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p>
    <w:p>
      <w:pPr>
        <w:tabs>
          <w:tab w:val="left" w:pos="5540"/>
        </w:tabs>
        <w:autoSpaceDE w:val="0"/>
        <w:autoSpaceDN w:val="0"/>
        <w:ind w:firstLine="940"/>
        <w:textAlignment w:val="bottom"/>
        <w:rPr>
          <w:color w:val="000000"/>
          <w:highlight w:val="none"/>
        </w:rPr>
      </w:pPr>
      <w:r>
        <w:rPr>
          <w:color w:val="000000"/>
          <w:highlight w:val="none"/>
        </w:rPr>
        <w:t>银行名称</w:t>
      </w:r>
      <w:r>
        <w:rPr>
          <w:color w:val="000000"/>
          <w:highlight w:val="none"/>
        </w:rPr>
        <w:tab/>
      </w:r>
      <w:r>
        <w:rPr>
          <w:color w:val="000000"/>
          <w:highlight w:val="none"/>
        </w:rPr>
        <w:t>地址</w:t>
      </w:r>
    </w:p>
    <w:p>
      <w:pPr>
        <w:tabs>
          <w:tab w:val="left" w:pos="43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968" w:name="_Toc503130428"/>
      <w:bookmarkStart w:id="969" w:name="_Toc302374236"/>
      <w:bookmarkStart w:id="970" w:name="_Toc452727378"/>
      <w:bookmarkStart w:id="971" w:name="_Toc4157"/>
      <w:bookmarkStart w:id="972" w:name="_Toc2063790"/>
      <w:bookmarkStart w:id="973" w:name="_Toc434897364"/>
      <w:bookmarkStart w:id="974" w:name="_Toc512602469"/>
      <w:bookmarkStart w:id="975" w:name="_Toc2063665"/>
      <w:bookmarkStart w:id="976" w:name="_Toc452727018"/>
      <w:bookmarkStart w:id="977" w:name="_Toc434462249"/>
      <w:bookmarkStart w:id="978" w:name="_Toc452306174"/>
      <w:bookmarkStart w:id="979" w:name="_Toc434460956"/>
      <w:bookmarkStart w:id="980" w:name="_Toc452800763"/>
      <w:bookmarkStart w:id="981" w:name="_Toc434462860"/>
      <w:bookmarkStart w:id="982" w:name="_Toc389653635"/>
      <w:bookmarkStart w:id="983" w:name="_Toc8343799"/>
      <w:bookmarkStart w:id="984" w:name="_Toc450211841"/>
      <w:bookmarkStart w:id="985" w:name="_Toc389457563"/>
      <w:bookmarkStart w:id="986" w:name="_Toc2063921"/>
      <w:bookmarkStart w:id="987" w:name="_Toc5116288"/>
      <w:r>
        <w:rPr>
          <w:rFonts w:ascii="Times New Roman"/>
          <w:color w:val="000000"/>
          <w:highlight w:val="none"/>
        </w:rPr>
        <w:t>其他情况</w:t>
      </w:r>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p>
    <w:p>
      <w:pPr>
        <w:rPr>
          <w:color w:val="000000"/>
          <w:highlight w:val="none"/>
          <w:u w:val="single"/>
        </w:rPr>
      </w:pPr>
      <w:r>
        <w:rPr>
          <w:color w:val="000000"/>
          <w:highlight w:val="none"/>
          <w:u w:val="single"/>
        </w:rPr>
        <w:t xml:space="preserve">                                                                               </w:t>
      </w:r>
    </w:p>
    <w:p>
      <w:pPr>
        <w:pStyle w:val="12"/>
        <w:rPr>
          <w:color w:val="000000"/>
          <w:highlight w:val="none"/>
        </w:rPr>
      </w:pPr>
      <w:r>
        <w:rPr>
          <w:color w:val="000000"/>
          <w:highlight w:val="none"/>
        </w:rPr>
        <w:t>兹证明上述声明是真实、正确的，并提供了全部能提供的资料和数据，我方同意遵照贵方要求出示有关证明文件。</w:t>
      </w:r>
    </w:p>
    <w:p>
      <w:pPr>
        <w:rPr>
          <w:color w:val="000000"/>
          <w:highlight w:val="none"/>
        </w:rPr>
      </w:pPr>
    </w:p>
    <w:p>
      <w:pPr>
        <w:pStyle w:val="12"/>
        <w:tabs>
          <w:tab w:val="left" w:pos="8860"/>
        </w:tabs>
        <w:spacing w:before="408" w:beforeLines="170"/>
        <w:ind w:firstLine="3580"/>
        <w:rPr>
          <w:color w:val="000000"/>
          <w:highlight w:val="none"/>
        </w:rPr>
      </w:pPr>
      <w:r>
        <w:rPr>
          <w:color w:val="000000"/>
          <w:highlight w:val="none"/>
        </w:rPr>
        <w:t>日期：</w:t>
      </w:r>
      <w:r>
        <w:rPr>
          <w:color w:val="000000"/>
          <w:highlight w:val="none"/>
          <w:u w:val="single"/>
        </w:rPr>
        <w:tab/>
      </w:r>
    </w:p>
    <w:p>
      <w:pPr>
        <w:pStyle w:val="12"/>
        <w:tabs>
          <w:tab w:val="left" w:pos="8860"/>
        </w:tabs>
        <w:ind w:firstLine="3580"/>
        <w:rPr>
          <w:color w:val="000000"/>
          <w:highlight w:val="none"/>
        </w:rPr>
      </w:pPr>
      <w:r>
        <w:rPr>
          <w:color w:val="000000"/>
          <w:highlight w:val="none"/>
        </w:rPr>
        <w:t>制造厂名称：</w:t>
      </w:r>
      <w:r>
        <w:rPr>
          <w:color w:val="000000"/>
          <w:highlight w:val="none"/>
          <w:u w:val="single"/>
        </w:rPr>
        <w:tab/>
      </w:r>
    </w:p>
    <w:p>
      <w:pPr>
        <w:pStyle w:val="12"/>
        <w:tabs>
          <w:tab w:val="left" w:pos="8860"/>
        </w:tabs>
        <w:ind w:firstLine="3580"/>
        <w:rPr>
          <w:color w:val="000000"/>
          <w:highlight w:val="none"/>
        </w:rPr>
      </w:pPr>
      <w:r>
        <w:rPr>
          <w:color w:val="000000"/>
          <w:highlight w:val="none"/>
        </w:rPr>
        <w:t>授权代表签字：</w:t>
      </w:r>
      <w:r>
        <w:rPr>
          <w:color w:val="000000"/>
          <w:highlight w:val="none"/>
          <w:u w:val="single"/>
        </w:rPr>
        <w:tab/>
      </w:r>
    </w:p>
    <w:p>
      <w:pPr>
        <w:pStyle w:val="12"/>
        <w:tabs>
          <w:tab w:val="left" w:pos="8860"/>
        </w:tabs>
        <w:ind w:firstLine="3580"/>
        <w:rPr>
          <w:color w:val="000000"/>
          <w:highlight w:val="none"/>
        </w:rPr>
      </w:pPr>
      <w:r>
        <w:rPr>
          <w:color w:val="000000"/>
          <w:highlight w:val="none"/>
        </w:rPr>
        <w:t>授权代表的职务：</w:t>
      </w:r>
      <w:r>
        <w:rPr>
          <w:color w:val="000000"/>
          <w:highlight w:val="none"/>
          <w:u w:val="single"/>
        </w:rPr>
        <w:tab/>
      </w:r>
    </w:p>
    <w:p>
      <w:pPr>
        <w:pStyle w:val="12"/>
        <w:tabs>
          <w:tab w:val="left" w:pos="8860"/>
        </w:tabs>
        <w:ind w:firstLine="3580"/>
        <w:rPr>
          <w:color w:val="000000"/>
          <w:highlight w:val="none"/>
        </w:rPr>
      </w:pPr>
      <w:r>
        <w:rPr>
          <w:color w:val="000000"/>
          <w:highlight w:val="none"/>
        </w:rPr>
        <w:t>电话号码：</w:t>
      </w:r>
      <w:r>
        <w:rPr>
          <w:color w:val="000000"/>
          <w:highlight w:val="none"/>
          <w:u w:val="single"/>
        </w:rPr>
        <w:tab/>
      </w:r>
    </w:p>
    <w:p>
      <w:pPr>
        <w:pStyle w:val="12"/>
        <w:tabs>
          <w:tab w:val="left" w:pos="8860"/>
        </w:tabs>
        <w:ind w:firstLine="3580"/>
        <w:rPr>
          <w:color w:val="000000"/>
          <w:highlight w:val="none"/>
        </w:rPr>
      </w:pPr>
      <w:r>
        <w:rPr>
          <w:color w:val="000000"/>
          <w:highlight w:val="none"/>
        </w:rPr>
        <w:t>传真号码：</w:t>
      </w:r>
      <w:r>
        <w:rPr>
          <w:color w:val="000000"/>
          <w:highlight w:val="none"/>
          <w:u w:val="single"/>
        </w:rPr>
        <w:tab/>
      </w:r>
    </w:p>
    <w:p>
      <w:pPr>
        <w:pStyle w:val="12"/>
        <w:tabs>
          <w:tab w:val="left" w:pos="8860"/>
        </w:tabs>
        <w:ind w:firstLine="3580"/>
        <w:rPr>
          <w:color w:val="000000"/>
          <w:highlight w:val="none"/>
        </w:rPr>
      </w:pPr>
      <w:r>
        <w:rPr>
          <w:color w:val="000000"/>
          <w:highlight w:val="none"/>
        </w:rPr>
        <w:t>电子信箱：</w:t>
      </w:r>
      <w:r>
        <w:rPr>
          <w:color w:val="000000"/>
          <w:highlight w:val="none"/>
          <w:u w:val="single"/>
        </w:rPr>
        <w:tab/>
      </w:r>
    </w:p>
    <w:p>
      <w:pPr>
        <w:pStyle w:val="12"/>
        <w:tabs>
          <w:tab w:val="left" w:pos="8860"/>
        </w:tabs>
        <w:spacing w:before="96" w:beforeLines="40"/>
        <w:ind w:firstLine="3580"/>
        <w:rPr>
          <w:color w:val="000000"/>
          <w:highlight w:val="none"/>
        </w:rPr>
      </w:pPr>
      <w:r>
        <w:rPr>
          <w:color w:val="000000"/>
          <w:highlight w:val="none"/>
        </w:rPr>
        <w:t>公章：</w:t>
      </w:r>
      <w:r>
        <w:rPr>
          <w:color w:val="000000"/>
          <w:highlight w:val="none"/>
          <w:u w:val="single"/>
        </w:rPr>
        <w:tab/>
      </w:r>
    </w:p>
    <w:p>
      <w:pPr>
        <w:pStyle w:val="82"/>
        <w:rPr>
          <w:rFonts w:ascii="Times New Roman"/>
          <w:color w:val="000000"/>
          <w:highlight w:val="none"/>
        </w:rPr>
      </w:pPr>
      <w:r>
        <w:rPr>
          <w:rFonts w:ascii="Times New Roman"/>
          <w:color w:val="000000"/>
          <w:highlight w:val="none"/>
        </w:rPr>
        <w:br w:type="page"/>
      </w:r>
      <w:bookmarkStart w:id="988" w:name="_Toc512602470"/>
      <w:bookmarkStart w:id="989" w:name="_Toc389653636"/>
      <w:bookmarkStart w:id="990" w:name="_Toc495406872"/>
      <w:bookmarkStart w:id="991" w:name="_Toc19561"/>
      <w:bookmarkStart w:id="992" w:name="_Toc389465282"/>
      <w:bookmarkStart w:id="993" w:name="_Toc389457564"/>
      <w:bookmarkStart w:id="994" w:name="_Toc491700940"/>
      <w:bookmarkStart w:id="995" w:name="_Toc450211842"/>
      <w:bookmarkStart w:id="996" w:name="_Toc503130429"/>
      <w:bookmarkStart w:id="997" w:name="_Toc2063922"/>
      <w:bookmarkStart w:id="998" w:name="_Toc2063791"/>
      <w:bookmarkStart w:id="999" w:name="_Toc2063666"/>
      <w:bookmarkStart w:id="1000" w:name="_Toc301765406"/>
      <w:bookmarkStart w:id="1001" w:name="_Toc2063962"/>
      <w:bookmarkStart w:id="1002" w:name="_Toc5116289"/>
      <w:bookmarkStart w:id="1003" w:name="_Toc302374237"/>
      <w:bookmarkStart w:id="1004" w:name="_Toc8343800"/>
      <w:bookmarkStart w:id="1005" w:name="_Toc503130742"/>
      <w:bookmarkStart w:id="1006" w:name="_Toc503130803"/>
      <w:r>
        <w:rPr>
          <w:rFonts w:ascii="Times New Roman"/>
          <w:color w:val="000000"/>
          <w:highlight w:val="none"/>
        </w:rPr>
        <w:t>贸易公司（作为代理）的声明</w:t>
      </w:r>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p>
    <w:p>
      <w:pPr>
        <w:spacing w:after="120" w:afterLines="50"/>
        <w:jc w:val="center"/>
        <w:rPr>
          <w:color w:val="000000"/>
          <w:highlight w:val="none"/>
        </w:rPr>
      </w:pPr>
      <w:bookmarkStart w:id="1007" w:name="_Toc389653637"/>
      <w:bookmarkStart w:id="1008" w:name="_Toc450211843"/>
      <w:bookmarkStart w:id="1009" w:name="_Toc512602471"/>
      <w:bookmarkStart w:id="1010" w:name="_Toc434897365"/>
      <w:bookmarkStart w:id="1011" w:name="_Toc452306175"/>
      <w:bookmarkStart w:id="1012" w:name="_Toc452727019"/>
      <w:bookmarkStart w:id="1013" w:name="_Toc452800764"/>
      <w:bookmarkStart w:id="1014" w:name="_Toc434460957"/>
      <w:bookmarkStart w:id="1015" w:name="_Toc434462250"/>
      <w:bookmarkStart w:id="1016" w:name="_Toc389457565"/>
      <w:bookmarkStart w:id="1017" w:name="_Toc503130430"/>
      <w:bookmarkStart w:id="1018" w:name="_Toc8343801"/>
      <w:bookmarkStart w:id="1019" w:name="_Toc2063792"/>
      <w:bookmarkStart w:id="1020" w:name="_Toc2063667"/>
      <w:bookmarkStart w:id="1021" w:name="_Toc2063923"/>
      <w:bookmarkStart w:id="1022" w:name="_Toc302374238"/>
      <w:bookmarkStart w:id="1023" w:name="_Toc434462861"/>
      <w:bookmarkStart w:id="1024" w:name="_Toc452727379"/>
      <w:r>
        <w:rPr>
          <w:color w:val="000000"/>
          <w:highlight w:val="none"/>
        </w:rPr>
        <w:t>（供参考，若制造厂直接投标，则无需提供此声明）</w:t>
      </w:r>
    </w:p>
    <w:p>
      <w:pPr>
        <w:pStyle w:val="2"/>
        <w:numPr>
          <w:ilvl w:val="0"/>
          <w:numId w:val="8"/>
        </w:numPr>
        <w:rPr>
          <w:rFonts w:ascii="Times New Roman"/>
          <w:color w:val="000000"/>
          <w:highlight w:val="none"/>
        </w:rPr>
      </w:pPr>
      <w:bookmarkStart w:id="1025" w:name="_Toc5116290"/>
      <w:bookmarkStart w:id="1026" w:name="_Toc16893"/>
      <w:r>
        <w:rPr>
          <w:rFonts w:ascii="Times New Roman"/>
          <w:color w:val="000000"/>
          <w:highlight w:val="none"/>
        </w:rPr>
        <w:t>名称及其他情况</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pPr>
        <w:pStyle w:val="12"/>
        <w:rPr>
          <w:color w:val="000000"/>
          <w:highlight w:val="none"/>
        </w:rPr>
      </w:pPr>
      <w:r>
        <w:rPr>
          <w:color w:val="000000"/>
          <w:highlight w:val="none"/>
        </w:rPr>
        <w:t>（1）</w:t>
      </w:r>
      <w:r>
        <w:rPr>
          <w:color w:val="000000"/>
          <w:highlight w:val="none"/>
        </w:rPr>
        <w:tab/>
      </w:r>
      <w:r>
        <w:rPr>
          <w:color w:val="000000"/>
          <w:highlight w:val="none"/>
        </w:rPr>
        <w:t>投标人名称：</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（2）</w:t>
      </w:r>
      <w:r>
        <w:rPr>
          <w:color w:val="000000"/>
          <w:highlight w:val="none"/>
        </w:rPr>
        <w:tab/>
      </w:r>
      <w:r>
        <w:rPr>
          <w:color w:val="000000"/>
          <w:highlight w:val="none"/>
        </w:rPr>
        <w:t>地址：</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（3）</w:t>
      </w:r>
      <w:r>
        <w:rPr>
          <w:color w:val="000000"/>
          <w:highlight w:val="none"/>
        </w:rPr>
        <w:tab/>
      </w:r>
      <w:r>
        <w:rPr>
          <w:color w:val="000000"/>
          <w:highlight w:val="none"/>
        </w:rPr>
        <w:t>成立和（或）注册日期：</w:t>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（4）</w:t>
      </w:r>
      <w:r>
        <w:rPr>
          <w:color w:val="000000"/>
          <w:highlight w:val="none"/>
        </w:rPr>
        <w:tab/>
      </w:r>
      <w:r>
        <w:rPr>
          <w:color w:val="000000"/>
          <w:highlight w:val="none"/>
        </w:rPr>
        <w:t>所属行业：</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（5）</w:t>
      </w:r>
      <w:r>
        <w:rPr>
          <w:color w:val="000000"/>
          <w:highlight w:val="none"/>
        </w:rPr>
        <w:tab/>
      </w:r>
      <w:r>
        <w:rPr>
          <w:color w:val="000000"/>
          <w:highlight w:val="none"/>
        </w:rPr>
        <w:t>企业性质：</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（6）</w:t>
      </w:r>
      <w:r>
        <w:rPr>
          <w:color w:val="000000"/>
          <w:highlight w:val="none"/>
        </w:rPr>
        <w:tab/>
      </w:r>
      <w:r>
        <w:rPr>
          <w:color w:val="000000"/>
          <w:highlight w:val="none"/>
        </w:rPr>
        <w:t>从业人员人数：</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（7）</w:t>
      </w:r>
      <w:r>
        <w:rPr>
          <w:color w:val="000000"/>
          <w:highlight w:val="none"/>
        </w:rPr>
        <w:tab/>
      </w:r>
      <w:r>
        <w:rPr>
          <w:color w:val="000000"/>
          <w:highlight w:val="none"/>
        </w:rPr>
        <w:t>营业收入：</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（8）</w:t>
      </w:r>
      <w:r>
        <w:rPr>
          <w:color w:val="000000"/>
          <w:highlight w:val="none"/>
        </w:rPr>
        <w:tab/>
      </w:r>
      <w:r>
        <w:rPr>
          <w:color w:val="000000"/>
          <w:highlight w:val="none"/>
        </w:rPr>
        <w:t>资产总额：</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（9）</w:t>
      </w:r>
      <w:r>
        <w:rPr>
          <w:color w:val="000000"/>
          <w:highlight w:val="none"/>
        </w:rPr>
        <w:tab/>
      </w:r>
      <w:r>
        <w:rPr>
          <w:color w:val="000000"/>
          <w:highlight w:val="none"/>
        </w:rPr>
        <w:t>近期资产负债表（到</w:t>
      </w:r>
      <w:r>
        <w:rPr>
          <w:color w:val="000000"/>
          <w:highlight w:val="none"/>
          <w:u w:val="single"/>
        </w:rPr>
        <w:tab/>
      </w:r>
      <w:r>
        <w:rPr>
          <w:color w:val="000000"/>
          <w:highlight w:val="none"/>
          <w:u w:val="single"/>
        </w:rPr>
        <w:tab/>
      </w:r>
      <w:r>
        <w:rPr>
          <w:color w:val="000000"/>
          <w:highlight w:val="none"/>
        </w:rPr>
        <w:t>年</w:t>
      </w:r>
      <w:r>
        <w:rPr>
          <w:color w:val="000000"/>
          <w:highlight w:val="none"/>
          <w:u w:val="single"/>
        </w:rPr>
        <w:tab/>
      </w:r>
      <w:r>
        <w:rPr>
          <w:color w:val="000000"/>
          <w:highlight w:val="none"/>
          <w:u w:val="single"/>
        </w:rPr>
        <w:tab/>
      </w:r>
      <w:r>
        <w:rPr>
          <w:color w:val="000000"/>
          <w:highlight w:val="none"/>
        </w:rPr>
        <w:t>月</w:t>
      </w:r>
      <w:r>
        <w:rPr>
          <w:color w:val="000000"/>
          <w:highlight w:val="none"/>
          <w:u w:val="single"/>
        </w:rPr>
        <w:tab/>
      </w:r>
      <w:r>
        <w:rPr>
          <w:color w:val="000000"/>
          <w:highlight w:val="none"/>
          <w:u w:val="single"/>
        </w:rPr>
        <w:tab/>
      </w:r>
      <w:r>
        <w:rPr>
          <w:color w:val="000000"/>
          <w:highlight w:val="none"/>
        </w:rPr>
        <w:t>日止）</w:t>
      </w:r>
    </w:p>
    <w:p>
      <w:pPr>
        <w:pStyle w:val="12"/>
        <w:rPr>
          <w:color w:val="000000"/>
          <w:highlight w:val="none"/>
        </w:rPr>
      </w:pPr>
      <w:r>
        <w:rPr>
          <w:color w:val="000000"/>
          <w:highlight w:val="none"/>
        </w:rPr>
        <w:tab/>
      </w:r>
      <w:r>
        <w:rPr>
          <w:color w:val="000000"/>
          <w:highlight w:val="none"/>
        </w:rPr>
        <w:t>（a）</w:t>
      </w:r>
      <w:r>
        <w:rPr>
          <w:color w:val="000000"/>
          <w:highlight w:val="none"/>
        </w:rPr>
        <w:tab/>
      </w:r>
      <w:r>
        <w:rPr>
          <w:color w:val="000000"/>
          <w:highlight w:val="none"/>
        </w:rPr>
        <w:t>固定资产：</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（b）</w:t>
      </w:r>
      <w:r>
        <w:rPr>
          <w:color w:val="000000"/>
          <w:highlight w:val="none"/>
        </w:rPr>
        <w:tab/>
      </w:r>
      <w:r>
        <w:rPr>
          <w:color w:val="000000"/>
          <w:highlight w:val="none"/>
        </w:rPr>
        <w:t>长期负债：</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（c）</w:t>
      </w:r>
      <w:r>
        <w:rPr>
          <w:color w:val="000000"/>
          <w:highlight w:val="none"/>
        </w:rPr>
        <w:tab/>
      </w:r>
      <w:r>
        <w:rPr>
          <w:color w:val="000000"/>
          <w:highlight w:val="none"/>
        </w:rPr>
        <w:t>短期负债：</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（d）</w:t>
      </w:r>
      <w:r>
        <w:rPr>
          <w:color w:val="000000"/>
          <w:highlight w:val="none"/>
        </w:rPr>
        <w:tab/>
      </w:r>
      <w:r>
        <w:rPr>
          <w:color w:val="000000"/>
          <w:highlight w:val="none"/>
        </w:rPr>
        <w:t>资金来源：</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12"/>
        <w:rPr>
          <w:color w:val="000000"/>
          <w:highlight w:val="none"/>
        </w:rPr>
      </w:pPr>
      <w:r>
        <w:rPr>
          <w:color w:val="000000"/>
          <w:highlight w:val="none"/>
        </w:rPr>
        <w:tab/>
      </w:r>
      <w:r>
        <w:rPr>
          <w:color w:val="000000"/>
          <w:highlight w:val="none"/>
        </w:rPr>
        <w:t>（e）</w:t>
      </w:r>
      <w:r>
        <w:rPr>
          <w:color w:val="000000"/>
          <w:highlight w:val="none"/>
        </w:rPr>
        <w:tab/>
      </w:r>
      <w:r>
        <w:rPr>
          <w:color w:val="000000"/>
          <w:highlight w:val="none"/>
        </w:rPr>
        <w:t>资金类型：</w:t>
      </w:r>
      <w:r>
        <w:rPr>
          <w:color w:val="000000"/>
          <w:highlight w:val="non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r>
        <w:rPr>
          <w:color w:val="000000"/>
          <w:highlight w:val="none"/>
          <w:u w:val="single"/>
        </w:rPr>
        <w:tab/>
      </w:r>
    </w:p>
    <w:p>
      <w:pPr>
        <w:pStyle w:val="2"/>
        <w:numPr>
          <w:ilvl w:val="0"/>
          <w:numId w:val="8"/>
        </w:numPr>
        <w:rPr>
          <w:rFonts w:ascii="Times New Roman"/>
          <w:color w:val="000000"/>
          <w:highlight w:val="none"/>
        </w:rPr>
      </w:pPr>
      <w:bookmarkStart w:id="1027" w:name="_Toc434462862"/>
      <w:bookmarkStart w:id="1028" w:name="_Toc512602472"/>
      <w:bookmarkStart w:id="1029" w:name="_Toc452800765"/>
      <w:bookmarkStart w:id="1030" w:name="_Toc3812"/>
      <w:bookmarkStart w:id="1031" w:name="_Toc434460958"/>
      <w:bookmarkStart w:id="1032" w:name="_Toc302374239"/>
      <w:bookmarkStart w:id="1033" w:name="_Toc452306176"/>
      <w:bookmarkStart w:id="1034" w:name="_Toc503130431"/>
      <w:bookmarkStart w:id="1035" w:name="_Toc2063793"/>
      <w:bookmarkStart w:id="1036" w:name="_Toc434462251"/>
      <w:bookmarkStart w:id="1037" w:name="_Toc2063924"/>
      <w:bookmarkStart w:id="1038" w:name="_Toc389457566"/>
      <w:bookmarkStart w:id="1039" w:name="_Toc434897366"/>
      <w:bookmarkStart w:id="1040" w:name="_Toc5116291"/>
      <w:bookmarkStart w:id="1041" w:name="_Toc452727020"/>
      <w:bookmarkStart w:id="1042" w:name="_Toc2063668"/>
      <w:bookmarkStart w:id="1043" w:name="_Toc450211844"/>
      <w:bookmarkStart w:id="1044" w:name="_Toc389653638"/>
      <w:bookmarkStart w:id="1045" w:name="_Toc452727380"/>
      <w:bookmarkStart w:id="1046" w:name="_Toc8343802"/>
      <w:r>
        <w:rPr>
          <w:rFonts w:ascii="Times New Roman"/>
          <w:color w:val="000000"/>
          <w:highlight w:val="none"/>
        </w:rPr>
        <w:t>近三年的年营业额</w:t>
      </w:r>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p>
    <w:p>
      <w:pPr>
        <w:tabs>
          <w:tab w:val="left" w:pos="500"/>
          <w:tab w:val="left" w:pos="2820"/>
          <w:tab w:val="left" w:pos="5380"/>
          <w:tab w:val="left" w:pos="7840"/>
        </w:tabs>
        <w:autoSpaceDE w:val="0"/>
        <w:autoSpaceDN w:val="0"/>
        <w:textAlignment w:val="bottom"/>
        <w:rPr>
          <w:color w:val="000000"/>
          <w:highlight w:val="none"/>
        </w:rPr>
      </w:pPr>
      <w:bookmarkStart w:id="1047" w:name="_Toc8343803"/>
      <w:bookmarkStart w:id="1048" w:name="_Toc434897367"/>
      <w:bookmarkStart w:id="1049" w:name="_Toc452306177"/>
      <w:bookmarkStart w:id="1050" w:name="_Toc434460959"/>
      <w:bookmarkStart w:id="1051" w:name="_Toc452800766"/>
      <w:bookmarkStart w:id="1052" w:name="_Toc2063794"/>
      <w:bookmarkStart w:id="1053" w:name="_Toc452727021"/>
      <w:bookmarkStart w:id="1054" w:name="_Toc434462252"/>
      <w:bookmarkStart w:id="1055" w:name="_Toc2063669"/>
      <w:bookmarkStart w:id="1056" w:name="_Toc302374240"/>
      <w:bookmarkStart w:id="1057" w:name="_Toc452727381"/>
      <w:bookmarkStart w:id="1058" w:name="_Toc2063925"/>
      <w:bookmarkStart w:id="1059" w:name="_Toc434462863"/>
      <w:r>
        <w:rPr>
          <w:color w:val="000000"/>
          <w:highlight w:val="none"/>
        </w:rPr>
        <w:tab/>
      </w:r>
      <w:r>
        <w:rPr>
          <w:color w:val="000000"/>
          <w:highlight w:val="none"/>
        </w:rPr>
        <w:t>年份</w:t>
      </w:r>
      <w:r>
        <w:rPr>
          <w:color w:val="000000"/>
          <w:highlight w:val="none"/>
        </w:rPr>
        <w:tab/>
      </w:r>
      <w:r>
        <w:rPr>
          <w:color w:val="000000"/>
          <w:highlight w:val="none"/>
        </w:rPr>
        <w:t>总额</w:t>
      </w:r>
    </w:p>
    <w:p>
      <w:pPr>
        <w:tabs>
          <w:tab w:val="left" w:pos="2320"/>
          <w:tab w:val="left" w:pos="4880"/>
          <w:tab w:val="left" w:pos="7400"/>
        </w:tabs>
        <w:autoSpaceDE w:val="0"/>
        <w:autoSpaceDN w:val="0"/>
        <w:textAlignment w:val="bottom"/>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2320"/>
          <w:tab w:val="left" w:pos="4880"/>
          <w:tab w:val="left" w:pos="7400"/>
        </w:tabs>
        <w:autoSpaceDE w:val="0"/>
        <w:autoSpaceDN w:val="0"/>
        <w:textAlignment w:val="bottom"/>
        <w:rPr>
          <w:color w:val="000000"/>
          <w:highlight w:val="non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1060" w:name="_Toc389457567"/>
      <w:bookmarkStart w:id="1061" w:name="_Toc450211845"/>
      <w:bookmarkStart w:id="1062" w:name="_Toc389653639"/>
      <w:bookmarkStart w:id="1063" w:name="_Toc503130432"/>
      <w:bookmarkStart w:id="1064" w:name="_Toc5116292"/>
      <w:bookmarkStart w:id="1065" w:name="_Toc23420"/>
      <w:bookmarkStart w:id="1066" w:name="_Toc512602473"/>
      <w:r>
        <w:rPr>
          <w:rFonts w:ascii="Times New Roman"/>
          <w:color w:val="000000"/>
          <w:highlight w:val="none"/>
        </w:rPr>
        <w:t>近三年投标货物在境内和境外主要销售客户的名称及地址</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p>
    <w:p>
      <w:pPr>
        <w:tabs>
          <w:tab w:val="left" w:pos="4840"/>
        </w:tabs>
        <w:rPr>
          <w:color w:val="000000"/>
          <w:highlight w:val="none"/>
        </w:rPr>
      </w:pPr>
      <w:bookmarkStart w:id="1067" w:name="_Toc450211846"/>
      <w:bookmarkStart w:id="1068" w:name="_Toc8343804"/>
      <w:bookmarkStart w:id="1069" w:name="_Toc302374241"/>
      <w:bookmarkStart w:id="1070" w:name="_Toc452727022"/>
      <w:bookmarkStart w:id="1071" w:name="_Toc452727382"/>
      <w:bookmarkStart w:id="1072" w:name="_Toc2063670"/>
      <w:bookmarkStart w:id="1073" w:name="_Toc434897368"/>
      <w:bookmarkStart w:id="1074" w:name="_Toc389653640"/>
      <w:bookmarkStart w:id="1075" w:name="_Toc434460960"/>
      <w:bookmarkStart w:id="1076" w:name="_Toc2063926"/>
      <w:bookmarkStart w:id="1077" w:name="_Toc2063795"/>
      <w:bookmarkStart w:id="1078" w:name="_Toc452306178"/>
      <w:bookmarkStart w:id="1079" w:name="_Toc434462253"/>
      <w:bookmarkStart w:id="1080" w:name="_Toc389457568"/>
      <w:bookmarkStart w:id="1081" w:name="_Toc452800767"/>
      <w:bookmarkStart w:id="1082" w:name="_Toc434462864"/>
      <w:r>
        <w:rPr>
          <w:color w:val="000000"/>
          <w:highlight w:val="none"/>
        </w:rPr>
        <w:t>名称和地址</w:t>
      </w:r>
      <w:r>
        <w:rPr>
          <w:color w:val="000000"/>
          <w:highlight w:val="none"/>
        </w:rPr>
        <w:tab/>
      </w:r>
      <w:r>
        <w:rPr>
          <w:color w:val="000000"/>
          <w:highlight w:val="none"/>
        </w:rPr>
        <w:t>销售项目</w:t>
      </w:r>
    </w:p>
    <w:p>
      <w:pPr>
        <w:tabs>
          <w:tab w:val="left" w:pos="48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tabs>
          <w:tab w:val="left" w:pos="4840"/>
        </w:tabs>
        <w:rPr>
          <w:color w:val="000000"/>
          <w:highlight w:val="none"/>
          <w:u w:val="single"/>
        </w:rPr>
      </w:pPr>
      <w:r>
        <w:rPr>
          <w:color w:val="000000"/>
          <w:highlight w:val="none"/>
          <w:u w:val="single"/>
        </w:rPr>
        <w:t xml:space="preserve">                                    </w:t>
      </w:r>
      <w:r>
        <w:rPr>
          <w:color w:val="000000"/>
          <w:highlight w:val="none"/>
        </w:rPr>
        <w:tab/>
      </w:r>
      <w:r>
        <w:rPr>
          <w:color w:val="000000"/>
          <w:highlight w:val="none"/>
          <w:u w:val="single"/>
        </w:rPr>
        <w:t xml:space="preserve">                                    </w:t>
      </w:r>
    </w:p>
    <w:p>
      <w:pPr>
        <w:pStyle w:val="2"/>
        <w:numPr>
          <w:ilvl w:val="0"/>
          <w:numId w:val="8"/>
        </w:numPr>
        <w:rPr>
          <w:rFonts w:ascii="Times New Roman"/>
          <w:color w:val="000000"/>
          <w:highlight w:val="none"/>
        </w:rPr>
      </w:pPr>
      <w:bookmarkStart w:id="1083" w:name="_Toc5116293"/>
      <w:bookmarkStart w:id="1084" w:name="_Toc512602474"/>
      <w:bookmarkStart w:id="1085" w:name="_Toc503130433"/>
      <w:bookmarkStart w:id="1086" w:name="_Toc26432"/>
      <w:r>
        <w:rPr>
          <w:rFonts w:ascii="Times New Roman"/>
          <w:color w:val="000000"/>
          <w:highlight w:val="none"/>
        </w:rPr>
        <w:t>同意为投标人制造投标货物的制造厂（应附有制造厂的声明）</w:t>
      </w:r>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pPr>
        <w:tabs>
          <w:tab w:val="left" w:pos="5940"/>
        </w:tabs>
        <w:autoSpaceDE w:val="0"/>
        <w:autoSpaceDN w:val="0"/>
        <w:ind w:firstLine="20"/>
        <w:textAlignment w:val="bottom"/>
        <w:rPr>
          <w:color w:val="000000"/>
          <w:highlight w:val="none"/>
        </w:rPr>
      </w:pPr>
      <w:r>
        <w:rPr>
          <w:color w:val="000000"/>
          <w:highlight w:val="none"/>
        </w:rPr>
        <w:t>制造厂的名称和地址</w:t>
      </w:r>
      <w:r>
        <w:rPr>
          <w:color w:val="000000"/>
          <w:highlight w:val="none"/>
        </w:rPr>
        <w:tab/>
      </w:r>
      <w:r>
        <w:rPr>
          <w:color w:val="000000"/>
          <w:highlight w:val="none"/>
        </w:rPr>
        <w:t>制造的物品和数量</w:t>
      </w:r>
    </w:p>
    <w:p>
      <w:pPr>
        <w:tabs>
          <w:tab w:val="left" w:pos="4040"/>
          <w:tab w:val="left" w:pos="4860"/>
          <w:tab w:val="left" w:pos="9000"/>
        </w:tabs>
        <w:rPr>
          <w:color w:val="000000"/>
          <w:highlight w:val="none"/>
          <w:u w:val="single"/>
        </w:rPr>
      </w:pPr>
      <w:r>
        <w:rPr>
          <w:color w:val="000000"/>
          <w:highlight w:val="none"/>
          <w:u w:val="single"/>
        </w:rPr>
        <w:tab/>
      </w:r>
      <w:r>
        <w:rPr>
          <w:color w:val="000000"/>
          <w:highlight w:val="none"/>
        </w:rPr>
        <w:tab/>
      </w:r>
      <w:r>
        <w:rPr>
          <w:color w:val="000000"/>
          <w:highlight w:val="none"/>
          <w:u w:val="single"/>
        </w:rPr>
        <w:tab/>
      </w:r>
    </w:p>
    <w:p>
      <w:pPr>
        <w:tabs>
          <w:tab w:val="left" w:pos="4040"/>
          <w:tab w:val="left" w:pos="4860"/>
          <w:tab w:val="left" w:pos="9000"/>
        </w:tabs>
        <w:rPr>
          <w:color w:val="000000"/>
          <w:highlight w:val="none"/>
          <w:u w:val="single"/>
        </w:rPr>
      </w:pPr>
      <w:r>
        <w:rPr>
          <w:color w:val="000000"/>
          <w:highlight w:val="none"/>
          <w:u w:val="single"/>
        </w:rPr>
        <w:tab/>
      </w:r>
      <w:r>
        <w:rPr>
          <w:color w:val="000000"/>
          <w:highlight w:val="none"/>
        </w:rPr>
        <w:tab/>
      </w:r>
      <w:r>
        <w:rPr>
          <w:color w:val="000000"/>
          <w:highlight w:val="none"/>
          <w:u w:val="single"/>
        </w:rPr>
        <w:tab/>
      </w:r>
    </w:p>
    <w:p>
      <w:pPr>
        <w:pStyle w:val="2"/>
        <w:numPr>
          <w:ilvl w:val="0"/>
          <w:numId w:val="8"/>
        </w:numPr>
        <w:rPr>
          <w:rFonts w:ascii="Times New Roman"/>
          <w:color w:val="000000"/>
          <w:highlight w:val="none"/>
        </w:rPr>
      </w:pPr>
      <w:bookmarkStart w:id="1087" w:name="_Toc452306179"/>
      <w:bookmarkStart w:id="1088" w:name="_Toc452800768"/>
      <w:bookmarkStart w:id="1089" w:name="_Toc302374242"/>
      <w:bookmarkStart w:id="1090" w:name="_Toc452727383"/>
      <w:bookmarkStart w:id="1091" w:name="_Toc2063796"/>
      <w:bookmarkStart w:id="1092" w:name="_Toc389457569"/>
      <w:bookmarkStart w:id="1093" w:name="_Toc434897369"/>
      <w:bookmarkStart w:id="1094" w:name="_Toc434460961"/>
      <w:bookmarkStart w:id="1095" w:name="_Toc2063671"/>
      <w:bookmarkStart w:id="1096" w:name="_Toc452727023"/>
      <w:bookmarkStart w:id="1097" w:name="_Toc2063927"/>
      <w:bookmarkStart w:id="1098" w:name="_Toc512602475"/>
      <w:bookmarkStart w:id="1099" w:name="_Toc503130434"/>
      <w:bookmarkStart w:id="1100" w:name="_Toc450211847"/>
      <w:bookmarkStart w:id="1101" w:name="_Toc434462865"/>
      <w:bookmarkStart w:id="1102" w:name="_Toc389653641"/>
      <w:bookmarkStart w:id="1103" w:name="_Toc5116294"/>
      <w:bookmarkStart w:id="1104" w:name="_Toc3327"/>
      <w:bookmarkStart w:id="1105" w:name="_Toc434462254"/>
      <w:bookmarkStart w:id="1106" w:name="_Toc8343805"/>
      <w:r>
        <w:rPr>
          <w:rFonts w:ascii="Times New Roman"/>
          <w:color w:val="000000"/>
          <w:highlight w:val="none"/>
        </w:rPr>
        <w:t>须由其他制造厂供应和制造的部件（如果有的话）</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p>
    <w:p>
      <w:pPr>
        <w:tabs>
          <w:tab w:val="left" w:pos="6300"/>
        </w:tabs>
        <w:autoSpaceDE w:val="0"/>
        <w:autoSpaceDN w:val="0"/>
        <w:ind w:firstLine="1000"/>
        <w:textAlignment w:val="bottom"/>
        <w:rPr>
          <w:color w:val="000000"/>
          <w:highlight w:val="none"/>
        </w:rPr>
      </w:pPr>
      <w:r>
        <w:rPr>
          <w:color w:val="000000"/>
          <w:highlight w:val="none"/>
        </w:rPr>
        <w:t>制造厂的名称和地址</w:t>
      </w:r>
      <w:r>
        <w:rPr>
          <w:color w:val="000000"/>
          <w:highlight w:val="none"/>
        </w:rPr>
        <w:tab/>
      </w:r>
      <w:r>
        <w:rPr>
          <w:color w:val="000000"/>
          <w:highlight w:val="none"/>
        </w:rPr>
        <w:t>制造的物品</w:t>
      </w:r>
    </w:p>
    <w:p>
      <w:pPr>
        <w:tabs>
          <w:tab w:val="left" w:pos="4040"/>
          <w:tab w:val="left" w:pos="4860"/>
          <w:tab w:val="left" w:pos="9000"/>
        </w:tabs>
        <w:rPr>
          <w:color w:val="000000"/>
          <w:highlight w:val="none"/>
          <w:u w:val="single"/>
        </w:rPr>
      </w:pPr>
      <w:r>
        <w:rPr>
          <w:color w:val="000000"/>
          <w:highlight w:val="none"/>
          <w:u w:val="single"/>
        </w:rPr>
        <w:tab/>
      </w:r>
      <w:r>
        <w:rPr>
          <w:color w:val="000000"/>
          <w:highlight w:val="none"/>
        </w:rPr>
        <w:tab/>
      </w:r>
      <w:r>
        <w:rPr>
          <w:color w:val="000000"/>
          <w:highlight w:val="none"/>
          <w:u w:val="single"/>
        </w:rPr>
        <w:tab/>
      </w:r>
    </w:p>
    <w:p>
      <w:pPr>
        <w:tabs>
          <w:tab w:val="left" w:pos="4040"/>
          <w:tab w:val="left" w:pos="4860"/>
          <w:tab w:val="left" w:pos="9000"/>
        </w:tabs>
        <w:rPr>
          <w:color w:val="000000"/>
          <w:highlight w:val="none"/>
          <w:u w:val="single"/>
        </w:rPr>
      </w:pPr>
      <w:r>
        <w:rPr>
          <w:color w:val="000000"/>
          <w:highlight w:val="none"/>
          <w:u w:val="single"/>
        </w:rPr>
        <w:tab/>
      </w:r>
      <w:r>
        <w:rPr>
          <w:color w:val="000000"/>
          <w:highlight w:val="none"/>
        </w:rPr>
        <w:tab/>
      </w:r>
      <w:r>
        <w:rPr>
          <w:color w:val="000000"/>
          <w:highlight w:val="none"/>
          <w:u w:val="single"/>
        </w:rPr>
        <w:tab/>
      </w:r>
    </w:p>
    <w:p>
      <w:pPr>
        <w:pStyle w:val="2"/>
        <w:numPr>
          <w:ilvl w:val="0"/>
          <w:numId w:val="8"/>
        </w:numPr>
        <w:rPr>
          <w:rFonts w:ascii="Times New Roman"/>
          <w:color w:val="000000"/>
          <w:highlight w:val="none"/>
        </w:rPr>
      </w:pPr>
      <w:bookmarkStart w:id="1107" w:name="_Toc452306180"/>
      <w:bookmarkStart w:id="1108" w:name="_Toc434462255"/>
      <w:bookmarkStart w:id="1109" w:name="_Toc2063672"/>
      <w:bookmarkStart w:id="1110" w:name="_Toc503130435"/>
      <w:bookmarkStart w:id="1111" w:name="_Toc434462866"/>
      <w:bookmarkStart w:id="1112" w:name="_Toc434897370"/>
      <w:bookmarkStart w:id="1113" w:name="_Toc452727024"/>
      <w:bookmarkStart w:id="1114" w:name="_Toc450211848"/>
      <w:bookmarkStart w:id="1115" w:name="_Toc5116295"/>
      <w:bookmarkStart w:id="1116" w:name="_Toc452800769"/>
      <w:bookmarkStart w:id="1117" w:name="_Toc302374243"/>
      <w:bookmarkStart w:id="1118" w:name="_Toc434460962"/>
      <w:bookmarkStart w:id="1119" w:name="_Toc512602476"/>
      <w:bookmarkStart w:id="1120" w:name="_Toc8343806"/>
      <w:bookmarkStart w:id="1121" w:name="_Toc2063928"/>
      <w:bookmarkStart w:id="1122" w:name="_Toc10122"/>
      <w:bookmarkStart w:id="1123" w:name="_Toc389457570"/>
      <w:bookmarkStart w:id="1124" w:name="_Toc389653642"/>
      <w:bookmarkStart w:id="1125" w:name="_Toc452727384"/>
      <w:bookmarkStart w:id="1126" w:name="_Toc2063797"/>
      <w:r>
        <w:rPr>
          <w:rFonts w:ascii="Times New Roman"/>
          <w:color w:val="000000"/>
          <w:highlight w:val="none"/>
        </w:rPr>
        <w:t>近三年中与各贸易公司成交的此种投标货物（如果有的话）</w:t>
      </w:r>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p>
    <w:p>
      <w:pPr>
        <w:pStyle w:val="12"/>
        <w:tabs>
          <w:tab w:val="left" w:pos="6820"/>
        </w:tabs>
        <w:rPr>
          <w:color w:val="000000"/>
          <w:highlight w:val="none"/>
        </w:rPr>
      </w:pPr>
      <w:r>
        <w:rPr>
          <w:color w:val="000000"/>
          <w:highlight w:val="none"/>
        </w:rPr>
        <w:t>合同号：</w:t>
      </w:r>
      <w:r>
        <w:rPr>
          <w:color w:val="000000"/>
          <w:highlight w:val="none"/>
          <w:u w:val="single"/>
        </w:rPr>
        <w:tab/>
      </w:r>
    </w:p>
    <w:p>
      <w:pPr>
        <w:pStyle w:val="12"/>
        <w:tabs>
          <w:tab w:val="left" w:pos="6820"/>
        </w:tabs>
        <w:rPr>
          <w:color w:val="000000"/>
          <w:highlight w:val="none"/>
        </w:rPr>
      </w:pPr>
      <w:r>
        <w:rPr>
          <w:color w:val="000000"/>
          <w:highlight w:val="none"/>
        </w:rPr>
        <w:t>签字日期：</w:t>
      </w:r>
      <w:r>
        <w:rPr>
          <w:color w:val="000000"/>
          <w:highlight w:val="none"/>
          <w:u w:val="single"/>
        </w:rPr>
        <w:tab/>
      </w:r>
    </w:p>
    <w:p>
      <w:pPr>
        <w:pStyle w:val="12"/>
        <w:tabs>
          <w:tab w:val="left" w:pos="6820"/>
        </w:tabs>
        <w:rPr>
          <w:color w:val="000000"/>
          <w:highlight w:val="none"/>
        </w:rPr>
      </w:pPr>
      <w:r>
        <w:rPr>
          <w:color w:val="000000"/>
          <w:highlight w:val="none"/>
        </w:rPr>
        <w:t>产品名称：</w:t>
      </w:r>
      <w:r>
        <w:rPr>
          <w:color w:val="000000"/>
          <w:highlight w:val="none"/>
          <w:u w:val="single"/>
        </w:rPr>
        <w:tab/>
      </w:r>
    </w:p>
    <w:p>
      <w:pPr>
        <w:pStyle w:val="12"/>
        <w:tabs>
          <w:tab w:val="left" w:pos="6820"/>
        </w:tabs>
        <w:rPr>
          <w:color w:val="000000"/>
          <w:highlight w:val="none"/>
        </w:rPr>
      </w:pPr>
      <w:r>
        <w:rPr>
          <w:color w:val="000000"/>
          <w:highlight w:val="none"/>
        </w:rPr>
        <w:t>数量：</w:t>
      </w:r>
      <w:r>
        <w:rPr>
          <w:color w:val="000000"/>
          <w:highlight w:val="none"/>
          <w:u w:val="single"/>
        </w:rPr>
        <w:tab/>
      </w:r>
    </w:p>
    <w:p>
      <w:pPr>
        <w:pStyle w:val="12"/>
        <w:tabs>
          <w:tab w:val="left" w:pos="6820"/>
        </w:tabs>
        <w:rPr>
          <w:color w:val="000000"/>
          <w:highlight w:val="none"/>
        </w:rPr>
      </w:pPr>
      <w:r>
        <w:rPr>
          <w:color w:val="000000"/>
          <w:highlight w:val="none"/>
        </w:rPr>
        <w:t>合同金额：</w:t>
      </w:r>
      <w:r>
        <w:rPr>
          <w:color w:val="000000"/>
          <w:highlight w:val="none"/>
          <w:u w:val="single"/>
        </w:rPr>
        <w:tab/>
      </w:r>
    </w:p>
    <w:p>
      <w:pPr>
        <w:pStyle w:val="2"/>
        <w:numPr>
          <w:ilvl w:val="0"/>
          <w:numId w:val="8"/>
        </w:numPr>
        <w:rPr>
          <w:rFonts w:ascii="Times New Roman"/>
          <w:color w:val="000000"/>
          <w:highlight w:val="none"/>
        </w:rPr>
      </w:pPr>
      <w:bookmarkStart w:id="1127" w:name="_Toc389457571"/>
      <w:bookmarkStart w:id="1128" w:name="_Toc389653643"/>
      <w:bookmarkStart w:id="1129" w:name="_Toc450211849"/>
      <w:bookmarkStart w:id="1130" w:name="_Toc452727385"/>
      <w:bookmarkStart w:id="1131" w:name="_Toc452306181"/>
      <w:bookmarkStart w:id="1132" w:name="_Toc2063673"/>
      <w:bookmarkStart w:id="1133" w:name="_Toc2063798"/>
      <w:bookmarkStart w:id="1134" w:name="_Toc16319"/>
      <w:bookmarkStart w:id="1135" w:name="_Toc434897371"/>
      <w:bookmarkStart w:id="1136" w:name="_Toc5116296"/>
      <w:bookmarkStart w:id="1137" w:name="_Toc452800770"/>
      <w:bookmarkStart w:id="1138" w:name="_Toc512602477"/>
      <w:bookmarkStart w:id="1139" w:name="_Toc2063929"/>
      <w:bookmarkStart w:id="1140" w:name="_Toc434462867"/>
      <w:bookmarkStart w:id="1141" w:name="_Toc434462256"/>
      <w:bookmarkStart w:id="1142" w:name="_Toc434460963"/>
      <w:bookmarkStart w:id="1143" w:name="_Toc302374244"/>
      <w:bookmarkStart w:id="1144" w:name="_Toc452727025"/>
      <w:bookmarkStart w:id="1145" w:name="_Toc8343807"/>
      <w:bookmarkStart w:id="1146" w:name="_Toc503130436"/>
      <w:r>
        <w:rPr>
          <w:rFonts w:ascii="Times New Roman"/>
          <w:color w:val="000000"/>
          <w:highlight w:val="none"/>
        </w:rPr>
        <w:t>有关开户银行的名称和地址</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p>
    <w:p>
      <w:pPr>
        <w:tabs>
          <w:tab w:val="left" w:pos="6660"/>
        </w:tabs>
        <w:autoSpaceDE w:val="0"/>
        <w:autoSpaceDN w:val="0"/>
        <w:ind w:firstLine="1420"/>
        <w:textAlignment w:val="bottom"/>
        <w:rPr>
          <w:color w:val="000000"/>
          <w:highlight w:val="none"/>
        </w:rPr>
      </w:pPr>
      <w:r>
        <w:rPr>
          <w:color w:val="000000"/>
          <w:highlight w:val="none"/>
        </w:rPr>
        <w:t>银行的名称</w:t>
      </w:r>
      <w:r>
        <w:rPr>
          <w:color w:val="000000"/>
          <w:highlight w:val="none"/>
        </w:rPr>
        <w:tab/>
      </w:r>
      <w:r>
        <w:rPr>
          <w:color w:val="000000"/>
          <w:highlight w:val="none"/>
        </w:rPr>
        <w:t>地址</w:t>
      </w:r>
    </w:p>
    <w:p>
      <w:pPr>
        <w:tabs>
          <w:tab w:val="left" w:pos="4040"/>
          <w:tab w:val="left" w:pos="4860"/>
          <w:tab w:val="left" w:pos="9000"/>
        </w:tabs>
        <w:rPr>
          <w:color w:val="000000"/>
          <w:highlight w:val="none"/>
          <w:u w:val="single"/>
        </w:rPr>
      </w:pPr>
      <w:r>
        <w:rPr>
          <w:color w:val="000000"/>
          <w:highlight w:val="none"/>
          <w:u w:val="single"/>
        </w:rPr>
        <w:tab/>
      </w:r>
      <w:r>
        <w:rPr>
          <w:color w:val="000000"/>
          <w:highlight w:val="none"/>
        </w:rPr>
        <w:tab/>
      </w:r>
      <w:r>
        <w:rPr>
          <w:color w:val="000000"/>
          <w:highlight w:val="none"/>
          <w:u w:val="single"/>
        </w:rPr>
        <w:tab/>
      </w:r>
    </w:p>
    <w:p>
      <w:pPr>
        <w:pStyle w:val="2"/>
        <w:numPr>
          <w:ilvl w:val="0"/>
          <w:numId w:val="8"/>
        </w:numPr>
        <w:rPr>
          <w:rFonts w:ascii="Times New Roman"/>
          <w:color w:val="000000"/>
          <w:highlight w:val="none"/>
        </w:rPr>
      </w:pPr>
      <w:bookmarkStart w:id="1147" w:name="_Toc434462257"/>
      <w:bookmarkStart w:id="1148" w:name="_Toc452306182"/>
      <w:bookmarkStart w:id="1149" w:name="_Toc452800771"/>
      <w:bookmarkStart w:id="1150" w:name="_Toc434462868"/>
      <w:bookmarkStart w:id="1151" w:name="_Toc302374245"/>
      <w:bookmarkStart w:id="1152" w:name="_Toc2063930"/>
      <w:bookmarkStart w:id="1153" w:name="_Toc2063799"/>
      <w:bookmarkStart w:id="1154" w:name="_Toc389653644"/>
      <w:bookmarkStart w:id="1155" w:name="_Toc8343808"/>
      <w:bookmarkStart w:id="1156" w:name="_Toc503130437"/>
      <w:bookmarkStart w:id="1157" w:name="_Toc389457572"/>
      <w:bookmarkStart w:id="1158" w:name="_Toc512602478"/>
      <w:bookmarkStart w:id="1159" w:name="_Toc5116297"/>
      <w:bookmarkStart w:id="1160" w:name="_Toc434897372"/>
      <w:bookmarkStart w:id="1161" w:name="_Toc452727026"/>
      <w:bookmarkStart w:id="1162" w:name="_Toc434460964"/>
      <w:bookmarkStart w:id="1163" w:name="_Toc24083"/>
      <w:bookmarkStart w:id="1164" w:name="_Toc2063674"/>
      <w:bookmarkStart w:id="1165" w:name="_Toc452727386"/>
      <w:bookmarkStart w:id="1166" w:name="_Toc450211850"/>
      <w:r>
        <w:rPr>
          <w:rFonts w:ascii="Times New Roman"/>
          <w:color w:val="000000"/>
          <w:highlight w:val="none"/>
        </w:rPr>
        <w:t>贸易公司认为需要声明的其他情况</w:t>
      </w:r>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p>
    <w:p>
      <w:pPr>
        <w:tabs>
          <w:tab w:val="left" w:pos="9040"/>
        </w:tabs>
        <w:rPr>
          <w:color w:val="000000"/>
          <w:highlight w:val="none"/>
        </w:rPr>
      </w:pPr>
      <w:r>
        <w:rPr>
          <w:color w:val="000000"/>
          <w:highlight w:val="none"/>
          <w:u w:val="single"/>
        </w:rPr>
        <w:tab/>
      </w:r>
    </w:p>
    <w:p>
      <w:pPr>
        <w:pStyle w:val="12"/>
        <w:rPr>
          <w:color w:val="000000"/>
          <w:highlight w:val="none"/>
        </w:rPr>
      </w:pPr>
      <w:r>
        <w:rPr>
          <w:color w:val="000000"/>
          <w:highlight w:val="none"/>
        </w:rPr>
        <w:t>兹证明上述声明是真实、正确的，并提供了全部能提供的资料和数据，我方同意遵照贵方要求出示有关证明文件。</w:t>
      </w:r>
    </w:p>
    <w:p>
      <w:pPr>
        <w:pStyle w:val="12"/>
        <w:rPr>
          <w:color w:val="000000"/>
          <w:highlight w:val="none"/>
        </w:rPr>
      </w:pPr>
    </w:p>
    <w:p>
      <w:pPr>
        <w:pStyle w:val="12"/>
        <w:rPr>
          <w:color w:val="000000"/>
          <w:highlight w:val="none"/>
        </w:rPr>
      </w:pPr>
    </w:p>
    <w:p>
      <w:pPr>
        <w:pStyle w:val="12"/>
        <w:tabs>
          <w:tab w:val="left" w:pos="8860"/>
        </w:tabs>
        <w:ind w:firstLine="3420"/>
        <w:rPr>
          <w:color w:val="000000"/>
          <w:highlight w:val="none"/>
        </w:rPr>
      </w:pPr>
      <w:r>
        <w:rPr>
          <w:color w:val="000000"/>
          <w:highlight w:val="none"/>
        </w:rPr>
        <w:t>日期：</w:t>
      </w:r>
      <w:r>
        <w:rPr>
          <w:color w:val="000000"/>
          <w:highlight w:val="none"/>
          <w:u w:val="single"/>
        </w:rPr>
        <w:tab/>
      </w:r>
    </w:p>
    <w:p>
      <w:pPr>
        <w:pStyle w:val="12"/>
        <w:tabs>
          <w:tab w:val="left" w:pos="8860"/>
        </w:tabs>
        <w:ind w:firstLine="3420"/>
        <w:rPr>
          <w:color w:val="000000"/>
          <w:highlight w:val="none"/>
        </w:rPr>
      </w:pPr>
      <w:r>
        <w:rPr>
          <w:color w:val="000000"/>
          <w:highlight w:val="none"/>
        </w:rPr>
        <w:t>授权代表签字：</w:t>
      </w:r>
      <w:r>
        <w:rPr>
          <w:color w:val="000000"/>
          <w:highlight w:val="none"/>
          <w:u w:val="single"/>
        </w:rPr>
        <w:tab/>
      </w:r>
    </w:p>
    <w:p>
      <w:pPr>
        <w:pStyle w:val="12"/>
        <w:tabs>
          <w:tab w:val="left" w:pos="8860"/>
        </w:tabs>
        <w:ind w:firstLine="3420"/>
        <w:rPr>
          <w:color w:val="000000"/>
          <w:highlight w:val="none"/>
        </w:rPr>
      </w:pPr>
      <w:r>
        <w:rPr>
          <w:color w:val="000000"/>
          <w:highlight w:val="none"/>
        </w:rPr>
        <w:t>授权代表的职务：</w:t>
      </w:r>
      <w:r>
        <w:rPr>
          <w:color w:val="000000"/>
          <w:highlight w:val="none"/>
          <w:u w:val="single"/>
        </w:rPr>
        <w:tab/>
      </w:r>
    </w:p>
    <w:p>
      <w:pPr>
        <w:pStyle w:val="12"/>
        <w:tabs>
          <w:tab w:val="left" w:pos="8860"/>
        </w:tabs>
        <w:ind w:firstLine="3420"/>
        <w:rPr>
          <w:color w:val="000000"/>
          <w:highlight w:val="none"/>
        </w:rPr>
      </w:pPr>
      <w:r>
        <w:rPr>
          <w:color w:val="000000"/>
          <w:highlight w:val="none"/>
        </w:rPr>
        <w:t>电话号码：</w:t>
      </w:r>
      <w:r>
        <w:rPr>
          <w:color w:val="000000"/>
          <w:highlight w:val="none"/>
          <w:u w:val="single"/>
        </w:rPr>
        <w:tab/>
      </w:r>
    </w:p>
    <w:p>
      <w:pPr>
        <w:pStyle w:val="12"/>
        <w:tabs>
          <w:tab w:val="left" w:pos="8860"/>
        </w:tabs>
        <w:ind w:firstLine="3420"/>
        <w:rPr>
          <w:color w:val="000000"/>
          <w:highlight w:val="none"/>
        </w:rPr>
      </w:pPr>
      <w:r>
        <w:rPr>
          <w:color w:val="000000"/>
          <w:highlight w:val="none"/>
        </w:rPr>
        <w:t>传真号码：</w:t>
      </w:r>
      <w:r>
        <w:rPr>
          <w:color w:val="000000"/>
          <w:highlight w:val="none"/>
          <w:u w:val="single"/>
        </w:rPr>
        <w:tab/>
      </w:r>
    </w:p>
    <w:p>
      <w:pPr>
        <w:pStyle w:val="12"/>
        <w:tabs>
          <w:tab w:val="left" w:pos="8860"/>
        </w:tabs>
        <w:ind w:firstLine="3420"/>
        <w:rPr>
          <w:color w:val="000000"/>
          <w:highlight w:val="none"/>
        </w:rPr>
      </w:pPr>
      <w:r>
        <w:rPr>
          <w:color w:val="000000"/>
          <w:highlight w:val="none"/>
        </w:rPr>
        <w:t>电子信箱：</w:t>
      </w:r>
      <w:r>
        <w:rPr>
          <w:color w:val="000000"/>
          <w:highlight w:val="none"/>
          <w:u w:val="single"/>
        </w:rPr>
        <w:tab/>
      </w:r>
    </w:p>
    <w:p>
      <w:pPr>
        <w:pStyle w:val="12"/>
        <w:tabs>
          <w:tab w:val="left" w:pos="8860"/>
        </w:tabs>
        <w:spacing w:before="168" w:beforeLines="70"/>
        <w:ind w:firstLine="3420"/>
        <w:rPr>
          <w:color w:val="000000"/>
          <w:highlight w:val="none"/>
        </w:rPr>
      </w:pPr>
      <w:r>
        <w:rPr>
          <w:color w:val="000000"/>
          <w:highlight w:val="none"/>
        </w:rPr>
        <w:t>公章：</w:t>
      </w:r>
      <w:r>
        <w:rPr>
          <w:color w:val="000000"/>
          <w:highlight w:val="none"/>
          <w:u w:val="single"/>
        </w:rPr>
        <w:tab/>
      </w:r>
    </w:p>
    <w:p>
      <w:pPr>
        <w:rPr>
          <w:color w:val="000000"/>
          <w:highlight w:val="none"/>
        </w:rPr>
        <w:sectPr>
          <w:footerReference r:id="rId26" w:type="first"/>
          <w:footerReference r:id="rId25" w:type="default"/>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pPr>
    </w:p>
    <w:p>
      <w:pPr>
        <w:rPr>
          <w:color w:val="000000"/>
          <w:highlight w:val="none"/>
        </w:rPr>
      </w:pPr>
      <w:bookmarkStart w:id="1167" w:name="_Toc434897199"/>
    </w:p>
    <w:p>
      <w:pPr>
        <w:rPr>
          <w:color w:val="000000"/>
          <w:highlight w:val="none"/>
        </w:rPr>
      </w:pPr>
    </w:p>
    <w:p>
      <w:pPr>
        <w:rPr>
          <w:color w:val="000000"/>
          <w:highlight w:val="none"/>
        </w:rPr>
      </w:pPr>
    </w:p>
    <w:p>
      <w:pPr>
        <w:rPr>
          <w:color w:val="000000"/>
          <w:highlight w:val="none"/>
        </w:rPr>
      </w:pPr>
    </w:p>
    <w:p>
      <w:pPr>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hint="eastAsia" w:eastAsia="楷体"/>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1168" w:name="_Toc503130329"/>
      <w:r>
        <w:rPr>
          <w:rFonts w:ascii="Times New Roman" w:hAnsi="Times New Roman"/>
          <w:color w:val="000000"/>
          <w:highlight w:val="none"/>
        </w:rPr>
        <w:t>第六章  资格证明文件格式</w:t>
      </w:r>
      <w:bookmarkEnd w:id="1168"/>
    </w:p>
    <w:bookmarkEnd w:id="1167"/>
    <w:p>
      <w:pPr>
        <w:tabs>
          <w:tab w:val="center" w:pos="4153"/>
          <w:tab w:val="right" w:pos="8306"/>
        </w:tabs>
        <w:spacing w:before="320" w:after="160" w:line="240" w:lineRule="atLeast"/>
        <w:jc w:val="center"/>
        <w:rPr>
          <w:rFonts w:eastAsia="黑体"/>
          <w:color w:val="000000"/>
          <w:sz w:val="30"/>
          <w:highlight w:val="none"/>
        </w:rPr>
      </w:pPr>
      <w:r>
        <w:rPr>
          <w:color w:val="000000"/>
          <w:highlight w:val="none"/>
        </w:rPr>
        <w:br w:type="page"/>
      </w:r>
      <w:r>
        <w:rPr>
          <w:rFonts w:eastAsia="黑体"/>
          <w:color w:val="000000"/>
          <w:sz w:val="30"/>
          <w:highlight w:val="none"/>
        </w:rPr>
        <w:t>分目录</w:t>
      </w:r>
    </w:p>
    <w:p>
      <w:pPr>
        <w:pStyle w:val="24"/>
        <w:rPr>
          <w:rFonts w:ascii="Times New Roman" w:eastAsia="宋体"/>
          <w:color w:val="000000"/>
          <w:kern w:val="2"/>
          <w:sz w:val="21"/>
          <w:szCs w:val="22"/>
          <w:highlight w:val="none"/>
          <w:lang/>
        </w:rPr>
      </w:pPr>
      <w:bookmarkStart w:id="1169" w:name="_Toc390444332"/>
      <w:bookmarkStart w:id="1170" w:name="_Toc390339892"/>
      <w:bookmarkStart w:id="1171" w:name="_Toc393272372"/>
      <w:bookmarkStart w:id="1172" w:name="_Toc393275690"/>
      <w:bookmarkStart w:id="1173" w:name="_Toc394324251"/>
      <w:bookmarkStart w:id="1174" w:name="_Toc479109533"/>
      <w:bookmarkStart w:id="1175" w:name="_Toc479109453"/>
      <w:r>
        <w:rPr>
          <w:rFonts w:ascii="Times New Roman"/>
          <w:color w:val="000000"/>
          <w:highlight w:val="none"/>
        </w:rPr>
        <w:fldChar w:fldCharType="begin"/>
      </w:r>
      <w:r>
        <w:rPr>
          <w:rFonts w:ascii="Times New Roman"/>
          <w:color w:val="000000"/>
          <w:highlight w:val="none"/>
        </w:rPr>
        <w:instrText xml:space="preserve"> TOC \t "flNote,1,flName,1,flType,1" </w:instrText>
      </w:r>
      <w:r>
        <w:rPr>
          <w:rFonts w:ascii="Times New Roman"/>
          <w:color w:val="000000"/>
          <w:highlight w:val="none"/>
        </w:rPr>
        <w:fldChar w:fldCharType="separate"/>
      </w:r>
      <w:r>
        <w:rPr>
          <w:rFonts w:ascii="Times New Roman"/>
          <w:color w:val="000000"/>
          <w:highlight w:val="none"/>
          <w:lang/>
        </w:rPr>
        <w:t>营业执照、基本账户开户许可证</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_Toc503130804 \h </w:instrText>
      </w:r>
      <w:r>
        <w:rPr>
          <w:rFonts w:ascii="Times New Roman"/>
          <w:color w:val="000000"/>
          <w:highlight w:val="none"/>
          <w:lang/>
        </w:rPr>
        <w:fldChar w:fldCharType="separate"/>
      </w:r>
      <w:r>
        <w:rPr>
          <w:rFonts w:ascii="Times New Roman"/>
          <w:color w:val="000000"/>
          <w:highlight w:val="none"/>
          <w:lang/>
        </w:rPr>
        <w:t>90</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保证金递交凭证</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_Toc503130805 \h </w:instrText>
      </w:r>
      <w:r>
        <w:rPr>
          <w:rFonts w:ascii="Times New Roman"/>
          <w:color w:val="000000"/>
          <w:highlight w:val="none"/>
          <w:lang/>
        </w:rPr>
        <w:fldChar w:fldCharType="separate"/>
      </w:r>
      <w:r>
        <w:rPr>
          <w:rFonts w:ascii="Times New Roman"/>
          <w:color w:val="000000"/>
          <w:highlight w:val="none"/>
          <w:lang/>
        </w:rPr>
        <w:t>90</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法定代表人授权书</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_Toc503130806 \h </w:instrText>
      </w:r>
      <w:r>
        <w:rPr>
          <w:rFonts w:ascii="Times New Roman"/>
          <w:color w:val="000000"/>
          <w:highlight w:val="none"/>
          <w:lang/>
        </w:rPr>
        <w:fldChar w:fldCharType="separate"/>
      </w:r>
      <w:r>
        <w:rPr>
          <w:rFonts w:ascii="Times New Roman"/>
          <w:color w:val="000000"/>
          <w:highlight w:val="none"/>
          <w:lang/>
        </w:rPr>
        <w:t>90</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hint="eastAsia" w:ascii="Times New Roman"/>
          <w:color w:val="000000"/>
          <w:highlight w:val="none"/>
          <w:lang/>
        </w:rPr>
        <w:t>财务状况证明</w:t>
      </w:r>
      <w:r>
        <w:rPr>
          <w:rFonts w:ascii="Times New Roman"/>
          <w:color w:val="000000"/>
          <w:highlight w:val="none"/>
          <w:lang/>
        </w:rPr>
        <w:t>，依法缴纳税收和社会保障资金的相关材料</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_Toc503130807 \h </w:instrText>
      </w:r>
      <w:r>
        <w:rPr>
          <w:rFonts w:ascii="Times New Roman"/>
          <w:color w:val="000000"/>
          <w:highlight w:val="none"/>
          <w:lang/>
        </w:rPr>
        <w:fldChar w:fldCharType="separate"/>
      </w:r>
      <w:r>
        <w:rPr>
          <w:rFonts w:ascii="Times New Roman"/>
          <w:color w:val="000000"/>
          <w:highlight w:val="none"/>
          <w:lang/>
        </w:rPr>
        <w:t>91</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信用查询记录的相关材料</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_Toc503130808 \h </w:instrText>
      </w:r>
      <w:r>
        <w:rPr>
          <w:rFonts w:ascii="Times New Roman"/>
          <w:color w:val="000000"/>
          <w:highlight w:val="none"/>
          <w:lang/>
        </w:rPr>
        <w:fldChar w:fldCharType="separate"/>
      </w:r>
      <w:r>
        <w:rPr>
          <w:rFonts w:ascii="Times New Roman"/>
          <w:color w:val="000000"/>
          <w:highlight w:val="none"/>
          <w:lang/>
        </w:rPr>
        <w:t>92</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具备履行合同所必需的设备和专业技术能力的证明</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_Toc503130809 \h </w:instrText>
      </w:r>
      <w:r>
        <w:rPr>
          <w:rFonts w:ascii="Times New Roman"/>
          <w:color w:val="000000"/>
          <w:highlight w:val="none"/>
          <w:lang/>
        </w:rPr>
        <w:fldChar w:fldCharType="separate"/>
      </w:r>
      <w:r>
        <w:rPr>
          <w:rFonts w:ascii="Times New Roman"/>
          <w:color w:val="000000"/>
          <w:highlight w:val="none"/>
          <w:lang/>
        </w:rPr>
        <w:t>95</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无违法记录声明函</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_Toc503130810 \h </w:instrText>
      </w:r>
      <w:r>
        <w:rPr>
          <w:rFonts w:ascii="Times New Roman"/>
          <w:color w:val="000000"/>
          <w:highlight w:val="none"/>
          <w:lang/>
        </w:rPr>
        <w:fldChar w:fldCharType="separate"/>
      </w:r>
      <w:r>
        <w:rPr>
          <w:rFonts w:ascii="Times New Roman"/>
          <w:color w:val="000000"/>
          <w:highlight w:val="none"/>
          <w:lang/>
        </w:rPr>
        <w:t>95</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法人出具的承诺函</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_Toc503130811 \h </w:instrText>
      </w:r>
      <w:r>
        <w:rPr>
          <w:rFonts w:ascii="Times New Roman"/>
          <w:color w:val="000000"/>
          <w:highlight w:val="none"/>
          <w:lang/>
        </w:rPr>
        <w:fldChar w:fldCharType="separate"/>
      </w:r>
      <w:r>
        <w:rPr>
          <w:rFonts w:ascii="Times New Roman"/>
          <w:color w:val="000000"/>
          <w:highlight w:val="none"/>
          <w:lang/>
        </w:rPr>
        <w:t>96</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r>
        <w:rPr>
          <w:rFonts w:ascii="Times New Roman"/>
          <w:color w:val="000000"/>
          <w:highlight w:val="none"/>
          <w:lang/>
        </w:rPr>
        <w:t>其它</w:t>
      </w:r>
      <w:r>
        <w:rPr>
          <w:rFonts w:ascii="Times New Roman"/>
          <w:color w:val="000000"/>
          <w:highlight w:val="none"/>
          <w:lang/>
        </w:rPr>
        <w:tab/>
      </w:r>
      <w:r>
        <w:rPr>
          <w:rFonts w:ascii="Times New Roman"/>
          <w:color w:val="000000"/>
          <w:highlight w:val="none"/>
          <w:lang/>
        </w:rPr>
        <w:fldChar w:fldCharType="begin"/>
      </w:r>
      <w:r>
        <w:rPr>
          <w:rFonts w:ascii="Times New Roman"/>
          <w:color w:val="000000"/>
          <w:highlight w:val="none"/>
          <w:lang/>
        </w:rPr>
        <w:instrText xml:space="preserve"> PAGEREF _Toc503130812 \h </w:instrText>
      </w:r>
      <w:r>
        <w:rPr>
          <w:rFonts w:ascii="Times New Roman"/>
          <w:color w:val="000000"/>
          <w:highlight w:val="none"/>
          <w:lang/>
        </w:rPr>
        <w:fldChar w:fldCharType="separate"/>
      </w:r>
      <w:r>
        <w:rPr>
          <w:rFonts w:ascii="Times New Roman"/>
          <w:color w:val="000000"/>
          <w:highlight w:val="none"/>
          <w:lang/>
        </w:rPr>
        <w:t>96</w:t>
      </w:r>
      <w:r>
        <w:rPr>
          <w:rFonts w:ascii="Times New Roman"/>
          <w:color w:val="000000"/>
          <w:highlight w:val="none"/>
          <w:lang/>
        </w:rPr>
        <w:fldChar w:fldCharType="end"/>
      </w:r>
    </w:p>
    <w:p>
      <w:pPr>
        <w:pStyle w:val="24"/>
        <w:rPr>
          <w:rFonts w:ascii="Times New Roman" w:eastAsia="宋体"/>
          <w:color w:val="000000"/>
          <w:kern w:val="2"/>
          <w:sz w:val="21"/>
          <w:szCs w:val="22"/>
          <w:highlight w:val="none"/>
          <w:lang/>
        </w:rPr>
      </w:pPr>
    </w:p>
    <w:p>
      <w:pPr>
        <w:pStyle w:val="82"/>
        <w:rPr>
          <w:rFonts w:ascii="Times New Roman"/>
          <w:color w:val="000000"/>
          <w:highlight w:val="none"/>
        </w:rPr>
      </w:pPr>
      <w:r>
        <w:rPr>
          <w:rFonts w:ascii="Times New Roman"/>
          <w:color w:val="000000"/>
          <w:highlight w:val="none"/>
        </w:rPr>
        <w:fldChar w:fldCharType="end"/>
      </w:r>
    </w:p>
    <w:p>
      <w:pPr>
        <w:pStyle w:val="82"/>
        <w:rPr>
          <w:rFonts w:ascii="Times New Roman"/>
          <w:color w:val="000000"/>
          <w:highlight w:val="none"/>
        </w:rPr>
      </w:pPr>
      <w:r>
        <w:rPr>
          <w:rFonts w:ascii="Times New Roman"/>
          <w:color w:val="000000"/>
          <w:highlight w:val="none"/>
        </w:rPr>
        <w:br w:type="page"/>
      </w:r>
      <w:bookmarkStart w:id="1176" w:name="_Toc495398020"/>
      <w:bookmarkStart w:id="1177" w:name="_Toc495398070"/>
      <w:bookmarkStart w:id="1178" w:name="_Toc503130804"/>
      <w:bookmarkStart w:id="1179" w:name="_Toc512602479"/>
      <w:bookmarkStart w:id="1180" w:name="_Toc503130438"/>
      <w:bookmarkStart w:id="1181" w:name="_Toc503130743"/>
      <w:bookmarkStart w:id="1182" w:name="_Toc5116298"/>
      <w:bookmarkStart w:id="1183" w:name="_Toc14003"/>
      <w:r>
        <w:rPr>
          <w:rFonts w:ascii="Times New Roman"/>
          <w:color w:val="000000"/>
          <w:highlight w:val="none"/>
        </w:rPr>
        <w:t>营业执照、</w:t>
      </w:r>
      <w:bookmarkEnd w:id="1169"/>
      <w:bookmarkEnd w:id="1170"/>
      <w:r>
        <w:rPr>
          <w:rFonts w:ascii="Times New Roman"/>
          <w:color w:val="000000"/>
          <w:highlight w:val="none"/>
        </w:rPr>
        <w:t>基本账户</w:t>
      </w:r>
      <w:bookmarkEnd w:id="1171"/>
      <w:bookmarkEnd w:id="1172"/>
      <w:bookmarkEnd w:id="1173"/>
      <w:r>
        <w:rPr>
          <w:rFonts w:ascii="Times New Roman"/>
          <w:color w:val="000000"/>
          <w:highlight w:val="none"/>
        </w:rPr>
        <w:t>开户许可证</w:t>
      </w:r>
      <w:bookmarkEnd w:id="1174"/>
      <w:bookmarkEnd w:id="1175"/>
      <w:bookmarkEnd w:id="1176"/>
      <w:bookmarkEnd w:id="1177"/>
      <w:bookmarkEnd w:id="1178"/>
      <w:bookmarkEnd w:id="1179"/>
      <w:bookmarkEnd w:id="1180"/>
      <w:bookmarkEnd w:id="1181"/>
      <w:r>
        <w:rPr>
          <w:rFonts w:hint="eastAsia" w:ascii="Times New Roman"/>
          <w:color w:val="000000"/>
          <w:highlight w:val="none"/>
        </w:rPr>
        <w:t>（或基本账户网上备案截图）</w:t>
      </w:r>
      <w:bookmarkEnd w:id="1182"/>
      <w:bookmarkEnd w:id="1183"/>
    </w:p>
    <w:p>
      <w:pPr>
        <w:jc w:val="center"/>
        <w:rPr>
          <w:color w:val="000000"/>
          <w:highlight w:val="none"/>
        </w:rPr>
      </w:pPr>
      <w:r>
        <w:rPr>
          <w:color w:val="000000"/>
          <w:highlight w:val="none"/>
        </w:rPr>
        <w:t>（复印件加盖公章）</w:t>
      </w:r>
    </w:p>
    <w:p>
      <w:pPr>
        <w:rPr>
          <w:color w:val="000000"/>
          <w:highlight w:val="none"/>
        </w:rPr>
      </w:pPr>
    </w:p>
    <w:p>
      <w:pPr>
        <w:rPr>
          <w:color w:val="000000"/>
          <w:highlight w:val="none"/>
        </w:rPr>
      </w:pPr>
    </w:p>
    <w:p>
      <w:pPr>
        <w:pStyle w:val="82"/>
        <w:rPr>
          <w:rFonts w:ascii="Times New Roman"/>
          <w:color w:val="000000"/>
          <w:highlight w:val="none"/>
        </w:rPr>
      </w:pPr>
      <w:bookmarkStart w:id="1184" w:name="_Toc503130744"/>
      <w:bookmarkStart w:id="1185" w:name="_Toc495398021"/>
      <w:bookmarkStart w:id="1186" w:name="_Toc11912"/>
      <w:bookmarkStart w:id="1187" w:name="_Toc503130805"/>
      <w:bookmarkStart w:id="1188" w:name="_Toc503130439"/>
      <w:bookmarkStart w:id="1189" w:name="_Toc5116299"/>
      <w:bookmarkStart w:id="1190" w:name="_Toc495398071"/>
      <w:bookmarkStart w:id="1191" w:name="_Toc512602480"/>
      <w:r>
        <w:rPr>
          <w:rFonts w:ascii="Times New Roman"/>
          <w:color w:val="000000"/>
          <w:highlight w:val="none"/>
        </w:rPr>
        <w:t>保证金递交凭证</w:t>
      </w:r>
      <w:bookmarkEnd w:id="1184"/>
      <w:bookmarkEnd w:id="1185"/>
      <w:bookmarkEnd w:id="1186"/>
      <w:bookmarkEnd w:id="1187"/>
      <w:bookmarkEnd w:id="1188"/>
      <w:bookmarkEnd w:id="1189"/>
      <w:bookmarkEnd w:id="1190"/>
      <w:bookmarkEnd w:id="1191"/>
    </w:p>
    <w:p>
      <w:pPr>
        <w:jc w:val="center"/>
        <w:rPr>
          <w:color w:val="000000"/>
          <w:highlight w:val="none"/>
        </w:rPr>
      </w:pPr>
      <w:r>
        <w:rPr>
          <w:color w:val="000000"/>
          <w:highlight w:val="none"/>
        </w:rPr>
        <w:t>（保证金须从基本账户汇出，提供递交凭证复印件加盖公章，如：汇款凭证、银行汇票等）</w:t>
      </w:r>
    </w:p>
    <w:p>
      <w:pPr>
        <w:rPr>
          <w:color w:val="000000"/>
          <w:highlight w:val="none"/>
        </w:rPr>
      </w:pPr>
    </w:p>
    <w:p>
      <w:pPr>
        <w:rPr>
          <w:color w:val="000000"/>
          <w:highlight w:val="none"/>
        </w:rPr>
      </w:pPr>
    </w:p>
    <w:p>
      <w:pPr>
        <w:pStyle w:val="82"/>
        <w:rPr>
          <w:rFonts w:ascii="Times New Roman"/>
          <w:color w:val="000000"/>
          <w:highlight w:val="none"/>
        </w:rPr>
      </w:pPr>
      <w:bookmarkStart w:id="1192" w:name="_Toc503130745"/>
      <w:bookmarkStart w:id="1193" w:name="_Toc24363"/>
      <w:bookmarkStart w:id="1194" w:name="_Toc495398072"/>
      <w:bookmarkStart w:id="1195" w:name="_Toc503130440"/>
      <w:bookmarkStart w:id="1196" w:name="_Toc503130806"/>
      <w:bookmarkStart w:id="1197" w:name="_Toc5116300"/>
      <w:bookmarkStart w:id="1198" w:name="_Toc512602481"/>
      <w:bookmarkStart w:id="1199" w:name="_Toc495398022"/>
      <w:r>
        <w:rPr>
          <w:rFonts w:ascii="Times New Roman"/>
          <w:color w:val="000000"/>
          <w:highlight w:val="none"/>
        </w:rPr>
        <w:t>法定代表人授权书</w:t>
      </w:r>
      <w:bookmarkEnd w:id="1192"/>
      <w:bookmarkEnd w:id="1193"/>
      <w:bookmarkEnd w:id="1194"/>
      <w:bookmarkEnd w:id="1195"/>
      <w:bookmarkEnd w:id="1196"/>
      <w:bookmarkEnd w:id="1197"/>
      <w:bookmarkEnd w:id="1198"/>
      <w:bookmarkEnd w:id="1199"/>
    </w:p>
    <w:p>
      <w:pPr>
        <w:spacing w:after="240" w:afterLines="100"/>
        <w:jc w:val="center"/>
        <w:rPr>
          <w:color w:val="000000"/>
          <w:highlight w:val="none"/>
        </w:rPr>
      </w:pPr>
      <w:r>
        <w:rPr>
          <w:color w:val="000000"/>
          <w:highlight w:val="none"/>
        </w:rPr>
        <w:t>（若投标人为非法人企业，应参照此格式，由营业执照上的单位负责人签署此授权书）</w:t>
      </w:r>
    </w:p>
    <w:p>
      <w:pPr>
        <w:pStyle w:val="12"/>
        <w:spacing w:before="120" w:beforeLines="50"/>
        <w:rPr>
          <w:color w:val="000000"/>
          <w:highlight w:val="none"/>
        </w:rPr>
      </w:pPr>
      <w:r>
        <w:rPr>
          <w:color w:val="000000"/>
          <w:highlight w:val="none"/>
        </w:rPr>
        <w:t>本授权书声明：注册于</w:t>
      </w:r>
      <w:r>
        <w:rPr>
          <w:color w:val="000000"/>
          <w:highlight w:val="none"/>
          <w:u w:val="single"/>
        </w:rPr>
        <w:t xml:space="preserve">                    </w:t>
      </w:r>
      <w:r>
        <w:rPr>
          <w:color w:val="000000"/>
          <w:highlight w:val="none"/>
        </w:rPr>
        <w:t>的</w:t>
      </w:r>
      <w:r>
        <w:rPr>
          <w:color w:val="000000"/>
          <w:highlight w:val="none"/>
          <w:u w:val="single"/>
        </w:rPr>
        <w:t xml:space="preserve">                  </w:t>
      </w:r>
      <w:r>
        <w:rPr>
          <w:color w:val="000000"/>
          <w:highlight w:val="none"/>
        </w:rPr>
        <w:t>公司的在下面签字的</w:t>
      </w:r>
      <w:r>
        <w:rPr>
          <w:color w:val="000000"/>
          <w:highlight w:val="none"/>
          <w:u w:val="single"/>
        </w:rPr>
        <w:t xml:space="preserve">                </w:t>
      </w:r>
      <w:r>
        <w:rPr>
          <w:color w:val="000000"/>
          <w:highlight w:val="none"/>
        </w:rPr>
        <w:t>（法定代表人姓名、职务）代表本公司授权</w:t>
      </w:r>
      <w:r>
        <w:rPr>
          <w:color w:val="000000"/>
          <w:highlight w:val="none"/>
          <w:u w:val="single"/>
        </w:rPr>
        <w:t xml:space="preserve">                </w:t>
      </w:r>
      <w:r>
        <w:rPr>
          <w:color w:val="000000"/>
          <w:highlight w:val="none"/>
        </w:rPr>
        <w:t>（单位）的在下面签字的</w:t>
      </w:r>
      <w:r>
        <w:rPr>
          <w:color w:val="000000"/>
          <w:highlight w:val="none"/>
          <w:u w:val="single"/>
        </w:rPr>
        <w:t xml:space="preserve">                      </w:t>
      </w:r>
      <w:r>
        <w:rPr>
          <w:color w:val="000000"/>
          <w:highlight w:val="none"/>
        </w:rPr>
        <w:t>（被授权人的姓名、职务）为本公司的合法代理人，就</w:t>
      </w:r>
      <w:r>
        <w:rPr>
          <w:color w:val="000000"/>
          <w:highlight w:val="none"/>
          <w:u w:val="single"/>
        </w:rPr>
        <w:t xml:space="preserve">                                      </w:t>
      </w:r>
      <w:r>
        <w:rPr>
          <w:color w:val="000000"/>
          <w:highlight w:val="none"/>
        </w:rPr>
        <w:t>项目提交投标文件、澄清答复、谈判、签约、执行、完成和保修，并以本公司名义处理一切与之有关的事务。</w:t>
      </w:r>
    </w:p>
    <w:p>
      <w:pPr>
        <w:pStyle w:val="12"/>
        <w:rPr>
          <w:color w:val="000000"/>
          <w:highlight w:val="none"/>
        </w:rPr>
      </w:pPr>
      <w:r>
        <w:rPr>
          <w:color w:val="000000"/>
          <w:highlight w:val="none"/>
        </w:rPr>
        <w:t>本授权书于</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日签字生效，有效期为</w:t>
      </w:r>
      <w:r>
        <w:rPr>
          <w:color w:val="000000"/>
          <w:highlight w:val="none"/>
          <w:u w:val="single"/>
        </w:rPr>
        <w:t xml:space="preserve">    </w:t>
      </w:r>
      <w:r>
        <w:rPr>
          <w:color w:val="000000"/>
          <w:highlight w:val="none"/>
        </w:rPr>
        <w:t>天。</w:t>
      </w:r>
    </w:p>
    <w:p>
      <w:pPr>
        <w:pStyle w:val="12"/>
        <w:rPr>
          <w:color w:val="000000"/>
          <w:highlight w:val="none"/>
        </w:rPr>
      </w:pPr>
      <w:r>
        <w:rPr>
          <w:color w:val="000000"/>
          <w:highlight w:val="none"/>
        </w:rPr>
        <w:t>特此声明。</w:t>
      </w:r>
    </w:p>
    <w:p>
      <w:pPr>
        <w:autoSpaceDE w:val="0"/>
        <w:autoSpaceDN w:val="0"/>
        <w:textAlignment w:val="bottom"/>
        <w:rPr>
          <w:color w:val="000000"/>
          <w:highlight w:val="none"/>
        </w:rPr>
      </w:pPr>
    </w:p>
    <w:p>
      <w:pPr>
        <w:autoSpaceDE w:val="0"/>
        <w:autoSpaceDN w:val="0"/>
        <w:textAlignment w:val="bottom"/>
        <w:rPr>
          <w:color w:val="000000"/>
          <w:highlight w:val="none"/>
        </w:rPr>
      </w:pPr>
      <w:bookmarkStart w:id="1200" w:name="_Toc328309651"/>
      <w:r>
        <w:rPr>
          <w:color w:val="000000"/>
          <w:highlight w:val="none"/>
        </w:rPr>
        <w:t>附：被授权人身份证复印件</w:t>
      </w:r>
      <w:bookmarkEnd w:id="1200"/>
      <w:r>
        <w:rPr>
          <w:color w:val="000000"/>
          <w:highlight w:val="none"/>
        </w:rPr>
        <w:t>。</w:t>
      </w:r>
    </w:p>
    <w:p>
      <w:pPr>
        <w:autoSpaceDE w:val="0"/>
        <w:autoSpaceDN w:val="0"/>
        <w:textAlignment w:val="bottom"/>
        <w:rPr>
          <w:color w:val="000000"/>
          <w:highlight w:val="none"/>
        </w:rPr>
      </w:pPr>
    </w:p>
    <w:p>
      <w:pPr>
        <w:autoSpaceDE w:val="0"/>
        <w:autoSpaceDN w:val="0"/>
        <w:textAlignment w:val="bottom"/>
        <w:rPr>
          <w:color w:val="000000"/>
          <w:highlight w:val="none"/>
        </w:rPr>
      </w:pPr>
    </w:p>
    <w:p>
      <w:pPr>
        <w:autoSpaceDE w:val="0"/>
        <w:autoSpaceDN w:val="0"/>
        <w:textAlignment w:val="bottom"/>
        <w:rPr>
          <w:color w:val="000000"/>
          <w:highlight w:val="none"/>
        </w:rPr>
      </w:pPr>
    </w:p>
    <w:p>
      <w:pPr>
        <w:keepNext w:val="0"/>
        <w:keepLines w:val="0"/>
        <w:pageBreakBefore w:val="0"/>
        <w:widowControl w:val="0"/>
        <w:kinsoku/>
        <w:wordWrap/>
        <w:overflowPunct/>
        <w:topLinePunct w:val="0"/>
        <w:autoSpaceDE w:val="0"/>
        <w:autoSpaceDN w:val="0"/>
        <w:bidi w:val="0"/>
        <w:adjustRightInd w:val="0"/>
        <w:snapToGrid/>
        <w:spacing w:after="160"/>
        <w:ind w:left="0" w:leftChars="0" w:firstLine="2721" w:firstLineChars="0"/>
        <w:textAlignment w:val="bottom"/>
        <w:rPr>
          <w:color w:val="000000"/>
          <w:highlight w:val="none"/>
        </w:rPr>
      </w:pPr>
      <w:r>
        <w:rPr>
          <w:rFonts w:hint="eastAsia"/>
          <w:color w:val="000000"/>
          <w:highlight w:val="none"/>
          <w:lang w:eastAsia="zh-CN"/>
        </w:rPr>
        <w:t>法定代表人</w:t>
      </w:r>
      <w:r>
        <w:rPr>
          <w:color w:val="000000"/>
          <w:highlight w:val="none"/>
        </w:rPr>
        <w:t>签字</w:t>
      </w:r>
      <w:r>
        <w:rPr>
          <w:rFonts w:hint="eastAsia"/>
          <w:color w:val="000000"/>
          <w:highlight w:val="none"/>
        </w:rPr>
        <w:t>或</w:t>
      </w:r>
      <w:r>
        <w:rPr>
          <w:color w:val="000000"/>
          <w:highlight w:val="none"/>
        </w:rPr>
        <w:t>盖章：</w:t>
      </w:r>
      <w:r>
        <w:rPr>
          <w:color w:val="000000"/>
          <w:highlight w:val="none"/>
          <w:u w:val="single"/>
        </w:rPr>
        <w:t xml:space="preserve">                            </w:t>
      </w:r>
    </w:p>
    <w:p>
      <w:pPr>
        <w:autoSpaceDE w:val="0"/>
        <w:autoSpaceDN w:val="0"/>
        <w:spacing w:after="160"/>
        <w:ind w:firstLine="1800"/>
        <w:textAlignment w:val="bottom"/>
        <w:rPr>
          <w:color w:val="000000"/>
          <w:highlight w:val="none"/>
        </w:rPr>
      </w:pPr>
      <w:r>
        <w:rPr>
          <w:color w:val="000000"/>
          <w:highlight w:val="none"/>
        </w:rPr>
        <w:t>代理人（被授权人）签字</w:t>
      </w:r>
      <w:r>
        <w:rPr>
          <w:rFonts w:hint="eastAsia"/>
          <w:color w:val="000000"/>
          <w:highlight w:val="none"/>
        </w:rPr>
        <w:t>或</w:t>
      </w:r>
      <w:r>
        <w:rPr>
          <w:color w:val="000000"/>
          <w:highlight w:val="none"/>
        </w:rPr>
        <w:t>盖章：</w:t>
      </w:r>
      <w:r>
        <w:rPr>
          <w:color w:val="000000"/>
          <w:highlight w:val="none"/>
          <w:u w:val="single"/>
        </w:rPr>
        <w:t xml:space="preserve">                            </w:t>
      </w:r>
    </w:p>
    <w:p>
      <w:pPr>
        <w:autoSpaceDE w:val="0"/>
        <w:autoSpaceDN w:val="0"/>
        <w:spacing w:after="160"/>
        <w:ind w:firstLine="3240"/>
        <w:textAlignment w:val="bottom"/>
        <w:rPr>
          <w:color w:val="000000"/>
          <w:highlight w:val="none"/>
        </w:rPr>
      </w:pPr>
      <w:r>
        <w:rPr>
          <w:color w:val="000000"/>
          <w:highlight w:val="none"/>
        </w:rPr>
        <w:t>见证人签字</w:t>
      </w:r>
      <w:r>
        <w:rPr>
          <w:rFonts w:hint="eastAsia"/>
          <w:color w:val="000000"/>
          <w:highlight w:val="none"/>
        </w:rPr>
        <w:t>或</w:t>
      </w:r>
      <w:r>
        <w:rPr>
          <w:color w:val="000000"/>
          <w:highlight w:val="none"/>
        </w:rPr>
        <w:t>盖章：</w:t>
      </w:r>
      <w:r>
        <w:rPr>
          <w:color w:val="000000"/>
          <w:highlight w:val="none"/>
          <w:u w:val="single"/>
        </w:rPr>
        <w:t xml:space="preserve">                            </w:t>
      </w:r>
    </w:p>
    <w:p>
      <w:pPr>
        <w:autoSpaceDE w:val="0"/>
        <w:autoSpaceDN w:val="0"/>
        <w:spacing w:after="160"/>
        <w:ind w:firstLine="4196"/>
        <w:textAlignment w:val="bottom"/>
        <w:rPr>
          <w:color w:val="000000"/>
          <w:highlight w:val="none"/>
        </w:rPr>
      </w:pPr>
      <w:r>
        <w:rPr>
          <w:color w:val="000000"/>
          <w:highlight w:val="none"/>
        </w:rPr>
        <w:t>单位名称：</w:t>
      </w:r>
      <w:r>
        <w:rPr>
          <w:color w:val="000000"/>
          <w:highlight w:val="none"/>
          <w:u w:val="single"/>
        </w:rPr>
        <w:t xml:space="preserve">                            </w:t>
      </w:r>
    </w:p>
    <w:p>
      <w:pPr>
        <w:autoSpaceDE w:val="0"/>
        <w:autoSpaceDN w:val="0"/>
        <w:spacing w:after="160"/>
        <w:ind w:firstLine="4196"/>
        <w:textAlignment w:val="bottom"/>
        <w:rPr>
          <w:color w:val="000000"/>
          <w:highlight w:val="none"/>
        </w:rPr>
      </w:pPr>
      <w:r>
        <w:rPr>
          <w:color w:val="000000"/>
          <w:highlight w:val="none"/>
        </w:rPr>
        <w:t>单位</w:t>
      </w:r>
      <w:r>
        <w:rPr>
          <w:rFonts w:hint="eastAsia"/>
          <w:color w:val="000000"/>
          <w:highlight w:val="none"/>
        </w:rPr>
        <w:t>公章</w:t>
      </w:r>
      <w:r>
        <w:rPr>
          <w:color w:val="000000"/>
          <w:highlight w:val="none"/>
        </w:rPr>
        <w:t>：</w:t>
      </w:r>
      <w:r>
        <w:rPr>
          <w:color w:val="000000"/>
          <w:highlight w:val="none"/>
          <w:u w:val="single"/>
        </w:rPr>
        <w:t xml:space="preserve">                            </w:t>
      </w:r>
    </w:p>
    <w:p>
      <w:pPr>
        <w:pStyle w:val="82"/>
        <w:rPr>
          <w:rFonts w:ascii="Times New Roman"/>
          <w:color w:val="000000"/>
          <w:highlight w:val="none"/>
        </w:rPr>
      </w:pPr>
      <w:r>
        <w:rPr>
          <w:rFonts w:ascii="Times New Roman"/>
          <w:color w:val="000000"/>
          <w:highlight w:val="none"/>
        </w:rPr>
        <w:br w:type="page"/>
      </w:r>
      <w:bookmarkStart w:id="1201" w:name="_Toc24713"/>
      <w:bookmarkStart w:id="1202" w:name="_Toc503130441"/>
      <w:bookmarkStart w:id="1203" w:name="_Toc5116301"/>
      <w:bookmarkStart w:id="1204" w:name="_Toc512602482"/>
      <w:bookmarkStart w:id="1205" w:name="_Toc495398023"/>
      <w:bookmarkStart w:id="1206" w:name="_Toc495398073"/>
      <w:bookmarkStart w:id="1207" w:name="_Toc503130746"/>
      <w:bookmarkStart w:id="1208" w:name="_Toc503130807"/>
      <w:r>
        <w:rPr>
          <w:rFonts w:hint="eastAsia" w:ascii="Times New Roman"/>
          <w:color w:val="000000"/>
          <w:highlight w:val="none"/>
        </w:rPr>
        <w:t>财务状况证明</w:t>
      </w:r>
      <w:r>
        <w:rPr>
          <w:rFonts w:ascii="Times New Roman"/>
          <w:color w:val="000000"/>
          <w:highlight w:val="none"/>
        </w:rPr>
        <w:t>，依法缴纳税收和社会保障资金的相关材料</w:t>
      </w:r>
      <w:bookmarkEnd w:id="1201"/>
      <w:bookmarkEnd w:id="1202"/>
      <w:bookmarkEnd w:id="1203"/>
      <w:bookmarkEnd w:id="1204"/>
      <w:bookmarkEnd w:id="1205"/>
      <w:bookmarkEnd w:id="1206"/>
      <w:bookmarkEnd w:id="1207"/>
      <w:bookmarkEnd w:id="1208"/>
    </w:p>
    <w:p>
      <w:pPr>
        <w:jc w:val="center"/>
        <w:rPr>
          <w:color w:val="000000"/>
          <w:highlight w:val="none"/>
        </w:rPr>
      </w:pPr>
      <w:r>
        <w:rPr>
          <w:color w:val="000000"/>
          <w:highlight w:val="none"/>
        </w:rPr>
        <w:t>（复印件加盖公章）</w:t>
      </w:r>
    </w:p>
    <w:p>
      <w:pPr>
        <w:jc w:val="center"/>
        <w:rPr>
          <w:color w:val="000000"/>
          <w:highlight w:val="none"/>
        </w:rPr>
      </w:pPr>
    </w:p>
    <w:p>
      <w:pPr>
        <w:pStyle w:val="2"/>
        <w:numPr>
          <w:ilvl w:val="0"/>
          <w:numId w:val="9"/>
        </w:numPr>
        <w:rPr>
          <w:rFonts w:ascii="Times New Roman"/>
          <w:color w:val="000000"/>
          <w:highlight w:val="none"/>
        </w:rPr>
      </w:pPr>
      <w:bookmarkStart w:id="1209" w:name="_Toc5116302"/>
      <w:bookmarkStart w:id="1210" w:name="_Toc512602483"/>
      <w:bookmarkStart w:id="1211" w:name="_Toc20363"/>
      <w:bookmarkStart w:id="1212" w:name="_Toc503130442"/>
      <w:r>
        <w:rPr>
          <w:rFonts w:hint="eastAsia" w:ascii="Times New Roman"/>
          <w:color w:val="000000"/>
          <w:highlight w:val="none"/>
        </w:rPr>
        <w:t>财务状况证明（经审计的财务报告或未经审计的财务报表）</w:t>
      </w:r>
      <w:r>
        <w:rPr>
          <w:rFonts w:ascii="Times New Roman"/>
          <w:color w:val="000000"/>
          <w:highlight w:val="none"/>
        </w:rPr>
        <w:t>：</w:t>
      </w:r>
      <w:bookmarkEnd w:id="1209"/>
      <w:bookmarkEnd w:id="1210"/>
      <w:bookmarkEnd w:id="1211"/>
      <w:bookmarkEnd w:id="1212"/>
    </w:p>
    <w:p>
      <w:pPr>
        <w:rPr>
          <w:color w:val="000000"/>
          <w:highlight w:val="none"/>
        </w:rPr>
      </w:pPr>
    </w:p>
    <w:p>
      <w:pPr>
        <w:rPr>
          <w:color w:val="000000"/>
          <w:highlight w:val="none"/>
        </w:rPr>
      </w:pPr>
    </w:p>
    <w:p>
      <w:pPr>
        <w:rPr>
          <w:color w:val="000000"/>
          <w:highlight w:val="none"/>
        </w:rPr>
      </w:pPr>
    </w:p>
    <w:p>
      <w:pPr>
        <w:rPr>
          <w:color w:val="000000"/>
          <w:highlight w:val="none"/>
        </w:rPr>
      </w:pPr>
    </w:p>
    <w:p>
      <w:pPr>
        <w:pStyle w:val="2"/>
        <w:numPr>
          <w:ilvl w:val="0"/>
          <w:numId w:val="8"/>
        </w:numPr>
        <w:rPr>
          <w:rFonts w:ascii="Times New Roman"/>
          <w:color w:val="000000"/>
          <w:highlight w:val="none"/>
        </w:rPr>
      </w:pPr>
      <w:bookmarkStart w:id="1213" w:name="_Toc503130443"/>
      <w:bookmarkStart w:id="1214" w:name="_Toc25183"/>
      <w:bookmarkStart w:id="1215" w:name="_Toc5116303"/>
      <w:bookmarkStart w:id="1216" w:name="_Toc512602484"/>
      <w:r>
        <w:rPr>
          <w:rFonts w:hint="eastAsia" w:ascii="Times New Roman"/>
          <w:color w:val="000000"/>
          <w:highlight w:val="none"/>
        </w:rPr>
        <w:t>依法缴纳税收的相关材料</w:t>
      </w:r>
      <w:r>
        <w:rPr>
          <w:rFonts w:ascii="Times New Roman"/>
          <w:color w:val="000000"/>
          <w:highlight w:val="none"/>
        </w:rPr>
        <w:t>：</w:t>
      </w:r>
      <w:bookmarkEnd w:id="1213"/>
      <w:bookmarkEnd w:id="1214"/>
      <w:bookmarkEnd w:id="1215"/>
      <w:bookmarkEnd w:id="1216"/>
    </w:p>
    <w:p>
      <w:pPr>
        <w:rPr>
          <w:color w:val="000000"/>
          <w:highlight w:val="none"/>
        </w:rPr>
      </w:pPr>
    </w:p>
    <w:p>
      <w:pPr>
        <w:rPr>
          <w:color w:val="000000"/>
          <w:highlight w:val="none"/>
        </w:rPr>
      </w:pPr>
    </w:p>
    <w:p>
      <w:pPr>
        <w:rPr>
          <w:color w:val="000000"/>
          <w:highlight w:val="none"/>
        </w:rPr>
      </w:pPr>
    </w:p>
    <w:p>
      <w:pPr>
        <w:rPr>
          <w:color w:val="000000"/>
          <w:highlight w:val="none"/>
        </w:rPr>
      </w:pPr>
    </w:p>
    <w:p>
      <w:pPr>
        <w:pStyle w:val="2"/>
        <w:numPr>
          <w:ilvl w:val="0"/>
          <w:numId w:val="8"/>
        </w:numPr>
        <w:rPr>
          <w:rFonts w:ascii="Times New Roman"/>
          <w:color w:val="000000"/>
          <w:highlight w:val="none"/>
        </w:rPr>
      </w:pPr>
      <w:bookmarkStart w:id="1217" w:name="_Toc7876"/>
      <w:bookmarkStart w:id="1218" w:name="_Toc512602485"/>
      <w:bookmarkStart w:id="1219" w:name="_Toc5116304"/>
      <w:bookmarkStart w:id="1220" w:name="_Toc503130444"/>
      <w:r>
        <w:rPr>
          <w:rFonts w:hint="eastAsia" w:ascii="Times New Roman"/>
          <w:color w:val="000000"/>
          <w:highlight w:val="none"/>
        </w:rPr>
        <w:t>依法缴纳社会保障资金的相关材料</w:t>
      </w:r>
      <w:r>
        <w:rPr>
          <w:rFonts w:ascii="Times New Roman"/>
          <w:color w:val="000000"/>
          <w:highlight w:val="none"/>
        </w:rPr>
        <w:t>：</w:t>
      </w:r>
      <w:bookmarkEnd w:id="1217"/>
      <w:bookmarkEnd w:id="1218"/>
      <w:bookmarkEnd w:id="1219"/>
      <w:bookmarkEnd w:id="1220"/>
    </w:p>
    <w:p>
      <w:pPr>
        <w:rPr>
          <w:color w:val="000000"/>
          <w:highlight w:val="none"/>
        </w:rPr>
      </w:pPr>
    </w:p>
    <w:p>
      <w:pPr>
        <w:rPr>
          <w:color w:val="000000"/>
          <w:highlight w:val="none"/>
        </w:rPr>
      </w:pPr>
    </w:p>
    <w:p>
      <w:pPr>
        <w:rPr>
          <w:rFonts w:hint="eastAsia"/>
          <w:color w:val="000000"/>
          <w:highlight w:val="none"/>
        </w:rPr>
      </w:pPr>
    </w:p>
    <w:p>
      <w:pPr>
        <w:rPr>
          <w:rFonts w:hint="eastAsia"/>
          <w:color w:val="000000"/>
          <w:highlight w:val="none"/>
        </w:rPr>
      </w:pPr>
    </w:p>
    <w:p>
      <w:pPr>
        <w:rPr>
          <w:rFonts w:hint="eastAsia"/>
          <w:color w:val="000000"/>
          <w:highlight w:val="none"/>
        </w:rPr>
      </w:pPr>
      <w:r>
        <w:rPr>
          <w:rFonts w:hint="eastAsia"/>
          <w:color w:val="000000"/>
          <w:highlight w:val="none"/>
        </w:rPr>
        <w:t>注：</w:t>
      </w:r>
    </w:p>
    <w:p>
      <w:pPr>
        <w:rPr>
          <w:rFonts w:hint="eastAsia"/>
          <w:color w:val="000000"/>
          <w:highlight w:val="none"/>
        </w:rPr>
      </w:pPr>
      <w:r>
        <w:rPr>
          <w:rFonts w:hint="eastAsia"/>
          <w:color w:val="000000"/>
          <w:highlight w:val="none"/>
        </w:rPr>
        <w:t>（a）</w:t>
      </w:r>
      <w:r>
        <w:rPr>
          <w:rFonts w:hint="eastAsia"/>
          <w:color w:val="000000"/>
          <w:highlight w:val="none"/>
        </w:rPr>
        <w:tab/>
      </w:r>
      <w:r>
        <w:rPr>
          <w:rFonts w:hint="eastAsia"/>
          <w:color w:val="000000"/>
          <w:highlight w:val="none"/>
        </w:rPr>
        <w:t>未经审计的财务报表指：投标人的资产负债表、现金流量表和利润表；</w:t>
      </w:r>
    </w:p>
    <w:p>
      <w:pPr>
        <w:rPr>
          <w:rFonts w:hint="eastAsia"/>
          <w:color w:val="000000"/>
          <w:highlight w:val="none"/>
        </w:rPr>
      </w:pPr>
      <w:r>
        <w:rPr>
          <w:rFonts w:hint="eastAsia"/>
          <w:color w:val="000000"/>
          <w:highlight w:val="none"/>
        </w:rPr>
        <w:t>（b）</w:t>
      </w:r>
      <w:r>
        <w:rPr>
          <w:rFonts w:hint="eastAsia"/>
          <w:color w:val="000000"/>
          <w:highlight w:val="none"/>
        </w:rPr>
        <w:tab/>
      </w:r>
      <w:r>
        <w:rPr>
          <w:rFonts w:hint="eastAsia"/>
          <w:color w:val="000000"/>
          <w:highlight w:val="none"/>
        </w:rPr>
        <w:t>依法缴纳税收的相关材料指：由税务机关出具的投标人依法缴纳税收的凭证或依法享受免税的证明；</w:t>
      </w:r>
    </w:p>
    <w:p>
      <w:pPr>
        <w:rPr>
          <w:color w:val="000000"/>
          <w:highlight w:val="none"/>
        </w:rPr>
      </w:pPr>
      <w:r>
        <w:rPr>
          <w:rFonts w:hint="eastAsia"/>
          <w:color w:val="000000"/>
          <w:highlight w:val="none"/>
        </w:rPr>
        <w:t>（c）</w:t>
      </w:r>
      <w:r>
        <w:rPr>
          <w:rFonts w:hint="eastAsia"/>
          <w:color w:val="000000"/>
          <w:highlight w:val="none"/>
        </w:rPr>
        <w:tab/>
      </w:r>
      <w:r>
        <w:rPr>
          <w:rFonts w:hint="eastAsia"/>
          <w:color w:val="000000"/>
          <w:highlight w:val="none"/>
        </w:rPr>
        <w:t>依法缴纳社会保障资金的相关材料指：由投标人当地社保中心或类似机构出具的含有参保人数信息的投标人交纳社保资金证明材料；</w:t>
      </w:r>
    </w:p>
    <w:p>
      <w:pPr>
        <w:rPr>
          <w:color w:val="000000"/>
          <w:highlight w:val="none"/>
        </w:rPr>
      </w:pPr>
    </w:p>
    <w:p>
      <w:pPr>
        <w:pStyle w:val="82"/>
        <w:rPr>
          <w:rFonts w:ascii="Times New Roman"/>
          <w:color w:val="000000"/>
          <w:highlight w:val="none"/>
        </w:rPr>
      </w:pPr>
      <w:r>
        <w:rPr>
          <w:rFonts w:ascii="Times New Roman"/>
          <w:color w:val="000000"/>
          <w:highlight w:val="none"/>
        </w:rPr>
        <w:br w:type="page"/>
      </w:r>
      <w:bookmarkStart w:id="1221" w:name="_Toc512602486"/>
      <w:bookmarkStart w:id="1222" w:name="_Toc503130445"/>
      <w:bookmarkStart w:id="1223" w:name="_Toc495398024"/>
      <w:bookmarkStart w:id="1224" w:name="_Toc5116305"/>
      <w:bookmarkStart w:id="1225" w:name="_Toc503130808"/>
      <w:bookmarkStart w:id="1226" w:name="_Toc495398074"/>
      <w:bookmarkStart w:id="1227" w:name="_Toc503130747"/>
      <w:bookmarkStart w:id="1228" w:name="_Toc3491"/>
      <w:r>
        <w:rPr>
          <w:rFonts w:ascii="Times New Roman"/>
          <w:color w:val="000000"/>
          <w:highlight w:val="none"/>
        </w:rPr>
        <w:t>信用查询记录的相关材料</w:t>
      </w:r>
      <w:bookmarkEnd w:id="1221"/>
      <w:bookmarkEnd w:id="1222"/>
      <w:bookmarkEnd w:id="1223"/>
      <w:bookmarkEnd w:id="1224"/>
      <w:bookmarkEnd w:id="1225"/>
      <w:bookmarkEnd w:id="1226"/>
      <w:bookmarkEnd w:id="1227"/>
      <w:bookmarkEnd w:id="1228"/>
    </w:p>
    <w:p>
      <w:pPr>
        <w:jc w:val="center"/>
        <w:rPr>
          <w:color w:val="000000"/>
          <w:highlight w:val="none"/>
        </w:rPr>
      </w:pPr>
      <w:r>
        <w:rPr>
          <w:color w:val="000000"/>
          <w:highlight w:val="none"/>
        </w:rPr>
        <w:t>（复印件加盖公章）</w:t>
      </w:r>
    </w:p>
    <w:p>
      <w:pPr>
        <w:jc w:val="center"/>
        <w:rPr>
          <w:color w:val="000000"/>
          <w:highlight w:val="none"/>
        </w:rPr>
      </w:pPr>
    </w:p>
    <w:p>
      <w:pPr>
        <w:pStyle w:val="2"/>
        <w:numPr>
          <w:ilvl w:val="0"/>
          <w:numId w:val="8"/>
        </w:numPr>
        <w:rPr>
          <w:rFonts w:ascii="Times New Roman"/>
          <w:color w:val="000000"/>
          <w:highlight w:val="none"/>
        </w:rPr>
      </w:pPr>
      <w:bookmarkStart w:id="1229" w:name="_Toc3279"/>
      <w:bookmarkStart w:id="1230" w:name="_Toc512602487"/>
      <w:bookmarkStart w:id="1231" w:name="_Toc503130446"/>
      <w:bookmarkStart w:id="1232" w:name="_Toc5116306"/>
      <w:r>
        <w:rPr>
          <w:rFonts w:ascii="Times New Roman"/>
          <w:color w:val="000000"/>
          <w:highlight w:val="none"/>
        </w:rPr>
        <w:t>近三年未被国家财政部指定的“信用中国”网站（www.creditchina.gov.cn）、中国政府采购网（www.ccgp.gov.cn）等官方渠道列入失信被执行人、重大税收违法案件当事人名单或政府采购严重违法失信名单的网页截图：</w:t>
      </w:r>
      <w:bookmarkEnd w:id="1229"/>
      <w:bookmarkEnd w:id="1230"/>
      <w:bookmarkEnd w:id="1231"/>
      <w:bookmarkEnd w:id="1232"/>
    </w:p>
    <w:p>
      <w:pPr>
        <w:rPr>
          <w:rFonts w:eastAsia="黑体"/>
          <w:color w:val="000000"/>
          <w:kern w:val="44"/>
          <w:highlight w:val="none"/>
        </w:rPr>
      </w:pPr>
    </w:p>
    <w:p>
      <w:pPr>
        <w:rPr>
          <w:rFonts w:eastAsia="黑体"/>
          <w:color w:val="000000"/>
          <w:kern w:val="44"/>
          <w:highlight w:val="none"/>
        </w:rPr>
      </w:pPr>
    </w:p>
    <w:p>
      <w:pPr>
        <w:rPr>
          <w:rFonts w:eastAsia="黑体"/>
          <w:color w:val="000000"/>
          <w:kern w:val="44"/>
          <w:highlight w:val="none"/>
        </w:rPr>
      </w:pPr>
    </w:p>
    <w:p>
      <w:pPr>
        <w:rPr>
          <w:rFonts w:eastAsia="黑体"/>
          <w:color w:val="000000"/>
          <w:kern w:val="44"/>
          <w:highlight w:val="none"/>
        </w:rPr>
      </w:pPr>
    </w:p>
    <w:p>
      <w:pPr>
        <w:rPr>
          <w:rFonts w:eastAsia="黑体"/>
          <w:color w:val="000000"/>
          <w:kern w:val="44"/>
          <w:highlight w:val="none"/>
        </w:rPr>
      </w:pPr>
    </w:p>
    <w:p>
      <w:pPr>
        <w:rPr>
          <w:color w:val="000000"/>
          <w:highlight w:val="none"/>
        </w:rPr>
      </w:pPr>
    </w:p>
    <w:p>
      <w:pPr>
        <w:rPr>
          <w:color w:val="000000"/>
          <w:highlight w:val="none"/>
        </w:rPr>
      </w:pPr>
    </w:p>
    <w:p>
      <w:pPr>
        <w:pStyle w:val="82"/>
        <w:rPr>
          <w:rFonts w:ascii="Times New Roman"/>
          <w:color w:val="000000"/>
          <w:highlight w:val="none"/>
        </w:rPr>
      </w:pPr>
      <w:r>
        <w:rPr>
          <w:color w:val="000000"/>
          <w:highlight w:val="none"/>
        </w:rPr>
        <w:br w:type="page"/>
      </w:r>
      <w:bookmarkStart w:id="1233" w:name="_Toc17443"/>
      <w:r>
        <w:rPr>
          <w:rFonts w:hint="eastAsia" w:ascii="Times New Roman"/>
          <w:color w:val="000000"/>
          <w:highlight w:val="none"/>
        </w:rPr>
        <w:t>参加政府采购活动前3年（</w:t>
      </w:r>
      <w:r>
        <w:rPr>
          <w:rFonts w:hint="eastAsia" w:ascii="Times New Roman"/>
          <w:color w:val="000000"/>
          <w:highlight w:val="none"/>
          <w:lang w:eastAsia="zh-CN"/>
        </w:rPr>
        <w:t>2018年9月</w:t>
      </w:r>
      <w:r>
        <w:rPr>
          <w:rFonts w:hint="eastAsia" w:ascii="Times New Roman"/>
          <w:color w:val="000000"/>
          <w:highlight w:val="none"/>
        </w:rPr>
        <w:t>至今）内在经营活动中没有重大违法记录的书面声明</w:t>
      </w:r>
      <w:bookmarkEnd w:id="1233"/>
    </w:p>
    <w:p>
      <w:pPr>
        <w:widowControl/>
        <w:adjustRightInd/>
        <w:spacing w:line="312" w:lineRule="auto"/>
        <w:rPr>
          <w:rFonts w:hint="eastAsia" w:ascii="宋体" w:hAnsi="宋体"/>
          <w:color w:val="000000"/>
          <w:kern w:val="2"/>
          <w:szCs w:val="24"/>
          <w:highlight w:val="none"/>
        </w:rPr>
      </w:pPr>
    </w:p>
    <w:p>
      <w:pPr>
        <w:widowControl/>
        <w:adjustRightInd/>
        <w:spacing w:line="312" w:lineRule="auto"/>
        <w:rPr>
          <w:rFonts w:hint="eastAsia" w:ascii="宋体" w:hAnsi="宋体"/>
          <w:color w:val="000000"/>
          <w:kern w:val="2"/>
          <w:highlight w:val="none"/>
        </w:rPr>
      </w:pPr>
    </w:p>
    <w:p>
      <w:pPr>
        <w:adjustRightInd/>
        <w:spacing w:line="500" w:lineRule="exact"/>
        <w:rPr>
          <w:rFonts w:hint="eastAsia" w:ascii="宋体"/>
          <w:color w:val="000000"/>
          <w:kern w:val="2"/>
          <w:highlight w:val="none"/>
        </w:rPr>
      </w:pPr>
      <w:r>
        <w:rPr>
          <w:rFonts w:hint="eastAsia" w:ascii="宋体"/>
          <w:color w:val="000000"/>
          <w:kern w:val="2"/>
          <w:highlight w:val="none"/>
        </w:rPr>
        <w:t>致：</w:t>
      </w:r>
      <w:r>
        <w:rPr>
          <w:rFonts w:hint="eastAsia" w:ascii="宋体"/>
          <w:color w:val="000000"/>
          <w:kern w:val="2"/>
          <w:highlight w:val="none"/>
          <w:u w:val="single"/>
        </w:rPr>
        <w:t xml:space="preserve">    （招标人）          </w:t>
      </w:r>
      <w:r>
        <w:rPr>
          <w:rFonts w:hint="eastAsia" w:ascii="宋体"/>
          <w:color w:val="000000"/>
          <w:kern w:val="2"/>
          <w:highlight w:val="none"/>
        </w:rPr>
        <w:t xml:space="preserve">   </w:t>
      </w: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adjustRightInd/>
        <w:spacing w:line="500" w:lineRule="exact"/>
        <w:ind w:firstLine="480" w:firstLineChars="200"/>
        <w:rPr>
          <w:rFonts w:hint="eastAsia" w:ascii="宋体"/>
          <w:color w:val="000000"/>
          <w:kern w:val="2"/>
          <w:highlight w:val="none"/>
        </w:rPr>
      </w:pPr>
      <w:r>
        <w:rPr>
          <w:rFonts w:hint="eastAsia" w:ascii="宋体"/>
          <w:color w:val="000000"/>
          <w:kern w:val="2"/>
          <w:highlight w:val="none"/>
        </w:rPr>
        <w:t>我公司承诺在参加本项目政府采购活动前三年内，在经营活动中没有重大违法记录，遵守国家其他有关的法律、法规和管理办法。</w:t>
      </w:r>
    </w:p>
    <w:p>
      <w:pPr>
        <w:adjustRightInd/>
        <w:spacing w:line="500" w:lineRule="exact"/>
        <w:rPr>
          <w:rFonts w:hint="eastAsia" w:ascii="宋体"/>
          <w:color w:val="000000"/>
          <w:kern w:val="2"/>
          <w:highlight w:val="none"/>
        </w:rPr>
      </w:pPr>
      <w:r>
        <w:rPr>
          <w:rFonts w:hint="eastAsia" w:ascii="宋体"/>
          <w:color w:val="000000"/>
          <w:kern w:val="2"/>
          <w:highlight w:val="none"/>
        </w:rPr>
        <w:t>特此声明。</w:t>
      </w: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r>
        <w:rPr>
          <w:rFonts w:hint="eastAsia" w:ascii="宋体"/>
          <w:color w:val="000000"/>
          <w:kern w:val="2"/>
          <w:highlight w:val="none"/>
        </w:rPr>
        <w:t>（注：重大违法记录是指供应商因违法经营受到刑事处罚或者责令停产停业、吊销许可证或者执照、较大数额罚款等行政处罚。</w:t>
      </w:r>
    </w:p>
    <w:p>
      <w:pPr>
        <w:adjustRightInd/>
        <w:spacing w:line="500" w:lineRule="exact"/>
        <w:rPr>
          <w:rFonts w:hint="eastAsia" w:ascii="宋体"/>
          <w:color w:val="000000"/>
          <w:kern w:val="2"/>
          <w:highlight w:val="none"/>
        </w:rPr>
      </w:pPr>
      <w:r>
        <w:rPr>
          <w:rFonts w:hint="eastAsia" w:ascii="宋体"/>
          <w:color w:val="000000"/>
          <w:kern w:val="2"/>
          <w:highlight w:val="none"/>
        </w:rPr>
        <w:t>　供应商在参加政府采购活动前3年（</w:t>
      </w:r>
      <w:r>
        <w:rPr>
          <w:rFonts w:hint="eastAsia" w:ascii="宋体"/>
          <w:color w:val="000000"/>
          <w:kern w:val="2"/>
          <w:highlight w:val="none"/>
          <w:lang w:eastAsia="zh-CN"/>
        </w:rPr>
        <w:t>2018年9月</w:t>
      </w:r>
      <w:r>
        <w:rPr>
          <w:rFonts w:hint="eastAsia" w:ascii="宋体"/>
          <w:color w:val="000000"/>
          <w:kern w:val="2"/>
          <w:highlight w:val="none"/>
        </w:rPr>
        <w:t>至今）内因违法经营被禁止在一定期限内参加政府采购活动，期限届满的，可以参加政府采购活动。）</w:t>
      </w: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adjustRightInd/>
        <w:spacing w:line="500" w:lineRule="exact"/>
        <w:rPr>
          <w:rFonts w:hint="eastAsia" w:ascii="宋体"/>
          <w:color w:val="000000"/>
          <w:kern w:val="2"/>
          <w:highlight w:val="none"/>
          <w:u w:val="single"/>
        </w:rPr>
      </w:pPr>
      <w:r>
        <w:rPr>
          <w:rFonts w:hint="eastAsia" w:ascii="宋体"/>
          <w:color w:val="000000"/>
          <w:kern w:val="2"/>
          <w:highlight w:val="none"/>
        </w:rPr>
        <w:t>投标人授权代表签字：</w:t>
      </w:r>
      <w:r>
        <w:rPr>
          <w:rFonts w:hint="eastAsia" w:ascii="宋体"/>
          <w:color w:val="000000"/>
          <w:kern w:val="2"/>
          <w:highlight w:val="none"/>
          <w:u w:val="single"/>
        </w:rPr>
        <w:t xml:space="preserve">                   </w:t>
      </w:r>
    </w:p>
    <w:p>
      <w:pPr>
        <w:adjustRightInd/>
        <w:spacing w:line="500" w:lineRule="exact"/>
        <w:rPr>
          <w:rFonts w:hint="eastAsia"/>
          <w:color w:val="000000"/>
          <w:kern w:val="2"/>
          <w:highlight w:val="none"/>
          <w:u w:val="single"/>
        </w:rPr>
      </w:pPr>
      <w:r>
        <w:rPr>
          <w:rFonts w:hint="eastAsia"/>
          <w:color w:val="000000"/>
          <w:kern w:val="2"/>
          <w:highlight w:val="none"/>
        </w:rPr>
        <w:t>投标人（公章）：</w:t>
      </w:r>
      <w:r>
        <w:rPr>
          <w:color w:val="000000"/>
          <w:kern w:val="2"/>
          <w:highlight w:val="none"/>
          <w:u w:val="single"/>
        </w:rPr>
        <w:t xml:space="preserve">                    </w:t>
      </w:r>
    </w:p>
    <w:p>
      <w:pPr>
        <w:adjustRightInd/>
        <w:spacing w:line="500" w:lineRule="exact"/>
        <w:rPr>
          <w:color w:val="000000"/>
          <w:kern w:val="2"/>
          <w:highlight w:val="none"/>
        </w:rPr>
      </w:pPr>
      <w:r>
        <w:rPr>
          <w:rFonts w:hint="eastAsia"/>
          <w:color w:val="000000"/>
          <w:kern w:val="2"/>
          <w:highlight w:val="none"/>
        </w:rPr>
        <w:t>日期：</w:t>
      </w:r>
      <w:r>
        <w:rPr>
          <w:color w:val="000000"/>
          <w:kern w:val="2"/>
          <w:highlight w:val="none"/>
        </w:rPr>
        <w:t xml:space="preserve">  </w:t>
      </w:r>
      <w:r>
        <w:rPr>
          <w:rFonts w:hint="eastAsia"/>
          <w:color w:val="000000"/>
          <w:kern w:val="2"/>
          <w:highlight w:val="none"/>
        </w:rPr>
        <w:t>年</w:t>
      </w:r>
      <w:r>
        <w:rPr>
          <w:color w:val="000000"/>
          <w:kern w:val="2"/>
          <w:highlight w:val="none"/>
        </w:rPr>
        <w:t xml:space="preserve">   </w:t>
      </w:r>
      <w:r>
        <w:rPr>
          <w:rFonts w:hint="eastAsia"/>
          <w:color w:val="000000"/>
          <w:kern w:val="2"/>
          <w:highlight w:val="none"/>
        </w:rPr>
        <w:t>月</w:t>
      </w:r>
      <w:r>
        <w:rPr>
          <w:color w:val="000000"/>
          <w:kern w:val="2"/>
          <w:highlight w:val="none"/>
        </w:rPr>
        <w:t xml:space="preserve">   </w:t>
      </w:r>
      <w:r>
        <w:rPr>
          <w:rFonts w:hint="eastAsia"/>
          <w:color w:val="000000"/>
          <w:kern w:val="2"/>
          <w:highlight w:val="none"/>
        </w:rPr>
        <w:t>日</w:t>
      </w:r>
    </w:p>
    <w:p>
      <w:pPr>
        <w:pStyle w:val="82"/>
        <w:rPr>
          <w:rFonts w:ascii="Times New Roman"/>
          <w:color w:val="000000"/>
          <w:highlight w:val="none"/>
        </w:rPr>
      </w:pPr>
      <w:r>
        <w:rPr>
          <w:color w:val="000000"/>
          <w:highlight w:val="none"/>
        </w:rPr>
        <w:br w:type="page"/>
      </w:r>
      <w:bookmarkStart w:id="1234" w:name="_Toc30481"/>
      <w:r>
        <w:rPr>
          <w:rFonts w:hint="eastAsia" w:ascii="Times New Roman"/>
          <w:color w:val="000000"/>
          <w:highlight w:val="none"/>
        </w:rPr>
        <w:t>不存在与参加本项目的其它供应商单位负责人为同一人</w:t>
      </w:r>
      <w:bookmarkEnd w:id="1234"/>
    </w:p>
    <w:p>
      <w:pPr>
        <w:pStyle w:val="82"/>
        <w:rPr>
          <w:rFonts w:hint="eastAsia" w:ascii="Times New Roman"/>
          <w:color w:val="000000"/>
          <w:highlight w:val="none"/>
        </w:rPr>
      </w:pPr>
      <w:bookmarkStart w:id="1235" w:name="_Toc11574"/>
      <w:r>
        <w:rPr>
          <w:rFonts w:hint="eastAsia" w:ascii="Times New Roman"/>
          <w:color w:val="000000"/>
          <w:highlight w:val="none"/>
        </w:rPr>
        <w:t>或者存在直接控股、管理关系承诺</w:t>
      </w:r>
      <w:bookmarkEnd w:id="1235"/>
    </w:p>
    <w:p>
      <w:pPr>
        <w:widowControl/>
        <w:adjustRightInd/>
        <w:spacing w:line="312" w:lineRule="auto"/>
        <w:rPr>
          <w:rFonts w:hint="eastAsia" w:ascii="宋体" w:hAnsi="宋体"/>
          <w:color w:val="000000"/>
          <w:kern w:val="2"/>
          <w:szCs w:val="24"/>
          <w:highlight w:val="none"/>
        </w:rPr>
      </w:pPr>
    </w:p>
    <w:p>
      <w:pPr>
        <w:widowControl/>
        <w:adjustRightInd/>
        <w:spacing w:line="312" w:lineRule="auto"/>
        <w:rPr>
          <w:rFonts w:hint="eastAsia" w:ascii="宋体" w:hAnsi="宋体"/>
          <w:color w:val="000000"/>
          <w:kern w:val="2"/>
          <w:highlight w:val="none"/>
        </w:rPr>
      </w:pPr>
    </w:p>
    <w:p>
      <w:pPr>
        <w:adjustRightInd/>
        <w:spacing w:line="500" w:lineRule="exact"/>
        <w:rPr>
          <w:rFonts w:hint="eastAsia" w:ascii="宋体"/>
          <w:color w:val="000000"/>
          <w:kern w:val="2"/>
          <w:highlight w:val="none"/>
        </w:rPr>
      </w:pPr>
      <w:r>
        <w:rPr>
          <w:rFonts w:hint="eastAsia" w:ascii="宋体"/>
          <w:color w:val="000000"/>
          <w:kern w:val="2"/>
          <w:highlight w:val="none"/>
        </w:rPr>
        <w:t>致：</w:t>
      </w:r>
      <w:r>
        <w:rPr>
          <w:rFonts w:hint="eastAsia" w:ascii="宋体"/>
          <w:color w:val="000000"/>
          <w:kern w:val="2"/>
          <w:highlight w:val="none"/>
          <w:u w:val="single"/>
        </w:rPr>
        <w:t xml:space="preserve">    （招标人）          </w:t>
      </w:r>
      <w:r>
        <w:rPr>
          <w:rFonts w:hint="eastAsia" w:ascii="宋体"/>
          <w:color w:val="000000"/>
          <w:kern w:val="2"/>
          <w:highlight w:val="none"/>
        </w:rPr>
        <w:t xml:space="preserve">   </w:t>
      </w: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adjustRightInd/>
        <w:spacing w:line="500" w:lineRule="exact"/>
        <w:ind w:firstLine="480" w:firstLineChars="200"/>
        <w:rPr>
          <w:rFonts w:hint="eastAsia" w:ascii="宋体"/>
          <w:color w:val="000000"/>
          <w:kern w:val="2"/>
          <w:highlight w:val="none"/>
        </w:rPr>
      </w:pPr>
      <w:r>
        <w:rPr>
          <w:rFonts w:hint="eastAsia" w:ascii="宋体"/>
          <w:color w:val="000000"/>
          <w:kern w:val="2"/>
          <w:highlight w:val="none"/>
        </w:rPr>
        <w:t>我公司承诺在参加本项目采购活动中不存在与参加本项目的其它供应商单位负责人为同一人或者存在直接控股、管理关系。本公司对上述承诺的真实性负责。如有虚假，将依法承担相应责任。</w:t>
      </w:r>
    </w:p>
    <w:p>
      <w:pPr>
        <w:adjustRightInd/>
        <w:spacing w:line="500" w:lineRule="exact"/>
        <w:rPr>
          <w:rFonts w:hint="eastAsia" w:ascii="宋体"/>
          <w:color w:val="000000"/>
          <w:kern w:val="2"/>
          <w:highlight w:val="none"/>
        </w:rPr>
      </w:pPr>
    </w:p>
    <w:p>
      <w:pPr>
        <w:adjustRightInd/>
        <w:spacing w:line="500" w:lineRule="exact"/>
        <w:ind w:firstLine="480" w:firstLineChars="200"/>
        <w:rPr>
          <w:rFonts w:hint="eastAsia" w:ascii="宋体"/>
          <w:color w:val="000000"/>
          <w:kern w:val="2"/>
          <w:highlight w:val="none"/>
        </w:rPr>
      </w:pPr>
      <w:r>
        <w:rPr>
          <w:rFonts w:hint="eastAsia" w:ascii="宋体"/>
          <w:color w:val="000000"/>
          <w:kern w:val="2"/>
          <w:highlight w:val="none"/>
        </w:rPr>
        <w:t>特此承诺。</w:t>
      </w: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adjustRightInd/>
        <w:spacing w:line="500" w:lineRule="exact"/>
        <w:rPr>
          <w:rFonts w:hint="eastAsia" w:ascii="宋体"/>
          <w:color w:val="000000"/>
          <w:kern w:val="2"/>
          <w:highlight w:val="none"/>
        </w:rPr>
      </w:pP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widowControl/>
        <w:adjustRightInd/>
        <w:spacing w:line="312" w:lineRule="auto"/>
        <w:rPr>
          <w:rFonts w:hint="eastAsia" w:ascii="宋体" w:hAnsi="宋体"/>
          <w:color w:val="000000"/>
          <w:kern w:val="2"/>
          <w:highlight w:val="none"/>
        </w:rPr>
      </w:pPr>
    </w:p>
    <w:p>
      <w:pPr>
        <w:adjustRightInd/>
        <w:spacing w:line="500" w:lineRule="exact"/>
        <w:rPr>
          <w:rFonts w:hint="eastAsia" w:ascii="宋体"/>
          <w:color w:val="000000"/>
          <w:kern w:val="2"/>
          <w:highlight w:val="none"/>
          <w:u w:val="single"/>
        </w:rPr>
      </w:pPr>
      <w:r>
        <w:rPr>
          <w:rFonts w:hint="eastAsia" w:ascii="宋体"/>
          <w:color w:val="000000"/>
          <w:kern w:val="2"/>
          <w:highlight w:val="none"/>
        </w:rPr>
        <w:t>投标人授权代表签字：</w:t>
      </w:r>
      <w:r>
        <w:rPr>
          <w:rFonts w:hint="eastAsia" w:ascii="宋体"/>
          <w:color w:val="000000"/>
          <w:kern w:val="2"/>
          <w:highlight w:val="none"/>
          <w:u w:val="single"/>
        </w:rPr>
        <w:t xml:space="preserve">                   </w:t>
      </w:r>
    </w:p>
    <w:p>
      <w:pPr>
        <w:adjustRightInd/>
        <w:spacing w:line="500" w:lineRule="exact"/>
        <w:rPr>
          <w:rFonts w:hint="eastAsia"/>
          <w:color w:val="000000"/>
          <w:kern w:val="2"/>
          <w:highlight w:val="none"/>
          <w:u w:val="single"/>
        </w:rPr>
      </w:pPr>
      <w:r>
        <w:rPr>
          <w:rFonts w:hint="eastAsia"/>
          <w:color w:val="000000"/>
          <w:kern w:val="2"/>
          <w:highlight w:val="none"/>
        </w:rPr>
        <w:t>投标人（公章）：</w:t>
      </w:r>
      <w:r>
        <w:rPr>
          <w:color w:val="000000"/>
          <w:kern w:val="2"/>
          <w:highlight w:val="none"/>
          <w:u w:val="single"/>
        </w:rPr>
        <w:t xml:space="preserve">                    </w:t>
      </w:r>
    </w:p>
    <w:p>
      <w:pPr>
        <w:adjustRightInd/>
        <w:spacing w:line="500" w:lineRule="exact"/>
        <w:rPr>
          <w:color w:val="000000"/>
          <w:kern w:val="2"/>
          <w:highlight w:val="none"/>
        </w:rPr>
      </w:pPr>
      <w:r>
        <w:rPr>
          <w:rFonts w:hint="eastAsia"/>
          <w:color w:val="000000"/>
          <w:kern w:val="2"/>
          <w:highlight w:val="none"/>
        </w:rPr>
        <w:t>日期：</w:t>
      </w:r>
      <w:r>
        <w:rPr>
          <w:color w:val="000000"/>
          <w:kern w:val="2"/>
          <w:highlight w:val="none"/>
        </w:rPr>
        <w:t xml:space="preserve">  </w:t>
      </w:r>
      <w:r>
        <w:rPr>
          <w:rFonts w:hint="eastAsia"/>
          <w:color w:val="000000"/>
          <w:kern w:val="2"/>
          <w:highlight w:val="none"/>
        </w:rPr>
        <w:t>年</w:t>
      </w:r>
      <w:r>
        <w:rPr>
          <w:color w:val="000000"/>
          <w:kern w:val="2"/>
          <w:highlight w:val="none"/>
        </w:rPr>
        <w:t xml:space="preserve">   </w:t>
      </w:r>
      <w:r>
        <w:rPr>
          <w:rFonts w:hint="eastAsia"/>
          <w:color w:val="000000"/>
          <w:kern w:val="2"/>
          <w:highlight w:val="none"/>
        </w:rPr>
        <w:t>月</w:t>
      </w:r>
      <w:r>
        <w:rPr>
          <w:color w:val="000000"/>
          <w:kern w:val="2"/>
          <w:highlight w:val="none"/>
        </w:rPr>
        <w:t xml:space="preserve">   </w:t>
      </w:r>
      <w:r>
        <w:rPr>
          <w:rFonts w:hint="eastAsia"/>
          <w:color w:val="000000"/>
          <w:kern w:val="2"/>
          <w:highlight w:val="none"/>
        </w:rPr>
        <w:t>日</w:t>
      </w:r>
    </w:p>
    <w:p>
      <w:pPr>
        <w:adjustRightInd/>
        <w:rPr>
          <w:rFonts w:ascii="宋体" w:hAnsi="宋体"/>
          <w:color w:val="000000"/>
          <w:kern w:val="2"/>
          <w:sz w:val="21"/>
          <w:szCs w:val="21"/>
          <w:highlight w:val="none"/>
        </w:rPr>
      </w:pPr>
    </w:p>
    <w:p>
      <w:pPr>
        <w:rPr>
          <w:color w:val="000000"/>
          <w:highlight w:val="none"/>
        </w:rPr>
      </w:pPr>
    </w:p>
    <w:p>
      <w:pPr>
        <w:pStyle w:val="82"/>
        <w:rPr>
          <w:rFonts w:ascii="Times New Roman"/>
          <w:color w:val="000000"/>
          <w:highlight w:val="none"/>
        </w:rPr>
      </w:pPr>
      <w:r>
        <w:rPr>
          <w:rFonts w:ascii="Times New Roman"/>
          <w:color w:val="000000"/>
          <w:highlight w:val="none"/>
        </w:rPr>
        <w:br w:type="page"/>
      </w:r>
      <w:bookmarkStart w:id="1236" w:name="_Toc495398025"/>
      <w:bookmarkStart w:id="1237" w:name="_Toc503130748"/>
      <w:bookmarkStart w:id="1238" w:name="_Toc5116307"/>
      <w:bookmarkStart w:id="1239" w:name="_Toc512602488"/>
      <w:bookmarkStart w:id="1240" w:name="_Toc495398075"/>
      <w:bookmarkStart w:id="1241" w:name="_Toc503130809"/>
      <w:bookmarkStart w:id="1242" w:name="_Toc503130448"/>
      <w:bookmarkStart w:id="1243" w:name="_Toc20713"/>
      <w:r>
        <w:rPr>
          <w:rFonts w:ascii="Times New Roman"/>
          <w:color w:val="000000"/>
          <w:highlight w:val="none"/>
        </w:rPr>
        <w:t>具备履行合同所必需的设备和专业技术能力的证明</w:t>
      </w:r>
      <w:bookmarkEnd w:id="1236"/>
      <w:bookmarkEnd w:id="1237"/>
      <w:bookmarkEnd w:id="1238"/>
      <w:bookmarkEnd w:id="1239"/>
      <w:bookmarkEnd w:id="1240"/>
      <w:bookmarkEnd w:id="1241"/>
      <w:bookmarkEnd w:id="1242"/>
      <w:bookmarkEnd w:id="1243"/>
    </w:p>
    <w:p>
      <w:pPr>
        <w:autoSpaceDE w:val="0"/>
        <w:autoSpaceDN w:val="0"/>
        <w:spacing w:after="160"/>
        <w:textAlignment w:val="bottom"/>
        <w:rPr>
          <w:color w:val="000000"/>
          <w:highlight w:val="none"/>
        </w:rPr>
      </w:pPr>
      <w:r>
        <w:rPr>
          <w:rFonts w:eastAsia="黑体"/>
          <w:color w:val="000000"/>
          <w:highlight w:val="none"/>
        </w:rPr>
        <w:t>致：</w:t>
      </w:r>
      <w:r>
        <w:rPr>
          <w:rFonts w:eastAsia="黑体"/>
          <w:color w:val="000000"/>
          <w:highlight w:val="none"/>
          <w:u w:val="single"/>
        </w:rPr>
        <w:t xml:space="preserve">                                 </w:t>
      </w:r>
      <w:r>
        <w:rPr>
          <w:rFonts w:eastAsia="黑体"/>
          <w:color w:val="000000"/>
          <w:highlight w:val="none"/>
        </w:rPr>
        <w:t>（招标人名称）</w:t>
      </w:r>
    </w:p>
    <w:p>
      <w:pPr>
        <w:pStyle w:val="12"/>
        <w:rPr>
          <w:color w:val="000000"/>
          <w:szCs w:val="24"/>
          <w:highlight w:val="none"/>
        </w:rPr>
      </w:pPr>
      <w:r>
        <w:rPr>
          <w:color w:val="000000"/>
          <w:highlight w:val="none"/>
        </w:rPr>
        <w:t>我们</w:t>
      </w:r>
      <w:r>
        <w:rPr>
          <w:color w:val="000000"/>
          <w:highlight w:val="none"/>
          <w:u w:val="single"/>
        </w:rPr>
        <w:t xml:space="preserve">                 </w:t>
      </w:r>
      <w:r>
        <w:rPr>
          <w:color w:val="000000"/>
          <w:highlight w:val="none"/>
        </w:rPr>
        <w:t>（投标人名称）是按中华人民共和国法律正式成立的一家公司，主要营业地点设在</w:t>
      </w:r>
      <w:r>
        <w:rPr>
          <w:color w:val="000000"/>
          <w:highlight w:val="none"/>
          <w:u w:val="single"/>
        </w:rPr>
        <w:t xml:space="preserve">                  </w:t>
      </w:r>
      <w:r>
        <w:rPr>
          <w:color w:val="000000"/>
          <w:highlight w:val="none"/>
        </w:rPr>
        <w:t>（投标人地址）。我司具备履行本项目合同所必需的设备和专业技术能力</w:t>
      </w:r>
      <w:r>
        <w:rPr>
          <w:color w:val="000000"/>
          <w:szCs w:val="24"/>
          <w:highlight w:val="none"/>
        </w:rPr>
        <w:t>。</w:t>
      </w:r>
    </w:p>
    <w:p>
      <w:pPr>
        <w:pStyle w:val="12"/>
        <w:rPr>
          <w:color w:val="000000"/>
          <w:highlight w:val="none"/>
        </w:rPr>
      </w:pPr>
      <w:r>
        <w:rPr>
          <w:color w:val="000000"/>
          <w:highlight w:val="none"/>
        </w:rPr>
        <w:t>特此证明。</w:t>
      </w:r>
    </w:p>
    <w:p>
      <w:pPr>
        <w:pStyle w:val="12"/>
        <w:rPr>
          <w:color w:val="000000"/>
          <w:highlight w:val="none"/>
        </w:rPr>
      </w:pPr>
    </w:p>
    <w:p>
      <w:pPr>
        <w:autoSpaceDE w:val="0"/>
        <w:autoSpaceDN w:val="0"/>
        <w:spacing w:after="160"/>
        <w:ind w:firstLine="3220"/>
        <w:jc w:val="right"/>
        <w:textAlignment w:val="bottom"/>
        <w:rPr>
          <w:color w:val="000000"/>
          <w:highlight w:val="none"/>
        </w:rPr>
      </w:pPr>
      <w:r>
        <w:rPr>
          <w:color w:val="000000"/>
          <w:highlight w:val="none"/>
        </w:rPr>
        <w:t>投标人名称：________________________</w:t>
      </w:r>
    </w:p>
    <w:p>
      <w:pPr>
        <w:autoSpaceDE w:val="0"/>
        <w:autoSpaceDN w:val="0"/>
        <w:spacing w:after="160"/>
        <w:ind w:firstLine="3220"/>
        <w:jc w:val="right"/>
        <w:textAlignment w:val="bottom"/>
        <w:rPr>
          <w:color w:val="000000"/>
          <w:highlight w:val="none"/>
        </w:rPr>
      </w:pPr>
      <w:r>
        <w:rPr>
          <w:color w:val="000000"/>
          <w:highlight w:val="none"/>
        </w:rPr>
        <w:t>公章：________________________</w:t>
      </w:r>
    </w:p>
    <w:p>
      <w:pPr>
        <w:autoSpaceDE w:val="0"/>
        <w:autoSpaceDN w:val="0"/>
        <w:spacing w:after="160"/>
        <w:ind w:firstLine="3220"/>
        <w:jc w:val="right"/>
        <w:textAlignment w:val="bottom"/>
        <w:rPr>
          <w:color w:val="000000"/>
          <w:highlight w:val="none"/>
        </w:rPr>
      </w:pPr>
      <w:r>
        <w:rPr>
          <w:color w:val="000000"/>
          <w:highlight w:val="none"/>
        </w:rPr>
        <w:t>投标人授权代表签字：________________________</w:t>
      </w:r>
    </w:p>
    <w:p>
      <w:pPr>
        <w:autoSpaceDE w:val="0"/>
        <w:autoSpaceDN w:val="0"/>
        <w:spacing w:after="160"/>
        <w:ind w:firstLine="3220"/>
        <w:jc w:val="right"/>
        <w:textAlignment w:val="bottom"/>
        <w:rPr>
          <w:color w:val="000000"/>
          <w:highlight w:val="none"/>
        </w:rPr>
      </w:pPr>
      <w:r>
        <w:rPr>
          <w:color w:val="000000"/>
          <w:highlight w:val="none"/>
        </w:rPr>
        <w:t>日期：</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w:t>
      </w:r>
    </w:p>
    <w:p>
      <w:pPr>
        <w:autoSpaceDE w:val="0"/>
        <w:autoSpaceDN w:val="0"/>
        <w:spacing w:after="160"/>
        <w:ind w:firstLine="3220"/>
        <w:jc w:val="right"/>
        <w:textAlignment w:val="bottom"/>
        <w:rPr>
          <w:rFonts w:hint="eastAsia"/>
          <w:color w:val="000000"/>
          <w:highlight w:val="none"/>
        </w:rPr>
      </w:pPr>
    </w:p>
    <w:p>
      <w:pPr>
        <w:autoSpaceDE w:val="0"/>
        <w:autoSpaceDN w:val="0"/>
        <w:spacing w:after="160"/>
        <w:ind w:firstLine="3220"/>
        <w:jc w:val="right"/>
        <w:textAlignment w:val="bottom"/>
        <w:rPr>
          <w:color w:val="000000"/>
          <w:highlight w:val="none"/>
        </w:rPr>
      </w:pPr>
    </w:p>
    <w:p>
      <w:pPr>
        <w:autoSpaceDE w:val="0"/>
        <w:autoSpaceDN w:val="0"/>
        <w:spacing w:after="160"/>
        <w:ind w:firstLine="3220"/>
        <w:jc w:val="right"/>
        <w:textAlignment w:val="bottom"/>
        <w:rPr>
          <w:color w:val="000000"/>
          <w:highlight w:val="none"/>
        </w:rPr>
      </w:pPr>
    </w:p>
    <w:p>
      <w:pPr>
        <w:pStyle w:val="82"/>
        <w:rPr>
          <w:rFonts w:ascii="Times New Roman"/>
          <w:color w:val="000000"/>
          <w:highlight w:val="none"/>
        </w:rPr>
      </w:pPr>
      <w:bookmarkStart w:id="1244" w:name="_Toc503130749"/>
      <w:bookmarkStart w:id="1245" w:name="_Toc512602489"/>
      <w:bookmarkStart w:id="1246" w:name="_Toc15006"/>
      <w:bookmarkStart w:id="1247" w:name="_Toc503130810"/>
      <w:bookmarkStart w:id="1248" w:name="_Toc5116308"/>
      <w:bookmarkStart w:id="1249" w:name="_Toc495398076"/>
      <w:bookmarkStart w:id="1250" w:name="_Toc503130449"/>
      <w:bookmarkStart w:id="1251" w:name="_Toc495398026"/>
      <w:r>
        <w:rPr>
          <w:rFonts w:ascii="Times New Roman"/>
          <w:color w:val="000000"/>
          <w:highlight w:val="none"/>
        </w:rPr>
        <w:t>无违法记录声明函</w:t>
      </w:r>
      <w:bookmarkEnd w:id="1244"/>
      <w:bookmarkEnd w:id="1245"/>
      <w:bookmarkEnd w:id="1246"/>
      <w:bookmarkEnd w:id="1247"/>
      <w:bookmarkEnd w:id="1248"/>
      <w:bookmarkEnd w:id="1249"/>
      <w:bookmarkEnd w:id="1250"/>
      <w:bookmarkEnd w:id="1251"/>
    </w:p>
    <w:p>
      <w:pPr>
        <w:autoSpaceDE w:val="0"/>
        <w:autoSpaceDN w:val="0"/>
        <w:spacing w:after="160"/>
        <w:textAlignment w:val="bottom"/>
        <w:rPr>
          <w:color w:val="000000"/>
          <w:highlight w:val="none"/>
        </w:rPr>
      </w:pPr>
      <w:r>
        <w:rPr>
          <w:rFonts w:eastAsia="黑体"/>
          <w:color w:val="000000"/>
          <w:highlight w:val="none"/>
        </w:rPr>
        <w:t>致：</w:t>
      </w:r>
      <w:r>
        <w:rPr>
          <w:rFonts w:eastAsia="黑体"/>
          <w:color w:val="000000"/>
          <w:highlight w:val="none"/>
          <w:u w:val="single"/>
        </w:rPr>
        <w:t xml:space="preserve">                                 </w:t>
      </w:r>
      <w:r>
        <w:rPr>
          <w:rFonts w:eastAsia="黑体"/>
          <w:color w:val="000000"/>
          <w:highlight w:val="none"/>
        </w:rPr>
        <w:t>（招标人名称）</w:t>
      </w:r>
    </w:p>
    <w:p>
      <w:pPr>
        <w:pStyle w:val="12"/>
        <w:rPr>
          <w:rFonts w:hint="eastAsia"/>
          <w:color w:val="000000"/>
          <w:szCs w:val="24"/>
          <w:highlight w:val="none"/>
        </w:rPr>
      </w:pPr>
      <w:r>
        <w:rPr>
          <w:color w:val="000000"/>
          <w:highlight w:val="none"/>
        </w:rPr>
        <w:t>我们</w:t>
      </w:r>
      <w:r>
        <w:rPr>
          <w:color w:val="000000"/>
          <w:highlight w:val="none"/>
          <w:u w:val="single"/>
        </w:rPr>
        <w:t xml:space="preserve">                 </w:t>
      </w:r>
      <w:r>
        <w:rPr>
          <w:color w:val="000000"/>
          <w:highlight w:val="none"/>
        </w:rPr>
        <w:t>（投标人名称）是按中华人民共和国法律正式成立的一家公司，主要营业地点设在</w:t>
      </w:r>
      <w:r>
        <w:rPr>
          <w:color w:val="000000"/>
          <w:highlight w:val="none"/>
          <w:u w:val="single"/>
        </w:rPr>
        <w:t xml:space="preserve">                  </w:t>
      </w:r>
      <w:r>
        <w:rPr>
          <w:color w:val="000000"/>
          <w:highlight w:val="none"/>
        </w:rPr>
        <w:t>（投标人地址）。我司在</w:t>
      </w:r>
      <w:r>
        <w:rPr>
          <w:color w:val="000000"/>
          <w:szCs w:val="24"/>
          <w:highlight w:val="none"/>
        </w:rPr>
        <w:t>参加本次采购活动前三年内</w:t>
      </w:r>
      <w:r>
        <w:rPr>
          <w:rFonts w:hint="eastAsia"/>
          <w:color w:val="000000"/>
          <w:szCs w:val="24"/>
          <w:highlight w:val="none"/>
        </w:rPr>
        <w:t>，我方没有因违法经营而受到下列处罚：</w:t>
      </w:r>
    </w:p>
    <w:p>
      <w:pPr>
        <w:pStyle w:val="12"/>
        <w:rPr>
          <w:rFonts w:hint="eastAsia"/>
          <w:color w:val="000000"/>
          <w:szCs w:val="24"/>
          <w:highlight w:val="none"/>
        </w:rPr>
      </w:pPr>
      <w:r>
        <w:rPr>
          <w:rFonts w:hint="eastAsia"/>
          <w:color w:val="000000"/>
          <w:szCs w:val="24"/>
          <w:highlight w:val="none"/>
        </w:rPr>
        <w:t>（1）</w:t>
      </w:r>
      <w:r>
        <w:rPr>
          <w:rFonts w:hint="eastAsia"/>
          <w:color w:val="000000"/>
          <w:szCs w:val="24"/>
          <w:highlight w:val="none"/>
        </w:rPr>
        <w:tab/>
      </w:r>
      <w:r>
        <w:rPr>
          <w:rFonts w:hint="eastAsia"/>
          <w:color w:val="000000"/>
          <w:szCs w:val="24"/>
          <w:highlight w:val="none"/>
        </w:rPr>
        <w:t>刑事处罚；</w:t>
      </w:r>
    </w:p>
    <w:p>
      <w:pPr>
        <w:pStyle w:val="12"/>
        <w:rPr>
          <w:rFonts w:hint="eastAsia"/>
          <w:color w:val="000000"/>
          <w:szCs w:val="24"/>
          <w:highlight w:val="none"/>
        </w:rPr>
      </w:pPr>
      <w:r>
        <w:rPr>
          <w:rFonts w:hint="eastAsia"/>
          <w:color w:val="000000"/>
          <w:szCs w:val="24"/>
          <w:highlight w:val="none"/>
        </w:rPr>
        <w:t>（2）</w:t>
      </w:r>
      <w:r>
        <w:rPr>
          <w:rFonts w:hint="eastAsia"/>
          <w:color w:val="000000"/>
          <w:szCs w:val="24"/>
          <w:highlight w:val="none"/>
        </w:rPr>
        <w:tab/>
      </w:r>
      <w:r>
        <w:rPr>
          <w:rFonts w:hint="eastAsia"/>
          <w:color w:val="000000"/>
          <w:szCs w:val="24"/>
          <w:highlight w:val="none"/>
        </w:rPr>
        <w:t>被责令停产停业、吊销许可证或执照；</w:t>
      </w:r>
    </w:p>
    <w:p>
      <w:pPr>
        <w:pStyle w:val="12"/>
        <w:rPr>
          <w:color w:val="000000"/>
          <w:szCs w:val="24"/>
          <w:highlight w:val="none"/>
        </w:rPr>
      </w:pPr>
      <w:r>
        <w:rPr>
          <w:rFonts w:hint="eastAsia"/>
          <w:color w:val="000000"/>
          <w:szCs w:val="24"/>
          <w:highlight w:val="none"/>
        </w:rPr>
        <w:t>（3）</w:t>
      </w:r>
      <w:r>
        <w:rPr>
          <w:rFonts w:hint="eastAsia"/>
          <w:color w:val="000000"/>
          <w:szCs w:val="24"/>
          <w:highlight w:val="none"/>
        </w:rPr>
        <w:tab/>
      </w:r>
      <w:r>
        <w:rPr>
          <w:rFonts w:hint="eastAsia"/>
          <w:color w:val="000000"/>
          <w:szCs w:val="24"/>
          <w:highlight w:val="none"/>
        </w:rPr>
        <w:t>被处以较大数额罚款等行政处罚（注：较大数额罚款的标准见作出行政处罚决定的行政机关所在省、自治区、直辖市的人大常委会或人民政府出台的相关规定）。</w:t>
      </w:r>
    </w:p>
    <w:p>
      <w:pPr>
        <w:pStyle w:val="12"/>
        <w:rPr>
          <w:color w:val="000000"/>
          <w:highlight w:val="none"/>
        </w:rPr>
      </w:pPr>
      <w:r>
        <w:rPr>
          <w:color w:val="000000"/>
          <w:highlight w:val="none"/>
        </w:rPr>
        <w:t>特此声明。</w:t>
      </w:r>
    </w:p>
    <w:p>
      <w:pPr>
        <w:pStyle w:val="12"/>
        <w:rPr>
          <w:color w:val="000000"/>
          <w:highlight w:val="none"/>
        </w:rPr>
      </w:pPr>
    </w:p>
    <w:p>
      <w:pPr>
        <w:autoSpaceDE w:val="0"/>
        <w:autoSpaceDN w:val="0"/>
        <w:spacing w:after="160"/>
        <w:ind w:firstLine="3220"/>
        <w:jc w:val="right"/>
        <w:textAlignment w:val="bottom"/>
        <w:rPr>
          <w:color w:val="000000"/>
          <w:highlight w:val="none"/>
        </w:rPr>
      </w:pPr>
      <w:r>
        <w:rPr>
          <w:color w:val="000000"/>
          <w:highlight w:val="none"/>
        </w:rPr>
        <w:t>投标人名称：________________________</w:t>
      </w:r>
    </w:p>
    <w:p>
      <w:pPr>
        <w:autoSpaceDE w:val="0"/>
        <w:autoSpaceDN w:val="0"/>
        <w:spacing w:after="160"/>
        <w:ind w:firstLine="3220"/>
        <w:jc w:val="right"/>
        <w:textAlignment w:val="bottom"/>
        <w:rPr>
          <w:color w:val="000000"/>
          <w:highlight w:val="none"/>
        </w:rPr>
      </w:pPr>
      <w:r>
        <w:rPr>
          <w:color w:val="000000"/>
          <w:highlight w:val="none"/>
        </w:rPr>
        <w:t>公章：________________________</w:t>
      </w:r>
    </w:p>
    <w:p>
      <w:pPr>
        <w:autoSpaceDE w:val="0"/>
        <w:autoSpaceDN w:val="0"/>
        <w:spacing w:after="160"/>
        <w:ind w:firstLine="3220"/>
        <w:jc w:val="right"/>
        <w:textAlignment w:val="bottom"/>
        <w:rPr>
          <w:color w:val="000000"/>
          <w:highlight w:val="none"/>
        </w:rPr>
      </w:pPr>
      <w:r>
        <w:rPr>
          <w:color w:val="000000"/>
          <w:highlight w:val="none"/>
        </w:rPr>
        <w:t>投标人授权代表签字：________________________</w:t>
      </w:r>
    </w:p>
    <w:p>
      <w:pPr>
        <w:autoSpaceDE w:val="0"/>
        <w:autoSpaceDN w:val="0"/>
        <w:spacing w:after="160"/>
        <w:ind w:firstLine="3220"/>
        <w:jc w:val="right"/>
        <w:textAlignment w:val="bottom"/>
        <w:rPr>
          <w:color w:val="000000"/>
          <w:highlight w:val="none"/>
        </w:rPr>
      </w:pPr>
      <w:r>
        <w:rPr>
          <w:color w:val="000000"/>
          <w:highlight w:val="none"/>
        </w:rPr>
        <w:t>日期：</w:t>
      </w:r>
      <w:r>
        <w:rPr>
          <w:color w:val="000000"/>
          <w:highlight w:val="none"/>
          <w:u w:val="single"/>
        </w:rPr>
        <w:t xml:space="preserve">        </w:t>
      </w:r>
      <w:r>
        <w:rPr>
          <w:color w:val="000000"/>
          <w:highlight w:val="none"/>
        </w:rPr>
        <w:t>年</w:t>
      </w:r>
      <w:r>
        <w:rPr>
          <w:color w:val="000000"/>
          <w:highlight w:val="none"/>
          <w:u w:val="single"/>
        </w:rPr>
        <w:t xml:space="preserve">     </w:t>
      </w:r>
      <w:r>
        <w:rPr>
          <w:color w:val="000000"/>
          <w:highlight w:val="none"/>
        </w:rPr>
        <w:t>月</w:t>
      </w:r>
      <w:r>
        <w:rPr>
          <w:color w:val="000000"/>
          <w:highlight w:val="none"/>
          <w:u w:val="single"/>
        </w:rPr>
        <w:t xml:space="preserve">     </w:t>
      </w:r>
      <w:r>
        <w:rPr>
          <w:color w:val="000000"/>
          <w:highlight w:val="none"/>
        </w:rPr>
        <w:t>日</w:t>
      </w:r>
    </w:p>
    <w:p>
      <w:pPr>
        <w:pStyle w:val="82"/>
        <w:rPr>
          <w:rFonts w:ascii="Times New Roman"/>
          <w:color w:val="000000"/>
          <w:highlight w:val="none"/>
        </w:rPr>
      </w:pPr>
      <w:bookmarkStart w:id="1252" w:name="_Toc495398027"/>
      <w:bookmarkStart w:id="1253" w:name="_Toc495398077"/>
      <w:bookmarkStart w:id="1254" w:name="_Toc479109539"/>
      <w:bookmarkStart w:id="1255" w:name="_Toc479109468"/>
      <w:r>
        <w:rPr>
          <w:rFonts w:ascii="Times New Roman"/>
          <w:color w:val="000000"/>
          <w:highlight w:val="none"/>
        </w:rPr>
        <w:br w:type="page"/>
      </w:r>
      <w:bookmarkStart w:id="1256" w:name="_Toc497500495"/>
      <w:bookmarkStart w:id="1257" w:name="_Toc503130811"/>
      <w:bookmarkStart w:id="1258" w:name="_Toc512602490"/>
      <w:bookmarkStart w:id="1259" w:name="_Toc503130750"/>
      <w:bookmarkStart w:id="1260" w:name="_Toc5116309"/>
      <w:bookmarkStart w:id="1261" w:name="_Toc503130450"/>
      <w:bookmarkStart w:id="1262" w:name="_Toc502733877"/>
      <w:bookmarkStart w:id="1263" w:name="_Toc18817"/>
      <w:r>
        <w:rPr>
          <w:rFonts w:ascii="Times New Roman"/>
          <w:color w:val="000000"/>
          <w:highlight w:val="none"/>
        </w:rPr>
        <w:t>法人出具的承诺函</w:t>
      </w:r>
      <w:bookmarkEnd w:id="1256"/>
      <w:bookmarkEnd w:id="1257"/>
      <w:bookmarkEnd w:id="1258"/>
      <w:bookmarkEnd w:id="1259"/>
      <w:bookmarkEnd w:id="1260"/>
      <w:bookmarkEnd w:id="1261"/>
      <w:bookmarkEnd w:id="1262"/>
      <w:bookmarkEnd w:id="1263"/>
    </w:p>
    <w:p>
      <w:pPr>
        <w:jc w:val="center"/>
        <w:rPr>
          <w:color w:val="000000"/>
          <w:highlight w:val="none"/>
        </w:rPr>
      </w:pPr>
      <w:r>
        <w:rPr>
          <w:color w:val="000000"/>
          <w:highlight w:val="none"/>
        </w:rPr>
        <w:t>（若由法人依法设立的分支机构以自己的名义直接参与投标或竞争时，须在投标或响应文件中提供本承诺函的原件或复印件，否则将判定该分支机构的资格不符合本项目合格供应商的资格要求）</w:t>
      </w:r>
    </w:p>
    <w:p>
      <w:pPr>
        <w:pStyle w:val="2"/>
        <w:numPr>
          <w:ilvl w:val="0"/>
          <w:numId w:val="0"/>
        </w:numPr>
        <w:spacing w:before="80"/>
        <w:rPr>
          <w:rFonts w:ascii="Times New Roman"/>
          <w:color w:val="000000"/>
          <w:highlight w:val="none"/>
        </w:rPr>
      </w:pPr>
      <w:bookmarkStart w:id="1264" w:name="_Toc502733878"/>
      <w:bookmarkStart w:id="1265" w:name="_Toc512602491"/>
      <w:bookmarkStart w:id="1266" w:name="_Toc503130451"/>
      <w:bookmarkStart w:id="1267" w:name="_Toc6533"/>
      <w:bookmarkStart w:id="1268" w:name="_Toc5116310"/>
      <w:r>
        <w:rPr>
          <w:rFonts w:ascii="Times New Roman"/>
          <w:color w:val="000000"/>
          <w:highlight w:val="none"/>
        </w:rPr>
        <w:t>敬启者：</w:t>
      </w:r>
      <w:bookmarkEnd w:id="1264"/>
      <w:bookmarkEnd w:id="1265"/>
      <w:bookmarkEnd w:id="1266"/>
      <w:bookmarkEnd w:id="1267"/>
      <w:bookmarkEnd w:id="1268"/>
    </w:p>
    <w:p>
      <w:pPr>
        <w:pStyle w:val="12"/>
        <w:rPr>
          <w:color w:val="000000"/>
          <w:highlight w:val="none"/>
        </w:rPr>
      </w:pPr>
      <w:r>
        <w:rPr>
          <w:color w:val="000000"/>
          <w:highlight w:val="none"/>
          <w:u w:val="single"/>
        </w:rPr>
        <w:t xml:space="preserve">  （填入分支机构的名称）  </w:t>
      </w:r>
      <w:r>
        <w:rPr>
          <w:color w:val="000000"/>
          <w:highlight w:val="none"/>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pPr>
        <w:pStyle w:val="12"/>
        <w:rPr>
          <w:color w:val="000000"/>
          <w:highlight w:val="none"/>
        </w:rPr>
      </w:pPr>
      <w:r>
        <w:rPr>
          <w:color w:val="000000"/>
          <w:highlight w:val="none"/>
        </w:rPr>
        <w:t>本承诺函的有效期为：____年__月__日至____年__月__日。</w:t>
      </w:r>
    </w:p>
    <w:p>
      <w:pPr>
        <w:spacing w:before="1400"/>
        <w:ind w:firstLine="3000" w:firstLineChars="1250"/>
        <w:jc w:val="center"/>
        <w:rPr>
          <w:color w:val="000000"/>
          <w:highlight w:val="none"/>
        </w:rPr>
      </w:pPr>
      <w:r>
        <w:rPr>
          <w:color w:val="000000"/>
          <w:highlight w:val="none"/>
        </w:rPr>
        <w:t>法人名称（加盖公章）：_______________________</w:t>
      </w:r>
    </w:p>
    <w:p>
      <w:pPr>
        <w:spacing w:before="100"/>
        <w:ind w:firstLine="3000" w:firstLineChars="1250"/>
        <w:jc w:val="center"/>
        <w:rPr>
          <w:color w:val="000000"/>
          <w:highlight w:val="none"/>
        </w:rPr>
      </w:pPr>
      <w:r>
        <w:rPr>
          <w:color w:val="000000"/>
          <w:highlight w:val="none"/>
        </w:rPr>
        <w:t>法人的法定代表人或单位负责人签名：___________</w:t>
      </w:r>
    </w:p>
    <w:p>
      <w:pPr>
        <w:spacing w:before="100"/>
        <w:ind w:firstLine="3000" w:firstLineChars="1250"/>
        <w:jc w:val="center"/>
        <w:rPr>
          <w:color w:val="000000"/>
          <w:highlight w:val="none"/>
        </w:rPr>
      </w:pPr>
      <w:r>
        <w:rPr>
          <w:color w:val="000000"/>
          <w:highlight w:val="none"/>
        </w:rPr>
        <w:t>____年__月__日</w:t>
      </w:r>
    </w:p>
    <w:p>
      <w:pPr>
        <w:pStyle w:val="82"/>
        <w:rPr>
          <w:rFonts w:ascii="Times New Roman"/>
          <w:color w:val="000000"/>
          <w:highlight w:val="none"/>
        </w:rPr>
      </w:pPr>
    </w:p>
    <w:p>
      <w:pPr>
        <w:pStyle w:val="82"/>
        <w:rPr>
          <w:rFonts w:ascii="Times New Roman"/>
          <w:color w:val="000000"/>
          <w:highlight w:val="none"/>
        </w:rPr>
      </w:pPr>
    </w:p>
    <w:p>
      <w:pPr>
        <w:pStyle w:val="82"/>
        <w:rPr>
          <w:rFonts w:ascii="Times New Roman"/>
          <w:color w:val="000000"/>
          <w:highlight w:val="none"/>
        </w:rPr>
      </w:pPr>
    </w:p>
    <w:p>
      <w:pPr>
        <w:pStyle w:val="82"/>
        <w:rPr>
          <w:rFonts w:ascii="Times New Roman"/>
          <w:color w:val="000000"/>
          <w:highlight w:val="none"/>
        </w:rPr>
      </w:pPr>
      <w:bookmarkStart w:id="1269" w:name="_Toc5116311"/>
      <w:bookmarkStart w:id="1270" w:name="_Toc503130812"/>
      <w:bookmarkStart w:id="1271" w:name="_Toc20829"/>
      <w:bookmarkStart w:id="1272" w:name="_Toc512602492"/>
      <w:bookmarkStart w:id="1273" w:name="_Toc503130452"/>
      <w:bookmarkStart w:id="1274" w:name="_Toc503130751"/>
      <w:r>
        <w:rPr>
          <w:rFonts w:ascii="Times New Roman"/>
          <w:color w:val="000000"/>
          <w:highlight w:val="none"/>
        </w:rPr>
        <w:t>其它</w:t>
      </w:r>
      <w:bookmarkEnd w:id="1252"/>
      <w:bookmarkEnd w:id="1253"/>
      <w:bookmarkEnd w:id="1254"/>
      <w:bookmarkEnd w:id="1255"/>
      <w:bookmarkEnd w:id="1269"/>
      <w:bookmarkEnd w:id="1270"/>
      <w:bookmarkEnd w:id="1271"/>
      <w:bookmarkEnd w:id="1272"/>
      <w:bookmarkEnd w:id="1273"/>
      <w:bookmarkEnd w:id="1274"/>
    </w:p>
    <w:p>
      <w:pPr>
        <w:jc w:val="center"/>
        <w:rPr>
          <w:color w:val="000000"/>
          <w:highlight w:val="none"/>
        </w:rPr>
      </w:pPr>
      <w:r>
        <w:rPr>
          <w:color w:val="000000"/>
          <w:highlight w:val="none"/>
        </w:rPr>
        <w:t>（满足投标邀请书中规定的合格投标人的其他资格要求的证明文件）</w:t>
      </w:r>
    </w:p>
    <w:p>
      <w:pPr>
        <w:jc w:val="center"/>
        <w:rPr>
          <w:color w:val="000000"/>
          <w:highlight w:val="none"/>
        </w:rPr>
      </w:pPr>
    </w:p>
    <w:p>
      <w:pPr>
        <w:jc w:val="center"/>
        <w:rPr>
          <w:color w:val="000000"/>
          <w:highlight w:val="none"/>
        </w:rPr>
      </w:pPr>
    </w:p>
    <w:p>
      <w:pPr>
        <w:widowControl/>
        <w:kinsoku w:val="0"/>
        <w:autoSpaceDE w:val="0"/>
        <w:autoSpaceDN w:val="0"/>
        <w:snapToGrid w:val="0"/>
        <w:spacing w:before="223" w:line="204" w:lineRule="auto"/>
        <w:jc w:val="center"/>
        <w:rPr>
          <w:rFonts w:hint="eastAsia" w:eastAsia="黑体"/>
          <w:color w:val="000000"/>
          <w:sz w:val="32"/>
          <w:szCs w:val="22"/>
          <w:highlight w:val="none"/>
          <w:lang/>
        </w:rPr>
      </w:pPr>
      <w:r>
        <w:rPr>
          <w:color w:val="000000"/>
          <w:highlight w:val="none"/>
        </w:rPr>
        <w:br w:type="page"/>
      </w:r>
      <w:r>
        <w:rPr>
          <w:rFonts w:eastAsia="黑体"/>
          <w:color w:val="000000"/>
          <w:sz w:val="32"/>
          <w:szCs w:val="22"/>
          <w:highlight w:val="none"/>
          <w:lang/>
        </w:rPr>
        <w:t>中小企业声明函（货物）</w:t>
      </w:r>
    </w:p>
    <w:p>
      <w:pPr>
        <w:widowControl/>
        <w:kinsoku w:val="0"/>
        <w:autoSpaceDE w:val="0"/>
        <w:autoSpaceDN w:val="0"/>
        <w:snapToGrid w:val="0"/>
        <w:spacing w:line="240" w:lineRule="auto"/>
        <w:jc w:val="left"/>
        <w:rPr>
          <w:rFonts w:ascii="Arial" w:hAnsi="Arial" w:eastAsia="Arial" w:cs="Arial"/>
          <w:snapToGrid w:val="0"/>
          <w:color w:val="000000"/>
          <w:sz w:val="21"/>
          <w:szCs w:val="21"/>
          <w:highlight w:val="none"/>
          <w:lang/>
        </w:rPr>
      </w:pPr>
    </w:p>
    <w:p>
      <w:pPr>
        <w:widowControl/>
        <w:kinsoku w:val="0"/>
        <w:autoSpaceDE w:val="0"/>
        <w:autoSpaceDN w:val="0"/>
        <w:snapToGrid w:val="0"/>
        <w:spacing w:line="240" w:lineRule="auto"/>
        <w:jc w:val="left"/>
        <w:rPr>
          <w:rFonts w:ascii="Arial" w:hAnsi="Arial" w:eastAsia="Arial" w:cs="Arial"/>
          <w:snapToGrid w:val="0"/>
          <w:color w:val="000000"/>
          <w:sz w:val="21"/>
          <w:szCs w:val="21"/>
          <w:highlight w:val="none"/>
          <w:lang/>
        </w:rPr>
      </w:pPr>
    </w:p>
    <w:p>
      <w:pPr>
        <w:pStyle w:val="12"/>
        <w:rPr>
          <w:color w:val="000000"/>
          <w:szCs w:val="22"/>
          <w:highlight w:val="none"/>
          <w:u w:val="single"/>
        </w:rPr>
      </w:pPr>
      <w:r>
        <w:rPr>
          <w:color w:val="000000"/>
          <w:szCs w:val="22"/>
          <w:highlight w:val="none"/>
        </w:rPr>
        <w:t>本公司（</w:t>
      </w:r>
      <w:r>
        <w:rPr>
          <w:rFonts w:hint="eastAsia"/>
          <w:color w:val="000000"/>
          <w:szCs w:val="22"/>
          <w:highlight w:val="none"/>
        </w:rPr>
        <w:t>或</w:t>
      </w:r>
      <w:r>
        <w:rPr>
          <w:color w:val="000000"/>
          <w:szCs w:val="22"/>
          <w:highlight w:val="none"/>
        </w:rPr>
        <w:t>联合体）郑重声明，根据《政府采购促进中小企业发展管理办法》（财库﹝2020﹞46</w:t>
      </w:r>
      <w:r>
        <w:rPr>
          <w:rFonts w:hint="eastAsia"/>
          <w:color w:val="000000"/>
          <w:szCs w:val="22"/>
          <w:highlight w:val="none"/>
        </w:rPr>
        <w:t>号</w:t>
      </w:r>
      <w:r>
        <w:rPr>
          <w:color w:val="000000"/>
          <w:szCs w:val="22"/>
          <w:highlight w:val="none"/>
        </w:rPr>
        <w:t>）的规定，本公司（</w:t>
      </w:r>
      <w:r>
        <w:rPr>
          <w:rFonts w:hint="eastAsia"/>
          <w:color w:val="000000"/>
          <w:szCs w:val="22"/>
          <w:highlight w:val="none"/>
        </w:rPr>
        <w:t>或</w:t>
      </w:r>
      <w:r>
        <w:rPr>
          <w:color w:val="000000"/>
          <w:szCs w:val="22"/>
          <w:highlight w:val="none"/>
        </w:rPr>
        <w:t>联合体）参加</w:t>
      </w:r>
      <w:r>
        <w:rPr>
          <w:color w:val="000000"/>
          <w:szCs w:val="22"/>
          <w:highlight w:val="none"/>
          <w:u w:val="single"/>
        </w:rPr>
        <w:t xml:space="preserve"> </w:t>
      </w:r>
      <w:r>
        <w:rPr>
          <w:rFonts w:hint="eastAsia"/>
          <w:color w:val="000000"/>
          <w:szCs w:val="22"/>
          <w:highlight w:val="none"/>
          <w:u w:val="single"/>
        </w:rPr>
        <w:t xml:space="preserve">复旦大学 </w:t>
      </w:r>
      <w:r>
        <w:rPr>
          <w:color w:val="000000"/>
          <w:szCs w:val="22"/>
          <w:highlight w:val="none"/>
        </w:rPr>
        <w:t>的</w:t>
      </w:r>
      <w:r>
        <w:rPr>
          <w:color w:val="000000"/>
          <w:szCs w:val="22"/>
          <w:highlight w:val="none"/>
          <w:u w:val="single"/>
        </w:rPr>
        <w:t xml:space="preserve"> </w:t>
      </w:r>
      <w:r>
        <w:rPr>
          <w:rFonts w:hint="eastAsia"/>
          <w:color w:val="000000"/>
          <w:szCs w:val="22"/>
          <w:highlight w:val="none"/>
          <w:u w:val="single"/>
        </w:rPr>
        <w:t xml:space="preserve">复旦大学邯郸校区光学楼群遮阳系统采购 </w:t>
      </w:r>
      <w:r>
        <w:rPr>
          <w:color w:val="000000"/>
          <w:szCs w:val="22"/>
          <w:highlight w:val="none"/>
        </w:rPr>
        <w:t>采购活动，提供的货物全部由符合政策要求的中小企业制造。相关企业（含联合体中的中小企业、签订分包意向协议的中小企业）的具体情况如下：</w:t>
      </w:r>
    </w:p>
    <w:p>
      <w:pPr>
        <w:pStyle w:val="12"/>
        <w:spacing w:before="120" w:beforeLines="50" w:after="120" w:afterLines="50"/>
        <w:rPr>
          <w:color w:val="000000"/>
          <w:szCs w:val="22"/>
          <w:highlight w:val="none"/>
        </w:rPr>
      </w:pPr>
      <w:r>
        <w:rPr>
          <w:color w:val="000000"/>
          <w:szCs w:val="22"/>
          <w:highlight w:val="none"/>
        </w:rPr>
        <w:t>1</w:t>
      </w:r>
      <w:r>
        <w:rPr>
          <w:rFonts w:hint="eastAsia"/>
          <w:color w:val="000000"/>
          <w:szCs w:val="22"/>
          <w:highlight w:val="none"/>
        </w:rPr>
        <w:t>、</w:t>
      </w:r>
      <w:r>
        <w:rPr>
          <w:color w:val="000000"/>
          <w:szCs w:val="22"/>
          <w:highlight w:val="none"/>
          <w:u w:val="single"/>
        </w:rPr>
        <w:t xml:space="preserve"> （标的</w:t>
      </w:r>
      <w:r>
        <w:rPr>
          <w:rFonts w:hint="eastAsia"/>
          <w:color w:val="000000"/>
          <w:szCs w:val="22"/>
          <w:highlight w:val="none"/>
          <w:u w:val="single"/>
        </w:rPr>
        <w:t>产品</w:t>
      </w:r>
      <w:r>
        <w:rPr>
          <w:color w:val="000000"/>
          <w:szCs w:val="22"/>
          <w:highlight w:val="none"/>
          <w:u w:val="single"/>
        </w:rPr>
        <w:t xml:space="preserve">名称） </w:t>
      </w:r>
      <w:r>
        <w:rPr>
          <w:color w:val="000000"/>
          <w:szCs w:val="22"/>
          <w:highlight w:val="none"/>
        </w:rPr>
        <w:t>，属于</w:t>
      </w:r>
      <w:r>
        <w:rPr>
          <w:color w:val="000000"/>
          <w:szCs w:val="22"/>
          <w:highlight w:val="none"/>
          <w:u w:val="single"/>
        </w:rPr>
        <w:t xml:space="preserve"> </w:t>
      </w:r>
      <w:r>
        <w:rPr>
          <w:rFonts w:hint="eastAsia"/>
          <w:color w:val="000000"/>
          <w:szCs w:val="22"/>
          <w:highlight w:val="none"/>
          <w:u w:val="single"/>
        </w:rPr>
        <w:t xml:space="preserve">工业 </w:t>
      </w:r>
      <w:r>
        <w:rPr>
          <w:color w:val="000000"/>
          <w:szCs w:val="22"/>
          <w:highlight w:val="none"/>
        </w:rPr>
        <w:t>行业；制造商为</w:t>
      </w:r>
      <w:r>
        <w:rPr>
          <w:color w:val="000000"/>
          <w:szCs w:val="22"/>
          <w:highlight w:val="none"/>
          <w:u w:val="single"/>
        </w:rPr>
        <w:t xml:space="preserve"> （企业名称）</w:t>
      </w:r>
      <w:r>
        <w:rPr>
          <w:rFonts w:hint="eastAsia"/>
          <w:color w:val="000000"/>
          <w:szCs w:val="22"/>
          <w:highlight w:val="none"/>
          <w:u w:val="single"/>
        </w:rPr>
        <w:t xml:space="preserve"> </w:t>
      </w:r>
      <w:r>
        <w:rPr>
          <w:color w:val="000000"/>
          <w:szCs w:val="22"/>
          <w:highlight w:val="none"/>
        </w:rPr>
        <w:t>，从业人员</w:t>
      </w:r>
      <w:r>
        <w:rPr>
          <w:color w:val="000000"/>
          <w:szCs w:val="22"/>
          <w:highlight w:val="none"/>
          <w:u w:val="single"/>
        </w:rPr>
        <w:t xml:space="preserve">      </w:t>
      </w:r>
      <w:r>
        <w:rPr>
          <w:color w:val="000000"/>
          <w:szCs w:val="22"/>
          <w:highlight w:val="none"/>
        </w:rPr>
        <w:t>人， 营业收入为</w:t>
      </w:r>
      <w:r>
        <w:rPr>
          <w:color w:val="000000"/>
          <w:szCs w:val="22"/>
          <w:highlight w:val="none"/>
          <w:u w:val="single"/>
        </w:rPr>
        <w:t xml:space="preserve">    </w:t>
      </w:r>
      <w:r>
        <w:rPr>
          <w:color w:val="000000"/>
          <w:szCs w:val="22"/>
          <w:highlight w:val="none"/>
        </w:rPr>
        <w:t>万元，资产总额为</w:t>
      </w:r>
      <w:r>
        <w:rPr>
          <w:color w:val="000000"/>
          <w:szCs w:val="22"/>
          <w:highlight w:val="none"/>
          <w:u w:val="single"/>
        </w:rPr>
        <w:t xml:space="preserve">    </w:t>
      </w:r>
      <w:r>
        <w:rPr>
          <w:color w:val="000000"/>
          <w:szCs w:val="22"/>
          <w:highlight w:val="none"/>
        </w:rPr>
        <w:t>万元</w:t>
      </w:r>
      <w:r>
        <w:rPr>
          <w:color w:val="000000"/>
          <w:szCs w:val="22"/>
          <w:highlight w:val="none"/>
          <w:vertAlign w:val="superscript"/>
        </w:rPr>
        <w:footnoteReference w:id="0"/>
      </w:r>
      <w:r>
        <w:rPr>
          <w:color w:val="000000"/>
          <w:szCs w:val="22"/>
          <w:highlight w:val="none"/>
        </w:rPr>
        <w:t>，属于</w:t>
      </w:r>
      <w:r>
        <w:rPr>
          <w:color w:val="000000"/>
          <w:szCs w:val="22"/>
          <w:highlight w:val="none"/>
          <w:u w:val="single"/>
        </w:rPr>
        <w:t xml:space="preserve"> </w:t>
      </w:r>
      <w:r>
        <w:rPr>
          <w:rFonts w:hint="eastAsia"/>
          <w:color w:val="000000"/>
          <w:szCs w:val="22"/>
          <w:highlight w:val="none"/>
          <w:u w:val="single"/>
        </w:rPr>
        <w:t xml:space="preserve">    </w:t>
      </w:r>
      <w:r>
        <w:rPr>
          <w:color w:val="000000"/>
          <w:szCs w:val="22"/>
          <w:highlight w:val="none"/>
          <w:u w:val="single"/>
        </w:rPr>
        <w:t>（</w:t>
      </w:r>
      <w:r>
        <w:rPr>
          <w:rFonts w:hint="eastAsia"/>
          <w:color w:val="000000"/>
          <w:szCs w:val="22"/>
          <w:highlight w:val="none"/>
          <w:u w:val="single"/>
        </w:rPr>
        <w:t>从</w:t>
      </w:r>
      <w:r>
        <w:rPr>
          <w:rFonts w:hint="eastAsia"/>
          <w:b/>
          <w:bCs/>
          <w:color w:val="000000"/>
          <w:szCs w:val="22"/>
          <w:highlight w:val="none"/>
          <w:u w:val="single"/>
        </w:rPr>
        <w:t>中型企业</w:t>
      </w:r>
      <w:r>
        <w:rPr>
          <w:rFonts w:hint="eastAsia"/>
          <w:color w:val="000000"/>
          <w:szCs w:val="22"/>
          <w:highlight w:val="none"/>
          <w:u w:val="single"/>
        </w:rPr>
        <w:t>、</w:t>
      </w:r>
      <w:r>
        <w:rPr>
          <w:rFonts w:hint="eastAsia"/>
          <w:b/>
          <w:bCs/>
          <w:color w:val="000000"/>
          <w:szCs w:val="22"/>
          <w:highlight w:val="none"/>
          <w:u w:val="single"/>
        </w:rPr>
        <w:t>小型企业</w:t>
      </w:r>
      <w:r>
        <w:rPr>
          <w:rFonts w:hint="eastAsia"/>
          <w:color w:val="000000"/>
          <w:szCs w:val="22"/>
          <w:highlight w:val="none"/>
          <w:u w:val="single"/>
        </w:rPr>
        <w:t>、</w:t>
      </w:r>
      <w:r>
        <w:rPr>
          <w:rFonts w:hint="eastAsia"/>
          <w:b/>
          <w:bCs/>
          <w:color w:val="000000"/>
          <w:szCs w:val="22"/>
          <w:highlight w:val="none"/>
          <w:u w:val="single"/>
        </w:rPr>
        <w:t>微型企业</w:t>
      </w:r>
      <w:r>
        <w:rPr>
          <w:rFonts w:hint="eastAsia"/>
          <w:color w:val="000000"/>
          <w:szCs w:val="22"/>
          <w:highlight w:val="none"/>
          <w:u w:val="single"/>
        </w:rPr>
        <w:t>中选择其一填入</w:t>
      </w:r>
      <w:r>
        <w:rPr>
          <w:color w:val="000000"/>
          <w:szCs w:val="22"/>
          <w:highlight w:val="none"/>
          <w:u w:val="single"/>
        </w:rPr>
        <w:t>）</w:t>
      </w:r>
      <w:r>
        <w:rPr>
          <w:rFonts w:hint="eastAsia"/>
          <w:color w:val="000000"/>
          <w:szCs w:val="22"/>
          <w:highlight w:val="none"/>
          <w:u w:val="single"/>
        </w:rPr>
        <w:t xml:space="preserve"> </w:t>
      </w:r>
      <w:r>
        <w:rPr>
          <w:color w:val="000000"/>
          <w:szCs w:val="22"/>
          <w:highlight w:val="none"/>
        </w:rPr>
        <w:t>；</w:t>
      </w:r>
    </w:p>
    <w:p>
      <w:pPr>
        <w:pStyle w:val="12"/>
        <w:spacing w:before="120" w:beforeLines="50" w:after="120" w:afterLines="50"/>
        <w:rPr>
          <w:color w:val="000000"/>
          <w:szCs w:val="22"/>
          <w:highlight w:val="none"/>
        </w:rPr>
      </w:pPr>
      <w:r>
        <w:rPr>
          <w:color w:val="000000"/>
          <w:szCs w:val="22"/>
          <w:highlight w:val="none"/>
        </w:rPr>
        <w:t>2</w:t>
      </w:r>
      <w:r>
        <w:rPr>
          <w:rFonts w:hint="eastAsia"/>
          <w:color w:val="000000"/>
          <w:szCs w:val="22"/>
          <w:highlight w:val="none"/>
        </w:rPr>
        <w:t>、</w:t>
      </w:r>
      <w:r>
        <w:rPr>
          <w:color w:val="000000"/>
          <w:szCs w:val="22"/>
          <w:highlight w:val="none"/>
          <w:u w:val="single"/>
        </w:rPr>
        <w:t xml:space="preserve"> （标的</w:t>
      </w:r>
      <w:r>
        <w:rPr>
          <w:rFonts w:hint="eastAsia"/>
          <w:color w:val="000000"/>
          <w:szCs w:val="22"/>
          <w:highlight w:val="none"/>
          <w:u w:val="single"/>
        </w:rPr>
        <w:t>产品</w:t>
      </w:r>
      <w:r>
        <w:rPr>
          <w:color w:val="000000"/>
          <w:szCs w:val="22"/>
          <w:highlight w:val="none"/>
          <w:u w:val="single"/>
        </w:rPr>
        <w:t xml:space="preserve">名称） </w:t>
      </w:r>
      <w:r>
        <w:rPr>
          <w:color w:val="000000"/>
          <w:szCs w:val="22"/>
          <w:highlight w:val="none"/>
        </w:rPr>
        <w:t>，属于</w:t>
      </w:r>
      <w:r>
        <w:rPr>
          <w:color w:val="000000"/>
          <w:szCs w:val="22"/>
          <w:highlight w:val="none"/>
          <w:u w:val="single"/>
        </w:rPr>
        <w:t xml:space="preserve"> </w:t>
      </w:r>
      <w:r>
        <w:rPr>
          <w:rFonts w:hint="eastAsia"/>
          <w:color w:val="000000"/>
          <w:szCs w:val="22"/>
          <w:highlight w:val="none"/>
          <w:u w:val="single"/>
        </w:rPr>
        <w:t xml:space="preserve">工业 </w:t>
      </w:r>
      <w:r>
        <w:rPr>
          <w:color w:val="000000"/>
          <w:szCs w:val="22"/>
          <w:highlight w:val="none"/>
        </w:rPr>
        <w:t>行业；制造商为</w:t>
      </w:r>
      <w:r>
        <w:rPr>
          <w:color w:val="000000"/>
          <w:szCs w:val="22"/>
          <w:highlight w:val="none"/>
          <w:u w:val="single"/>
        </w:rPr>
        <w:t xml:space="preserve"> （企业名称）</w:t>
      </w:r>
      <w:r>
        <w:rPr>
          <w:rFonts w:hint="eastAsia"/>
          <w:color w:val="000000"/>
          <w:szCs w:val="22"/>
          <w:highlight w:val="none"/>
          <w:u w:val="single"/>
        </w:rPr>
        <w:t xml:space="preserve"> </w:t>
      </w:r>
      <w:r>
        <w:rPr>
          <w:color w:val="000000"/>
          <w:szCs w:val="22"/>
          <w:highlight w:val="none"/>
        </w:rPr>
        <w:t>，从业人员</w:t>
      </w:r>
      <w:r>
        <w:rPr>
          <w:color w:val="000000"/>
          <w:szCs w:val="22"/>
          <w:highlight w:val="none"/>
          <w:u w:val="single"/>
        </w:rPr>
        <w:t xml:space="preserve">      </w:t>
      </w:r>
      <w:r>
        <w:rPr>
          <w:color w:val="000000"/>
          <w:szCs w:val="22"/>
          <w:highlight w:val="none"/>
        </w:rPr>
        <w:t>人， 营业收入为</w:t>
      </w:r>
      <w:r>
        <w:rPr>
          <w:color w:val="000000"/>
          <w:szCs w:val="22"/>
          <w:highlight w:val="none"/>
          <w:u w:val="single"/>
        </w:rPr>
        <w:t xml:space="preserve">    </w:t>
      </w:r>
      <w:r>
        <w:rPr>
          <w:color w:val="000000"/>
          <w:szCs w:val="22"/>
          <w:highlight w:val="none"/>
        </w:rPr>
        <w:t>万元，资产总额为</w:t>
      </w:r>
      <w:r>
        <w:rPr>
          <w:color w:val="000000"/>
          <w:szCs w:val="22"/>
          <w:highlight w:val="none"/>
          <w:u w:val="single"/>
        </w:rPr>
        <w:t xml:space="preserve">    </w:t>
      </w:r>
      <w:r>
        <w:rPr>
          <w:color w:val="000000"/>
          <w:szCs w:val="22"/>
          <w:highlight w:val="none"/>
        </w:rPr>
        <w:t>万元，属于</w:t>
      </w:r>
      <w:r>
        <w:rPr>
          <w:color w:val="000000"/>
          <w:szCs w:val="22"/>
          <w:highlight w:val="none"/>
          <w:u w:val="single"/>
        </w:rPr>
        <w:t xml:space="preserve"> </w:t>
      </w:r>
      <w:r>
        <w:rPr>
          <w:rFonts w:hint="eastAsia"/>
          <w:color w:val="000000"/>
          <w:szCs w:val="22"/>
          <w:highlight w:val="none"/>
          <w:u w:val="single"/>
        </w:rPr>
        <w:t xml:space="preserve">    </w:t>
      </w:r>
      <w:r>
        <w:rPr>
          <w:color w:val="000000"/>
          <w:szCs w:val="22"/>
          <w:highlight w:val="none"/>
          <w:u w:val="single"/>
        </w:rPr>
        <w:t>（</w:t>
      </w:r>
      <w:r>
        <w:rPr>
          <w:rFonts w:hint="eastAsia"/>
          <w:color w:val="000000"/>
          <w:szCs w:val="22"/>
          <w:highlight w:val="none"/>
          <w:u w:val="single"/>
        </w:rPr>
        <w:t>从</w:t>
      </w:r>
      <w:r>
        <w:rPr>
          <w:rFonts w:hint="eastAsia"/>
          <w:b/>
          <w:bCs/>
          <w:color w:val="000000"/>
          <w:szCs w:val="22"/>
          <w:highlight w:val="none"/>
          <w:u w:val="single"/>
        </w:rPr>
        <w:t>中型企业</w:t>
      </w:r>
      <w:r>
        <w:rPr>
          <w:rFonts w:hint="eastAsia"/>
          <w:color w:val="000000"/>
          <w:szCs w:val="22"/>
          <w:highlight w:val="none"/>
          <w:u w:val="single"/>
        </w:rPr>
        <w:t>、</w:t>
      </w:r>
      <w:r>
        <w:rPr>
          <w:rFonts w:hint="eastAsia"/>
          <w:b/>
          <w:bCs/>
          <w:color w:val="000000"/>
          <w:szCs w:val="22"/>
          <w:highlight w:val="none"/>
          <w:u w:val="single"/>
        </w:rPr>
        <w:t>小型企业</w:t>
      </w:r>
      <w:r>
        <w:rPr>
          <w:rFonts w:hint="eastAsia"/>
          <w:color w:val="000000"/>
          <w:szCs w:val="22"/>
          <w:highlight w:val="none"/>
          <w:u w:val="single"/>
        </w:rPr>
        <w:t>、</w:t>
      </w:r>
      <w:r>
        <w:rPr>
          <w:rFonts w:hint="eastAsia"/>
          <w:b/>
          <w:bCs/>
          <w:color w:val="000000"/>
          <w:szCs w:val="22"/>
          <w:highlight w:val="none"/>
          <w:u w:val="single"/>
        </w:rPr>
        <w:t>微型企业</w:t>
      </w:r>
      <w:r>
        <w:rPr>
          <w:rFonts w:hint="eastAsia"/>
          <w:color w:val="000000"/>
          <w:szCs w:val="22"/>
          <w:highlight w:val="none"/>
          <w:u w:val="single"/>
        </w:rPr>
        <w:t>中选择其一填入</w:t>
      </w:r>
      <w:r>
        <w:rPr>
          <w:color w:val="000000"/>
          <w:szCs w:val="22"/>
          <w:highlight w:val="none"/>
          <w:u w:val="single"/>
        </w:rPr>
        <w:t>）</w:t>
      </w:r>
      <w:r>
        <w:rPr>
          <w:rFonts w:hint="eastAsia"/>
          <w:color w:val="000000"/>
          <w:szCs w:val="22"/>
          <w:highlight w:val="none"/>
          <w:u w:val="single"/>
        </w:rPr>
        <w:t xml:space="preserve"> </w:t>
      </w:r>
      <w:r>
        <w:rPr>
          <w:color w:val="000000"/>
          <w:szCs w:val="22"/>
          <w:highlight w:val="none"/>
        </w:rPr>
        <w:t>；</w:t>
      </w:r>
      <w:r>
        <w:rPr>
          <w:color w:val="000000"/>
          <w:szCs w:val="22"/>
          <w:highlight w:val="none"/>
          <w:vertAlign w:val="superscript"/>
        </w:rPr>
        <w:footnoteReference w:id="1"/>
      </w:r>
    </w:p>
    <w:p>
      <w:pPr>
        <w:pStyle w:val="12"/>
        <w:spacing w:before="120" w:beforeLines="50" w:after="120" w:afterLines="50"/>
        <w:rPr>
          <w:color w:val="000000"/>
          <w:szCs w:val="22"/>
          <w:highlight w:val="none"/>
        </w:rPr>
      </w:pPr>
      <w:r>
        <w:rPr>
          <w:color w:val="000000"/>
          <w:szCs w:val="22"/>
          <w:highlight w:val="none"/>
        </w:rPr>
        <w:t>……</w:t>
      </w:r>
      <w:r>
        <w:rPr>
          <w:color w:val="000000"/>
          <w:szCs w:val="22"/>
          <w:highlight w:val="none"/>
          <w:vertAlign w:val="superscript"/>
        </w:rPr>
        <w:footnoteReference w:id="2"/>
      </w:r>
    </w:p>
    <w:p>
      <w:pPr>
        <w:pStyle w:val="12"/>
        <w:spacing w:before="120" w:beforeLines="50" w:after="120" w:afterLines="50"/>
        <w:rPr>
          <w:color w:val="000000"/>
          <w:szCs w:val="22"/>
          <w:highlight w:val="none"/>
        </w:rPr>
      </w:pPr>
      <w:r>
        <w:rPr>
          <w:color w:val="000000"/>
          <w:szCs w:val="22"/>
          <w:highlight w:val="none"/>
        </w:rPr>
        <w:t>以上企业 ，不属于大企业的分支机构 ，不存在控股股东 为大企业的情形 ，也不存在与大企业的负责人为同一人的情 形 。</w:t>
      </w:r>
    </w:p>
    <w:p>
      <w:pPr>
        <w:pStyle w:val="12"/>
        <w:spacing w:before="120" w:beforeLines="50" w:after="120" w:afterLines="50"/>
        <w:rPr>
          <w:color w:val="000000"/>
          <w:szCs w:val="22"/>
          <w:highlight w:val="none"/>
        </w:rPr>
      </w:pPr>
      <w:r>
        <w:rPr>
          <w:color w:val="000000"/>
          <w:szCs w:val="22"/>
          <w:highlight w:val="none"/>
        </w:rPr>
        <w:t>本企业对上述声明内容的真实性负责 。如有虚假 ，将依 法承担相应责任 。</w:t>
      </w:r>
    </w:p>
    <w:p>
      <w:pPr>
        <w:spacing w:before="1400"/>
        <w:ind w:firstLine="5280" w:firstLineChars="2200"/>
        <w:jc w:val="left"/>
        <w:rPr>
          <w:color w:val="000000"/>
          <w:szCs w:val="22"/>
          <w:highlight w:val="none"/>
        </w:rPr>
      </w:pPr>
      <w:r>
        <w:rPr>
          <w:color w:val="000000"/>
          <w:szCs w:val="22"/>
          <w:highlight w:val="none"/>
        </w:rPr>
        <w:t>企业名称（盖章）：</w:t>
      </w:r>
    </w:p>
    <w:p>
      <w:pPr>
        <w:widowControl/>
        <w:kinsoku w:val="0"/>
        <w:autoSpaceDE w:val="0"/>
        <w:autoSpaceDN w:val="0"/>
        <w:snapToGrid w:val="0"/>
        <w:spacing w:before="186" w:line="204" w:lineRule="auto"/>
        <w:ind w:firstLine="5280" w:firstLineChars="2200"/>
        <w:jc w:val="left"/>
        <w:rPr>
          <w:rFonts w:ascii="仿宋" w:hAnsi="仿宋" w:eastAsia="仿宋" w:cs="仿宋"/>
          <w:snapToGrid w:val="0"/>
          <w:color w:val="000000"/>
          <w:sz w:val="32"/>
          <w:szCs w:val="32"/>
          <w:highlight w:val="none"/>
        </w:rPr>
      </w:pPr>
      <w:r>
        <w:rPr>
          <w:color w:val="000000"/>
          <w:szCs w:val="22"/>
          <w:highlight w:val="none"/>
        </w:rPr>
        <w:t>日期 ：</w:t>
      </w:r>
    </w:p>
    <w:p>
      <w:pPr>
        <w:widowControl/>
        <w:kinsoku w:val="0"/>
        <w:autoSpaceDE w:val="0"/>
        <w:autoSpaceDN w:val="0"/>
        <w:snapToGrid w:val="0"/>
        <w:spacing w:before="186" w:line="204" w:lineRule="auto"/>
        <w:ind w:firstLine="7040" w:firstLineChars="2200"/>
        <w:jc w:val="left"/>
        <w:rPr>
          <w:rFonts w:ascii="仿宋" w:hAnsi="仿宋" w:eastAsia="仿宋" w:cs="仿宋"/>
          <w:snapToGrid w:val="0"/>
          <w:color w:val="000000"/>
          <w:sz w:val="32"/>
          <w:szCs w:val="32"/>
          <w:highlight w:val="none"/>
          <w:lang/>
        </w:rPr>
      </w:pPr>
    </w:p>
    <w:p>
      <w:pPr>
        <w:jc w:val="center"/>
        <w:rPr>
          <w:color w:val="000000"/>
          <w:highlight w:val="none"/>
        </w:rPr>
      </w:pPr>
    </w:p>
    <w:p>
      <w:pPr>
        <w:jc w:val="center"/>
        <w:rPr>
          <w:color w:val="000000"/>
          <w:highlight w:val="none"/>
        </w:rPr>
        <w:sectPr>
          <w:headerReference r:id="rId28" w:type="first"/>
          <w:footerReference r:id="rId31" w:type="first"/>
          <w:footerReference r:id="rId29" w:type="default"/>
          <w:headerReference r:id="rId27" w:type="even"/>
          <w:footerReference r:id="rId30" w:type="even"/>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pPr>
    </w:p>
    <w:p>
      <w:pPr>
        <w:rPr>
          <w:color w:val="000000"/>
          <w:highlight w:val="none"/>
        </w:rPr>
      </w:pPr>
    </w:p>
    <w:p>
      <w:pPr>
        <w:rPr>
          <w:color w:val="000000"/>
          <w:highlight w:val="none"/>
        </w:rPr>
      </w:pPr>
    </w:p>
    <w:p>
      <w:pPr>
        <w:rPr>
          <w:color w:val="000000"/>
          <w:highlight w:val="none"/>
        </w:rPr>
      </w:pPr>
    </w:p>
    <w:p>
      <w:pPr>
        <w:rPr>
          <w:color w:val="000000"/>
          <w:highlight w:val="none"/>
        </w:rPr>
      </w:pPr>
    </w:p>
    <w:p>
      <w:pPr>
        <w:tabs>
          <w:tab w:val="left" w:pos="6860"/>
        </w:tabs>
        <w:rPr>
          <w:color w:val="000000"/>
          <w:highlight w:val="none"/>
        </w:rPr>
      </w:pPr>
    </w:p>
    <w:p>
      <w:pPr>
        <w:ind w:firstLine="6340"/>
        <w:jc w:val="center"/>
        <w:rPr>
          <w:rFonts w:eastAsia="楷体"/>
          <w:color w:val="000000"/>
          <w:highlight w:val="none"/>
        </w:rPr>
      </w:pPr>
      <w:r>
        <w:rPr>
          <w:rFonts w:eastAsia="楷体"/>
          <w:color w:val="000000"/>
          <w:highlight w:val="none"/>
        </w:rPr>
        <w:t>招标文件</w:t>
      </w:r>
    </w:p>
    <w:p>
      <w:pPr>
        <w:jc w:val="right"/>
        <w:rPr>
          <w:rFonts w:hint="eastAsia" w:eastAsia="楷体"/>
          <w:color w:val="000000"/>
          <w:highlight w:val="none"/>
        </w:rPr>
      </w:pPr>
      <w:r>
        <w:rPr>
          <w:rFonts w:hint="eastAsia" w:eastAsia="楷体"/>
          <w:color w:val="000000"/>
          <w:highlight w:val="none"/>
        </w:rPr>
        <w:t>项目编号：</w:t>
      </w:r>
      <w:r>
        <w:rPr>
          <w:rFonts w:hint="eastAsia" w:eastAsia="楷体"/>
          <w:color w:val="000000"/>
          <w:sz w:val="28"/>
          <w:szCs w:val="28"/>
          <w:highlight w:val="none"/>
        </w:rPr>
        <w:t>HW2021072604</w:t>
      </w:r>
    </w:p>
    <w:p>
      <w:pPr>
        <w:ind w:firstLine="6340"/>
        <w:jc w:val="center"/>
        <w:rPr>
          <w:rFonts w:hint="eastAsia" w:eastAsia="楷体"/>
          <w:color w:val="000000"/>
          <w:highlight w:val="none"/>
          <w:lang w:eastAsia="zh-CN"/>
        </w:rPr>
      </w:pPr>
      <w:r>
        <w:rPr>
          <w:rFonts w:hint="eastAsia" w:eastAsia="楷体"/>
          <w:color w:val="000000"/>
          <w:highlight w:val="none"/>
        </w:rPr>
        <w:t>招标编号：</w:t>
      </w:r>
      <w:r>
        <w:rPr>
          <w:rFonts w:hint="eastAsia" w:eastAsia="楷体"/>
          <w:color w:val="000000"/>
          <w:highlight w:val="none"/>
          <w:lang w:eastAsia="zh-CN"/>
        </w:rPr>
        <w:t>YX-FDCG-2021-008</w:t>
      </w:r>
    </w:p>
    <w:p>
      <w:pPr>
        <w:rPr>
          <w:color w:val="000000"/>
          <w:highlight w:val="none"/>
        </w:rPr>
      </w:pPr>
    </w:p>
    <w:p>
      <w:pPr>
        <w:ind w:firstLine="6340"/>
        <w:jc w:val="center"/>
        <w:rPr>
          <w:rFonts w:eastAsia="楷体"/>
          <w:color w:val="000000"/>
          <w:highlight w:val="none"/>
        </w:rPr>
      </w:pPr>
    </w:p>
    <w:p>
      <w:pPr>
        <w:rPr>
          <w:color w:val="000000"/>
          <w:highlight w:val="none"/>
        </w:rPr>
      </w:pPr>
    </w:p>
    <w:p>
      <w:pPr>
        <w:spacing w:before="160"/>
        <w:rPr>
          <w:color w:val="000000"/>
          <w:highlight w:val="none"/>
        </w:rPr>
      </w:pPr>
    </w:p>
    <w:p>
      <w:pPr>
        <w:pStyle w:val="14"/>
        <w:rPr>
          <w:rFonts w:ascii="Times New Roman" w:hAnsi="Times New Roman"/>
          <w:color w:val="000000"/>
          <w:highlight w:val="none"/>
        </w:rPr>
      </w:pPr>
      <w:bookmarkStart w:id="1275" w:name="_Toc503130330"/>
      <w:r>
        <w:rPr>
          <w:rFonts w:ascii="Times New Roman" w:hAnsi="Times New Roman"/>
          <w:color w:val="000000"/>
          <w:highlight w:val="none"/>
        </w:rPr>
        <w:t>第七章  评标办法</w:t>
      </w:r>
      <w:bookmarkEnd w:id="1275"/>
    </w:p>
    <w:p>
      <w:pPr>
        <w:pStyle w:val="82"/>
        <w:rPr>
          <w:rFonts w:ascii="Times New Roman"/>
          <w:color w:val="000000"/>
          <w:highlight w:val="none"/>
        </w:rPr>
      </w:pPr>
      <w:r>
        <w:rPr>
          <w:rFonts w:ascii="Times New Roman"/>
          <w:color w:val="000000"/>
          <w:highlight w:val="none"/>
        </w:rPr>
        <w:br w:type="page"/>
      </w:r>
      <w:bookmarkStart w:id="1276" w:name="_Toc491700949"/>
      <w:bookmarkStart w:id="1277" w:name="_Toc389457580"/>
      <w:bookmarkStart w:id="1278" w:name="_Toc450211858"/>
      <w:bookmarkStart w:id="1279" w:name="_Toc503130453"/>
      <w:bookmarkStart w:id="1280" w:name="_Toc503130752"/>
      <w:bookmarkStart w:id="1281" w:name="_Toc495406881"/>
      <w:bookmarkStart w:id="1282" w:name="_Toc5116312"/>
      <w:bookmarkStart w:id="1283" w:name="_Toc503130813"/>
      <w:bookmarkStart w:id="1284" w:name="_Toc495398028"/>
      <w:bookmarkStart w:id="1285" w:name="_Toc389465287"/>
      <w:bookmarkStart w:id="1286" w:name="_Toc6235"/>
      <w:bookmarkStart w:id="1287" w:name="_Toc389653652"/>
      <w:bookmarkStart w:id="1288" w:name="_Toc512602493"/>
      <w:bookmarkStart w:id="1289" w:name="_Toc495398078"/>
      <w:r>
        <w:rPr>
          <w:rFonts w:ascii="Times New Roman"/>
          <w:color w:val="000000"/>
          <w:highlight w:val="none"/>
        </w:rPr>
        <w:t>第七章  评标办法</w:t>
      </w:r>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p>
    <w:p>
      <w:pPr>
        <w:pStyle w:val="2"/>
        <w:numPr>
          <w:ilvl w:val="0"/>
          <w:numId w:val="10"/>
        </w:numPr>
        <w:rPr>
          <w:rFonts w:ascii="Times New Roman"/>
          <w:color w:val="000000"/>
          <w:highlight w:val="none"/>
        </w:rPr>
      </w:pPr>
      <w:bookmarkStart w:id="1290" w:name="_Toc503130454"/>
      <w:bookmarkStart w:id="1291" w:name="_Toc5116313"/>
      <w:bookmarkStart w:id="1292" w:name="_Toc1345"/>
      <w:bookmarkStart w:id="1293" w:name="_Toc479109470"/>
      <w:bookmarkStart w:id="1294" w:name="_Toc512602494"/>
      <w:bookmarkStart w:id="1295" w:name="_Toc131825532"/>
      <w:bookmarkStart w:id="1296" w:name="_Toc228856595"/>
      <w:r>
        <w:rPr>
          <w:rFonts w:ascii="Times New Roman"/>
          <w:color w:val="000000"/>
          <w:highlight w:val="none"/>
        </w:rPr>
        <w:t>基本情况</w:t>
      </w:r>
      <w:bookmarkEnd w:id="1290"/>
      <w:bookmarkEnd w:id="1291"/>
      <w:bookmarkEnd w:id="1292"/>
      <w:bookmarkEnd w:id="1293"/>
      <w:bookmarkEnd w:id="1294"/>
    </w:p>
    <w:p>
      <w:pPr>
        <w:pStyle w:val="3"/>
        <w:numPr>
          <w:ilvl w:val="1"/>
          <w:numId w:val="10"/>
        </w:numPr>
        <w:rPr>
          <w:color w:val="000000"/>
          <w:kern w:val="2"/>
          <w:sz w:val="21"/>
          <w:highlight w:val="none"/>
        </w:rPr>
      </w:pPr>
      <w:r>
        <w:rPr>
          <w:color w:val="000000"/>
          <w:highlight w:val="none"/>
        </w:rPr>
        <w:t>本项目评标以《</w:t>
      </w:r>
      <w:r>
        <w:rPr>
          <w:rFonts w:hint="eastAsia"/>
          <w:color w:val="000000"/>
          <w:highlight w:val="none"/>
        </w:rPr>
        <w:t>中华人民共和国政府采购法</w:t>
      </w:r>
      <w:r>
        <w:rPr>
          <w:color w:val="000000"/>
          <w:highlight w:val="none"/>
        </w:rPr>
        <w:t>》等</w:t>
      </w:r>
      <w:r>
        <w:rPr>
          <w:bCs/>
          <w:color w:val="000000"/>
          <w:highlight w:val="none"/>
        </w:rPr>
        <w:t>相关文件的规定，以及本评标办法</w:t>
      </w:r>
      <w:r>
        <w:rPr>
          <w:color w:val="000000"/>
          <w:highlight w:val="none"/>
        </w:rPr>
        <w:t>为主要依据，由评标委员会对各投标文件进行综合评定。评标将严格遵守</w:t>
      </w:r>
      <w:r>
        <w:rPr>
          <w:rFonts w:hint="eastAsia"/>
          <w:color w:val="000000"/>
          <w:highlight w:val="none"/>
        </w:rPr>
        <w:t>客观、公正、审慎的原则</w:t>
      </w:r>
      <w:r>
        <w:rPr>
          <w:color w:val="000000"/>
          <w:highlight w:val="none"/>
        </w:rPr>
        <w:t>。</w:t>
      </w:r>
    </w:p>
    <w:bookmarkEnd w:id="1295"/>
    <w:bookmarkEnd w:id="1296"/>
    <w:p>
      <w:pPr>
        <w:pStyle w:val="2"/>
        <w:numPr>
          <w:ilvl w:val="0"/>
          <w:numId w:val="10"/>
        </w:numPr>
        <w:rPr>
          <w:rFonts w:ascii="Times New Roman"/>
          <w:color w:val="000000"/>
          <w:highlight w:val="none"/>
        </w:rPr>
      </w:pPr>
      <w:bookmarkStart w:id="1297" w:name="_Toc349029978"/>
      <w:bookmarkStart w:id="1298" w:name="_Toc5116314"/>
      <w:bookmarkStart w:id="1299" w:name="_Toc512602495"/>
      <w:bookmarkStart w:id="1300" w:name="_Toc4250"/>
      <w:bookmarkStart w:id="1301" w:name="_Toc503130455"/>
      <w:bookmarkStart w:id="1302" w:name="_Toc479109471"/>
      <w:bookmarkStart w:id="1303" w:name="_Toc228856596"/>
      <w:bookmarkStart w:id="1304" w:name="_Toc131825533"/>
      <w:r>
        <w:rPr>
          <w:rFonts w:ascii="Times New Roman"/>
          <w:color w:val="000000"/>
          <w:highlight w:val="none"/>
        </w:rPr>
        <w:t>评标</w:t>
      </w:r>
      <w:bookmarkEnd w:id="1297"/>
      <w:r>
        <w:rPr>
          <w:rFonts w:ascii="Times New Roman"/>
          <w:color w:val="000000"/>
          <w:highlight w:val="none"/>
        </w:rPr>
        <w:t>细则</w:t>
      </w:r>
      <w:bookmarkEnd w:id="1298"/>
      <w:bookmarkEnd w:id="1299"/>
      <w:bookmarkEnd w:id="1300"/>
      <w:bookmarkEnd w:id="1301"/>
      <w:bookmarkEnd w:id="1302"/>
    </w:p>
    <w:p>
      <w:pPr>
        <w:pStyle w:val="3"/>
        <w:numPr>
          <w:ilvl w:val="1"/>
          <w:numId w:val="10"/>
        </w:numPr>
        <w:rPr>
          <w:color w:val="000000"/>
          <w:highlight w:val="none"/>
        </w:rPr>
      </w:pPr>
      <w:r>
        <w:rPr>
          <w:color w:val="000000"/>
          <w:highlight w:val="none"/>
        </w:rPr>
        <w:t>本项目采用综合评分法进行评标。</w:t>
      </w:r>
    </w:p>
    <w:p>
      <w:pPr>
        <w:pStyle w:val="3"/>
        <w:numPr>
          <w:ilvl w:val="1"/>
          <w:numId w:val="10"/>
        </w:numPr>
        <w:rPr>
          <w:color w:val="000000"/>
          <w:highlight w:val="none"/>
        </w:rPr>
      </w:pPr>
      <w:r>
        <w:rPr>
          <w:color w:val="000000"/>
          <w:highlight w:val="none"/>
        </w:rPr>
        <w:t>评标步骤</w:t>
      </w:r>
    </w:p>
    <w:p>
      <w:pPr>
        <w:ind w:firstLine="425"/>
        <w:rPr>
          <w:color w:val="000000"/>
          <w:highlight w:val="none"/>
        </w:rPr>
      </w:pPr>
      <w:r>
        <w:rPr>
          <w:color w:val="000000"/>
          <w:highlight w:val="none"/>
        </w:rPr>
        <w:t>本次招标的评标工作将按下列步骤进行：</w:t>
      </w:r>
    </w:p>
    <w:p>
      <w:pPr>
        <w:pStyle w:val="8"/>
        <w:numPr>
          <w:ilvl w:val="6"/>
          <w:numId w:val="10"/>
        </w:numPr>
        <w:rPr>
          <w:color w:val="000000"/>
          <w:highlight w:val="none"/>
        </w:rPr>
      </w:pPr>
      <w:r>
        <w:rPr>
          <w:color w:val="000000"/>
          <w:highlight w:val="none"/>
        </w:rPr>
        <w:t>符合性审查；</w:t>
      </w:r>
    </w:p>
    <w:p>
      <w:pPr>
        <w:pStyle w:val="8"/>
        <w:numPr>
          <w:ilvl w:val="6"/>
          <w:numId w:val="10"/>
        </w:numPr>
        <w:rPr>
          <w:color w:val="000000"/>
          <w:highlight w:val="none"/>
        </w:rPr>
      </w:pPr>
      <w:r>
        <w:rPr>
          <w:color w:val="000000"/>
          <w:highlight w:val="none"/>
        </w:rPr>
        <w:t>详细评审；</w:t>
      </w:r>
    </w:p>
    <w:p>
      <w:pPr>
        <w:pStyle w:val="8"/>
        <w:numPr>
          <w:ilvl w:val="6"/>
          <w:numId w:val="10"/>
        </w:numPr>
        <w:rPr>
          <w:color w:val="000000"/>
          <w:highlight w:val="none"/>
        </w:rPr>
      </w:pPr>
      <w:r>
        <w:rPr>
          <w:color w:val="000000"/>
          <w:highlight w:val="none"/>
        </w:rPr>
        <w:t>排序并推荐中标候选人。</w:t>
      </w:r>
    </w:p>
    <w:p>
      <w:pPr>
        <w:pStyle w:val="2"/>
        <w:numPr>
          <w:ilvl w:val="0"/>
          <w:numId w:val="10"/>
        </w:numPr>
        <w:rPr>
          <w:rFonts w:ascii="Times New Roman"/>
          <w:color w:val="000000"/>
          <w:highlight w:val="none"/>
        </w:rPr>
      </w:pPr>
      <w:bookmarkStart w:id="1305" w:name="_Toc512602496"/>
      <w:bookmarkStart w:id="1306" w:name="_Toc503130456"/>
      <w:bookmarkStart w:id="1307" w:name="_Toc5116315"/>
      <w:bookmarkStart w:id="1308" w:name="_Toc29027"/>
      <w:r>
        <w:rPr>
          <w:rFonts w:ascii="Times New Roman"/>
          <w:color w:val="000000"/>
          <w:highlight w:val="none"/>
        </w:rPr>
        <w:t>符合性审查</w:t>
      </w:r>
      <w:bookmarkEnd w:id="1305"/>
      <w:bookmarkEnd w:id="1306"/>
      <w:bookmarkEnd w:id="1307"/>
      <w:bookmarkEnd w:id="1308"/>
    </w:p>
    <w:p>
      <w:pPr>
        <w:pStyle w:val="3"/>
        <w:numPr>
          <w:ilvl w:val="1"/>
          <w:numId w:val="10"/>
        </w:numPr>
        <w:rPr>
          <w:color w:val="000000"/>
          <w:highlight w:val="none"/>
        </w:rPr>
      </w:pPr>
      <w:bookmarkStart w:id="1309" w:name="_Ref332614020"/>
      <w:bookmarkStart w:id="1310" w:name="_Toc479109473"/>
      <w:r>
        <w:rPr>
          <w:color w:val="000000"/>
          <w:highlight w:val="none"/>
        </w:rPr>
        <w:t>评标委员会首先将审核投标报价，投标报价的错误修正方法如下：</w:t>
      </w:r>
      <w:bookmarkEnd w:id="1309"/>
    </w:p>
    <w:p>
      <w:pPr>
        <w:pStyle w:val="8"/>
        <w:numPr>
          <w:ilvl w:val="6"/>
          <w:numId w:val="10"/>
        </w:numPr>
        <w:rPr>
          <w:color w:val="000000"/>
          <w:highlight w:val="none"/>
        </w:rPr>
      </w:pPr>
      <w:r>
        <w:rPr>
          <w:color w:val="000000"/>
          <w:highlight w:val="none"/>
        </w:rPr>
        <w:t>如果用数字表示的金额与用文字表示的金额不一致，将以文字表示的金额为准；</w:t>
      </w:r>
    </w:p>
    <w:p>
      <w:pPr>
        <w:pStyle w:val="8"/>
        <w:numPr>
          <w:ilvl w:val="6"/>
          <w:numId w:val="10"/>
        </w:numPr>
        <w:rPr>
          <w:color w:val="000000"/>
          <w:highlight w:val="none"/>
        </w:rPr>
      </w:pPr>
      <w:r>
        <w:rPr>
          <w:color w:val="000000"/>
          <w:highlight w:val="none"/>
        </w:rPr>
        <w:t>当单价与数量的乘积与总价不符时，将以单价与数量的乘积为准修正总价；单价金额小数点有明显错位的，应以总价为准，并修改单价。</w:t>
      </w:r>
    </w:p>
    <w:p>
      <w:pPr>
        <w:pStyle w:val="3"/>
        <w:numPr>
          <w:ilvl w:val="1"/>
          <w:numId w:val="10"/>
        </w:numPr>
        <w:rPr>
          <w:color w:val="000000"/>
          <w:highlight w:val="none"/>
        </w:rPr>
      </w:pPr>
      <w:r>
        <w:rPr>
          <w:color w:val="000000"/>
          <w:highlight w:val="none"/>
        </w:rPr>
        <w:t>评标委员会将按上述修正错误的方法调整投标文件中的投标报价，调整后的价格对投标人具有约束力。如果投标人不接受调整后的价格，则其投标将被拒绝。</w:t>
      </w:r>
    </w:p>
    <w:p>
      <w:pPr>
        <w:pStyle w:val="3"/>
        <w:numPr>
          <w:ilvl w:val="1"/>
          <w:numId w:val="10"/>
        </w:numPr>
        <w:rPr>
          <w:color w:val="000000"/>
          <w:highlight w:val="none"/>
        </w:rPr>
      </w:pPr>
      <w:r>
        <w:rPr>
          <w:color w:val="000000"/>
          <w:highlight w:val="none"/>
        </w:rPr>
        <w:t>评标委员会将依据法律法规和招标文件的规定对投标文件进行符合性审查，凡投标人的投标文件中存有下列情况之一的，将对其投标文件作否决处理：</w:t>
      </w:r>
    </w:p>
    <w:p>
      <w:pPr>
        <w:pStyle w:val="8"/>
        <w:numPr>
          <w:ilvl w:val="6"/>
          <w:numId w:val="10"/>
        </w:numPr>
        <w:ind w:left="1422" w:hanging="856"/>
        <w:rPr>
          <w:b/>
          <w:color w:val="000000"/>
          <w:highlight w:val="none"/>
        </w:rPr>
      </w:pPr>
      <w:r>
        <w:rPr>
          <w:b/>
          <w:color w:val="000000"/>
          <w:highlight w:val="none"/>
        </w:rPr>
        <w:t>投标人有串通投标、弄虚作假、行贿等违法行为的；</w:t>
      </w:r>
    </w:p>
    <w:p>
      <w:pPr>
        <w:pStyle w:val="8"/>
        <w:numPr>
          <w:ilvl w:val="6"/>
          <w:numId w:val="10"/>
        </w:numPr>
        <w:ind w:left="1422" w:hanging="856"/>
        <w:rPr>
          <w:b/>
          <w:color w:val="000000"/>
          <w:highlight w:val="none"/>
        </w:rPr>
      </w:pPr>
      <w:r>
        <w:rPr>
          <w:b/>
          <w:color w:val="000000"/>
          <w:highlight w:val="none"/>
        </w:rPr>
        <w:t>投标文件不满足招标文件技术规格中加注“</w:t>
      </w:r>
      <w:r>
        <w:rPr>
          <w:rFonts w:hint="eastAsia" w:ascii="宋体" w:hAnsi="宋体" w:cs="宋体"/>
          <w:b/>
          <w:color w:val="000000"/>
          <w:highlight w:val="none"/>
        </w:rPr>
        <w:t>★</w:t>
      </w:r>
      <w:r>
        <w:rPr>
          <w:b/>
          <w:color w:val="000000"/>
          <w:highlight w:val="none"/>
        </w:rPr>
        <w:t>”号的技术要求；</w:t>
      </w:r>
    </w:p>
    <w:p>
      <w:pPr>
        <w:pStyle w:val="8"/>
        <w:numPr>
          <w:ilvl w:val="6"/>
          <w:numId w:val="10"/>
        </w:numPr>
        <w:ind w:left="1422" w:hanging="856"/>
        <w:rPr>
          <w:b/>
          <w:color w:val="000000"/>
          <w:highlight w:val="none"/>
        </w:rPr>
      </w:pPr>
      <w:bookmarkStart w:id="1311" w:name="_Ref503128881"/>
      <w:r>
        <w:rPr>
          <w:rFonts w:hint="eastAsia"/>
          <w:b/>
          <w:color w:val="000000"/>
          <w:highlight w:val="none"/>
        </w:rPr>
        <w:t>有关法律、法规或规章和招标文件明确规定的其他将导致投标文件被否决的情况</w:t>
      </w:r>
      <w:r>
        <w:rPr>
          <w:b/>
          <w:color w:val="000000"/>
          <w:highlight w:val="none"/>
        </w:rPr>
        <w:t>。</w:t>
      </w:r>
      <w:bookmarkEnd w:id="1311"/>
    </w:p>
    <w:p>
      <w:pPr>
        <w:pStyle w:val="3"/>
        <w:numPr>
          <w:ilvl w:val="1"/>
          <w:numId w:val="10"/>
        </w:numPr>
        <w:rPr>
          <w:color w:val="000000"/>
          <w:highlight w:val="none"/>
        </w:rPr>
      </w:pPr>
      <w:r>
        <w:rPr>
          <w:color w:val="000000"/>
          <w:highlight w:val="none"/>
        </w:rPr>
        <w:t>根据政府采购法律法规的有关规定，出现下列情形之一的，评标委员会将否决所有投标：</w:t>
      </w:r>
    </w:p>
    <w:p>
      <w:pPr>
        <w:pStyle w:val="8"/>
        <w:numPr>
          <w:ilvl w:val="6"/>
          <w:numId w:val="10"/>
        </w:numPr>
        <w:ind w:left="480"/>
        <w:rPr>
          <w:color w:val="000000"/>
          <w:highlight w:val="none"/>
        </w:rPr>
      </w:pPr>
      <w:r>
        <w:rPr>
          <w:color w:val="000000"/>
          <w:highlight w:val="none"/>
        </w:rPr>
        <w:t>符合专业条件的投标人或者对招标文件作实质响应的投标人不足三家；</w:t>
      </w:r>
    </w:p>
    <w:p>
      <w:pPr>
        <w:pStyle w:val="8"/>
        <w:numPr>
          <w:ilvl w:val="6"/>
          <w:numId w:val="10"/>
        </w:numPr>
        <w:ind w:left="480"/>
        <w:rPr>
          <w:color w:val="000000"/>
          <w:highlight w:val="none"/>
        </w:rPr>
      </w:pPr>
      <w:r>
        <w:rPr>
          <w:color w:val="000000"/>
          <w:highlight w:val="none"/>
        </w:rPr>
        <w:t>出现影响采购公正的违法、违规行为；</w:t>
      </w:r>
    </w:p>
    <w:p>
      <w:pPr>
        <w:pStyle w:val="8"/>
        <w:numPr>
          <w:ilvl w:val="6"/>
          <w:numId w:val="10"/>
        </w:numPr>
        <w:ind w:left="480"/>
        <w:rPr>
          <w:color w:val="000000"/>
          <w:highlight w:val="none"/>
        </w:rPr>
      </w:pPr>
      <w:r>
        <w:rPr>
          <w:color w:val="000000"/>
          <w:highlight w:val="none"/>
        </w:rPr>
        <w:t>因重大变故，采购任务取消。</w:t>
      </w:r>
    </w:p>
    <w:p>
      <w:pPr>
        <w:pStyle w:val="2"/>
        <w:numPr>
          <w:ilvl w:val="0"/>
          <w:numId w:val="10"/>
        </w:numPr>
        <w:rPr>
          <w:rFonts w:ascii="Times New Roman"/>
          <w:color w:val="000000"/>
          <w:highlight w:val="none"/>
        </w:rPr>
      </w:pPr>
      <w:bookmarkStart w:id="1312" w:name="_Toc503130457"/>
      <w:bookmarkStart w:id="1313" w:name="_Toc7100"/>
      <w:bookmarkStart w:id="1314" w:name="_Toc5116316"/>
      <w:bookmarkStart w:id="1315" w:name="_Toc512602497"/>
      <w:r>
        <w:rPr>
          <w:rFonts w:ascii="Times New Roman"/>
          <w:color w:val="000000"/>
          <w:highlight w:val="none"/>
        </w:rPr>
        <w:t>详细评审</w:t>
      </w:r>
      <w:bookmarkEnd w:id="1310"/>
      <w:bookmarkEnd w:id="1312"/>
      <w:bookmarkEnd w:id="1313"/>
      <w:bookmarkEnd w:id="1314"/>
      <w:bookmarkEnd w:id="1315"/>
    </w:p>
    <w:p>
      <w:pPr>
        <w:pStyle w:val="3"/>
        <w:numPr>
          <w:ilvl w:val="1"/>
          <w:numId w:val="10"/>
        </w:numPr>
        <w:rPr>
          <w:color w:val="000000"/>
          <w:highlight w:val="none"/>
        </w:rPr>
      </w:pPr>
      <w:r>
        <w:rPr>
          <w:color w:val="000000"/>
          <w:highlight w:val="none"/>
        </w:rPr>
        <w:t>评标委员会将按照本评标办法规定，对符合性审查合格的投标文件进行商务和技术响应情况的详细评审。</w:t>
      </w:r>
    </w:p>
    <w:bookmarkEnd w:id="1303"/>
    <w:bookmarkEnd w:id="1304"/>
    <w:p>
      <w:pPr>
        <w:pStyle w:val="3"/>
        <w:numPr>
          <w:ilvl w:val="1"/>
          <w:numId w:val="10"/>
        </w:numPr>
        <w:rPr>
          <w:color w:val="000000"/>
          <w:highlight w:val="none"/>
        </w:rPr>
      </w:pPr>
      <w:bookmarkStart w:id="1316" w:name="_Ref334873756"/>
      <w:r>
        <w:rPr>
          <w:color w:val="000000"/>
          <w:highlight w:val="none"/>
        </w:rPr>
        <w:t>针对表1所列的各项评标要素的评审内容，由评标委员会成员对进入详细评审的各投标人进行独立评审，并给出相应的评分。</w:t>
      </w:r>
    </w:p>
    <w:bookmarkEnd w:id="1316"/>
    <w:p>
      <w:pPr>
        <w:jc w:val="center"/>
        <w:rPr>
          <w:color w:val="000000"/>
          <w:highlight w:val="none"/>
        </w:rPr>
      </w:pPr>
      <w:bookmarkStart w:id="1317" w:name="_Ref336246012"/>
      <w:r>
        <w:rPr>
          <w:color w:val="000000"/>
          <w:highlight w:val="none"/>
        </w:rPr>
        <w:t>表1  各评标要素的评审要素、满分分值及主要评审内容一览表</w:t>
      </w:r>
      <w:bookmarkEnd w:id="1317"/>
    </w:p>
    <w:tbl>
      <w:tblPr>
        <w:tblStyle w:val="33"/>
        <w:tblW w:w="969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034"/>
        <w:gridCol w:w="850"/>
        <w:gridCol w:w="58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tblHeader/>
          <w:jc w:val="center"/>
        </w:trPr>
        <w:tc>
          <w:tcPr>
            <w:tcW w:w="993" w:type="dxa"/>
            <w:tcBorders>
              <w:tl2br w:val="nil"/>
              <w:tr2bl w:val="nil"/>
            </w:tcBorders>
            <w:noWrap w:val="0"/>
            <w:vAlign w:val="center"/>
          </w:tcPr>
          <w:p>
            <w:pPr>
              <w:pStyle w:val="84"/>
              <w:spacing w:line="240" w:lineRule="auto"/>
              <w:ind w:left="76" w:hanging="4" w:hangingChars="2"/>
              <w:jc w:val="center"/>
              <w:rPr>
                <w:bCs/>
                <w:color w:val="000000"/>
                <w:szCs w:val="21"/>
                <w:highlight w:val="none"/>
              </w:rPr>
            </w:pPr>
            <w:bookmarkStart w:id="1318" w:name="_Ref38341316"/>
            <w:r>
              <w:rPr>
                <w:rFonts w:hAnsi="宋体"/>
                <w:bCs/>
                <w:color w:val="000000"/>
                <w:szCs w:val="21"/>
                <w:highlight w:val="none"/>
              </w:rPr>
              <w:t>序号</w:t>
            </w:r>
          </w:p>
        </w:tc>
        <w:tc>
          <w:tcPr>
            <w:tcW w:w="2034" w:type="dxa"/>
            <w:tcBorders>
              <w:tl2br w:val="nil"/>
              <w:tr2bl w:val="nil"/>
            </w:tcBorders>
            <w:noWrap w:val="0"/>
            <w:vAlign w:val="center"/>
          </w:tcPr>
          <w:p>
            <w:pPr>
              <w:pStyle w:val="84"/>
              <w:spacing w:line="240" w:lineRule="auto"/>
              <w:ind w:left="76" w:hanging="4" w:hangingChars="2"/>
              <w:jc w:val="center"/>
              <w:rPr>
                <w:bCs/>
                <w:color w:val="000000"/>
                <w:szCs w:val="21"/>
                <w:highlight w:val="none"/>
              </w:rPr>
            </w:pPr>
            <w:r>
              <w:rPr>
                <w:rFonts w:hAnsi="宋体"/>
                <w:bCs/>
                <w:color w:val="000000"/>
                <w:szCs w:val="21"/>
                <w:highlight w:val="none"/>
              </w:rPr>
              <w:t>评标要素</w:t>
            </w:r>
          </w:p>
        </w:tc>
        <w:tc>
          <w:tcPr>
            <w:tcW w:w="850" w:type="dxa"/>
            <w:tcBorders>
              <w:tl2br w:val="nil"/>
              <w:tr2bl w:val="nil"/>
            </w:tcBorders>
            <w:noWrap w:val="0"/>
            <w:vAlign w:val="center"/>
          </w:tcPr>
          <w:p>
            <w:pPr>
              <w:pStyle w:val="84"/>
              <w:spacing w:line="240" w:lineRule="auto"/>
              <w:ind w:left="76" w:hanging="4" w:hangingChars="2"/>
              <w:jc w:val="center"/>
              <w:rPr>
                <w:bCs/>
                <w:color w:val="000000"/>
                <w:szCs w:val="21"/>
                <w:highlight w:val="none"/>
              </w:rPr>
            </w:pPr>
            <w:r>
              <w:rPr>
                <w:rFonts w:hAnsi="宋体"/>
                <w:bCs/>
                <w:color w:val="000000"/>
                <w:szCs w:val="21"/>
                <w:highlight w:val="none"/>
              </w:rPr>
              <w:t>满分</w:t>
            </w:r>
            <w:r>
              <w:rPr>
                <w:bCs/>
                <w:color w:val="000000"/>
                <w:szCs w:val="21"/>
                <w:highlight w:val="none"/>
              </w:rPr>
              <w:br w:type="textWrapping"/>
            </w:r>
            <w:r>
              <w:rPr>
                <w:rFonts w:hAnsi="宋体"/>
                <w:bCs/>
                <w:color w:val="000000"/>
                <w:szCs w:val="21"/>
                <w:highlight w:val="none"/>
              </w:rPr>
              <w:t>分值</w:t>
            </w:r>
          </w:p>
        </w:tc>
        <w:tc>
          <w:tcPr>
            <w:tcW w:w="5815" w:type="dxa"/>
            <w:tcBorders>
              <w:tl2br w:val="nil"/>
              <w:tr2bl w:val="nil"/>
            </w:tcBorders>
            <w:noWrap w:val="0"/>
            <w:vAlign w:val="center"/>
          </w:tcPr>
          <w:p>
            <w:pPr>
              <w:pStyle w:val="84"/>
              <w:spacing w:line="240" w:lineRule="auto"/>
              <w:ind w:left="76" w:hanging="4" w:hangingChars="2"/>
              <w:jc w:val="center"/>
              <w:rPr>
                <w:bCs/>
                <w:color w:val="000000"/>
                <w:szCs w:val="21"/>
                <w:highlight w:val="none"/>
              </w:rPr>
            </w:pPr>
            <w:r>
              <w:rPr>
                <w:rFonts w:hAnsi="宋体"/>
                <w:bCs/>
                <w:color w:val="000000"/>
                <w:szCs w:val="21"/>
                <w:highlight w:val="none"/>
              </w:rPr>
              <w:t>主要评审内容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tcBorders>
              <w:tl2br w:val="nil"/>
              <w:tr2bl w:val="nil"/>
            </w:tcBorders>
            <w:noWrap w:val="0"/>
            <w:vAlign w:val="center"/>
          </w:tcPr>
          <w:p>
            <w:pPr>
              <w:pStyle w:val="16"/>
              <w:numPr>
                <w:ilvl w:val="0"/>
                <w:numId w:val="11"/>
              </w:numPr>
              <w:spacing w:after="0" w:line="240" w:lineRule="auto"/>
              <w:ind w:left="0" w:leftChars="0" w:right="0" w:rightChars="0"/>
              <w:rPr>
                <w:color w:val="000000"/>
                <w:szCs w:val="21"/>
                <w:highlight w:val="none"/>
              </w:rPr>
            </w:pPr>
          </w:p>
        </w:tc>
        <w:tc>
          <w:tcPr>
            <w:tcW w:w="2034" w:type="dxa"/>
            <w:tcBorders>
              <w:tl2br w:val="nil"/>
              <w:tr2bl w:val="nil"/>
            </w:tcBorders>
            <w:noWrap w:val="0"/>
            <w:vAlign w:val="center"/>
          </w:tcPr>
          <w:p>
            <w:pPr>
              <w:jc w:val="center"/>
              <w:rPr>
                <w:bCs/>
                <w:color w:val="000000"/>
                <w:sz w:val="21"/>
                <w:szCs w:val="21"/>
                <w:highlight w:val="none"/>
              </w:rPr>
            </w:pPr>
            <w:r>
              <w:rPr>
                <w:rFonts w:hAnsi="宋体"/>
                <w:bCs/>
                <w:color w:val="000000"/>
                <w:sz w:val="21"/>
                <w:szCs w:val="21"/>
                <w:highlight w:val="none"/>
              </w:rPr>
              <w:t>价格</w:t>
            </w:r>
          </w:p>
        </w:tc>
        <w:tc>
          <w:tcPr>
            <w:tcW w:w="850" w:type="dxa"/>
            <w:tcBorders>
              <w:tl2br w:val="nil"/>
              <w:tr2bl w:val="nil"/>
            </w:tcBorders>
            <w:noWrap w:val="0"/>
            <w:vAlign w:val="center"/>
          </w:tcPr>
          <w:p>
            <w:pPr>
              <w:pStyle w:val="84"/>
              <w:spacing w:line="240" w:lineRule="auto"/>
              <w:ind w:left="4" w:leftChars="0" w:right="0" w:rightChars="0" w:hanging="4" w:hangingChars="2"/>
              <w:jc w:val="center"/>
              <w:rPr>
                <w:bCs/>
                <w:color w:val="000000"/>
                <w:szCs w:val="21"/>
                <w:highlight w:val="none"/>
              </w:rPr>
            </w:pPr>
            <w:r>
              <w:rPr>
                <w:bCs/>
                <w:color w:val="000000"/>
                <w:szCs w:val="21"/>
                <w:highlight w:val="none"/>
              </w:rPr>
              <w:t>30</w:t>
            </w:r>
          </w:p>
        </w:tc>
        <w:tc>
          <w:tcPr>
            <w:tcW w:w="5815" w:type="dxa"/>
            <w:tcBorders>
              <w:tl2br w:val="nil"/>
              <w:tr2bl w:val="nil"/>
            </w:tcBorders>
            <w:noWrap w:val="0"/>
            <w:vAlign w:val="center"/>
          </w:tcPr>
          <w:p>
            <w:pPr>
              <w:pStyle w:val="84"/>
              <w:spacing w:before="120" w:beforeLines="50" w:after="120" w:afterLines="50" w:line="240" w:lineRule="auto"/>
              <w:ind w:left="4" w:leftChars="0" w:right="0" w:rightChars="0" w:hanging="4" w:hangingChars="2"/>
              <w:rPr>
                <w:bCs/>
                <w:color w:val="000000"/>
                <w:szCs w:val="21"/>
                <w:highlight w:val="none"/>
              </w:rPr>
            </w:pPr>
            <w:r>
              <w:rPr>
                <w:rFonts w:hAnsi="宋体"/>
                <w:bCs/>
                <w:color w:val="000000"/>
                <w:szCs w:val="21"/>
                <w:highlight w:val="none"/>
              </w:rPr>
              <w:t>以进入详细评审的各投标人的评标价的最低价为评标基准价，价格得分</w:t>
            </w:r>
            <w:r>
              <w:rPr>
                <w:bCs/>
                <w:color w:val="000000"/>
                <w:szCs w:val="21"/>
                <w:highlight w:val="none"/>
              </w:rPr>
              <w:t>=</w:t>
            </w:r>
            <w:r>
              <w:rPr>
                <w:rFonts w:hAnsi="宋体"/>
                <w:bCs/>
                <w:color w:val="000000"/>
                <w:szCs w:val="21"/>
                <w:highlight w:val="none"/>
              </w:rPr>
              <w:t>评标基准价</w:t>
            </w:r>
            <w:r>
              <w:rPr>
                <w:bCs/>
                <w:color w:val="000000"/>
                <w:szCs w:val="21"/>
                <w:highlight w:val="none"/>
              </w:rPr>
              <w:t>/</w:t>
            </w:r>
            <w:r>
              <w:rPr>
                <w:rFonts w:hAnsi="宋体"/>
                <w:bCs/>
                <w:color w:val="000000"/>
                <w:szCs w:val="21"/>
                <w:highlight w:val="none"/>
              </w:rPr>
              <w:t>评标价</w:t>
            </w:r>
            <w:r>
              <w:rPr>
                <w:bCs/>
                <w:color w:val="000000"/>
                <w:szCs w:val="21"/>
                <w:highlight w:val="none"/>
              </w:rPr>
              <w:t>×30</w:t>
            </w:r>
            <w:r>
              <w:rPr>
                <w:rFonts w:hAnsi="宋体"/>
                <w:bCs/>
                <w:color w:val="000000"/>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restart"/>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restart"/>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r>
              <w:rPr>
                <w:rFonts w:hint="eastAsia" w:ascii="宋体" w:hAnsi="宋体" w:cs="宋体"/>
                <w:bCs/>
                <w:color w:val="000000"/>
                <w:sz w:val="21"/>
                <w:szCs w:val="21"/>
                <w:highlight w:val="none"/>
              </w:rPr>
              <w:t>产品的选型和配置</w:t>
            </w:r>
          </w:p>
        </w:tc>
        <w:tc>
          <w:tcPr>
            <w:tcW w:w="850" w:type="dxa"/>
            <w:tcBorders>
              <w:tl2br w:val="nil"/>
              <w:tr2bl w:val="nil"/>
            </w:tcBorders>
            <w:noWrap w:val="0"/>
            <w:vAlign w:val="center"/>
          </w:tcPr>
          <w:p>
            <w:pPr>
              <w:spacing w:line="240" w:lineRule="auto"/>
              <w:ind w:left="420" w:hanging="420" w:hangingChars="200"/>
              <w:jc w:val="center"/>
              <w:rPr>
                <w:rFonts w:hint="eastAsia" w:ascii="宋体" w:hAnsi="宋体" w:eastAsia="宋体" w:cs="宋体"/>
                <w:bCs/>
                <w:color w:val="000000"/>
                <w:sz w:val="21"/>
                <w:szCs w:val="21"/>
                <w:highlight w:val="none"/>
                <w:lang w:val="en-US" w:eastAsia="zh-CN"/>
              </w:rPr>
            </w:pPr>
            <w:r>
              <w:rPr>
                <w:rFonts w:hint="eastAsia" w:ascii="宋体" w:hAnsi="宋体" w:cs="宋体"/>
                <w:bCs/>
                <w:color w:val="000000"/>
                <w:sz w:val="21"/>
                <w:szCs w:val="21"/>
                <w:highlight w:val="none"/>
                <w:lang w:val="en-US" w:eastAsia="zh-CN"/>
              </w:rPr>
              <w:t>2</w:t>
            </w:r>
          </w:p>
        </w:tc>
        <w:tc>
          <w:tcPr>
            <w:tcW w:w="5815" w:type="dxa"/>
            <w:tcBorders>
              <w:tl2br w:val="nil"/>
              <w:tr2bl w:val="nil"/>
            </w:tcBorders>
            <w:noWrap w:val="0"/>
            <w:vAlign w:val="center"/>
          </w:tcPr>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lang w:eastAsia="zh-CN"/>
              </w:rPr>
            </w:pPr>
            <w:r>
              <w:rPr>
                <w:rFonts w:hint="eastAsia" w:ascii="宋体" w:hAnsi="宋体" w:cs="宋体"/>
                <w:bCs/>
                <w:color w:val="000000"/>
                <w:sz w:val="21"/>
                <w:szCs w:val="21"/>
                <w:highlight w:val="none"/>
              </w:rPr>
              <w:t>电机选用情况</w:t>
            </w:r>
            <w:r>
              <w:rPr>
                <w:rFonts w:hint="eastAsia" w:ascii="宋体" w:hAnsi="宋体" w:cs="宋体"/>
                <w:bCs/>
                <w:color w:val="000000"/>
                <w:sz w:val="21"/>
                <w:szCs w:val="21"/>
                <w:highlight w:val="none"/>
                <w:lang w:eastAsia="zh-CN"/>
              </w:rPr>
              <w:t>，</w:t>
            </w:r>
            <w:r>
              <w:rPr>
                <w:rFonts w:hint="eastAsia" w:ascii="宋体" w:hAnsi="宋体" w:cs="宋体"/>
                <w:bCs/>
                <w:color w:val="000000"/>
                <w:highlight w:val="none"/>
              </w:rPr>
              <w:t>根据各投标人的电机相关检测报告</w:t>
            </w:r>
            <w:r>
              <w:rPr>
                <w:rFonts w:hint="eastAsia" w:ascii="宋体" w:hAnsi="宋体" w:cs="宋体"/>
                <w:bCs/>
                <w:color w:val="000000"/>
                <w:highlight w:val="none"/>
                <w:lang w:eastAsia="zh-CN"/>
              </w:rPr>
              <w:t>：</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提供≤32d噪音检测报告认证得2分，大于32dB不得分。</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［有效证明材料为</w:t>
            </w:r>
            <w:r>
              <w:rPr>
                <w:rFonts w:hint="eastAsia" w:ascii="宋体" w:hAnsi="宋体" w:cs="宋体"/>
                <w:bCs/>
                <w:color w:val="000000"/>
                <w:highlight w:val="none"/>
                <w:lang w:eastAsia="zh-CN"/>
              </w:rPr>
              <w:t>检测报告</w:t>
            </w:r>
            <w:r>
              <w:rPr>
                <w:rFonts w:hint="eastAsia" w:ascii="宋体" w:hAnsi="宋体" w:cs="宋体"/>
                <w:bCs/>
                <w:color w:val="000000"/>
                <w:highlight w:val="none"/>
              </w:rPr>
              <w:t>复印件或彩色扫描件并加盖公章］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hint="eastAsia" w:ascii="宋体" w:hAnsi="宋体" w:eastAsia="宋体" w:cs="宋体"/>
                <w:bCs/>
                <w:color w:val="000000"/>
                <w:sz w:val="21"/>
                <w:szCs w:val="21"/>
                <w:highlight w:val="none"/>
                <w:lang w:val="en-US" w:eastAsia="zh-CN"/>
              </w:rPr>
            </w:pPr>
            <w:r>
              <w:rPr>
                <w:rFonts w:hint="eastAsia" w:ascii="宋体" w:hAnsi="宋体" w:cs="宋体"/>
                <w:bCs/>
                <w:color w:val="000000"/>
                <w:sz w:val="21"/>
                <w:szCs w:val="21"/>
                <w:highlight w:val="none"/>
                <w:lang w:val="en-US" w:eastAsia="zh-CN"/>
              </w:rPr>
              <w:t>2</w:t>
            </w:r>
          </w:p>
        </w:tc>
        <w:tc>
          <w:tcPr>
            <w:tcW w:w="5815" w:type="dxa"/>
            <w:tcBorders>
              <w:tl2br w:val="nil"/>
              <w:tr2bl w:val="nil"/>
            </w:tcBorders>
            <w:noWrap w:val="0"/>
            <w:vAlign w:val="center"/>
          </w:tcPr>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lang w:eastAsia="zh-CN"/>
              </w:rPr>
            </w:pPr>
            <w:r>
              <w:rPr>
                <w:rFonts w:hint="eastAsia" w:ascii="宋体" w:hAnsi="宋体" w:cs="宋体"/>
                <w:bCs/>
                <w:color w:val="000000"/>
                <w:sz w:val="21"/>
                <w:szCs w:val="21"/>
                <w:highlight w:val="none"/>
              </w:rPr>
              <w:t>卷管底槽选用情况</w:t>
            </w:r>
            <w:r>
              <w:rPr>
                <w:rFonts w:hint="eastAsia" w:ascii="宋体" w:hAnsi="宋体" w:cs="宋体"/>
                <w:bCs/>
                <w:color w:val="000000"/>
                <w:sz w:val="21"/>
                <w:szCs w:val="21"/>
                <w:highlight w:val="none"/>
                <w:lang w:eastAsia="zh-CN"/>
              </w:rPr>
              <w:t>，</w:t>
            </w:r>
            <w:r>
              <w:rPr>
                <w:rFonts w:hint="eastAsia" w:ascii="宋体" w:hAnsi="宋体" w:cs="宋体"/>
                <w:bCs/>
                <w:color w:val="000000"/>
                <w:highlight w:val="none"/>
              </w:rPr>
              <w:t>根据阳极氧化工业铝型材8622 6063-T5铝合金挤压型材相关检测报告</w:t>
            </w:r>
            <w:r>
              <w:rPr>
                <w:rFonts w:hint="eastAsia" w:ascii="宋体" w:hAnsi="宋体" w:cs="宋体"/>
                <w:bCs/>
                <w:color w:val="000000"/>
                <w:highlight w:val="none"/>
                <w:lang w:eastAsia="zh-CN"/>
              </w:rPr>
              <w:t>：</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lang w:val="en-US" w:eastAsia="zh-CN"/>
              </w:rPr>
            </w:pPr>
            <w:r>
              <w:rPr>
                <w:rFonts w:hint="eastAsia" w:ascii="宋体" w:hAnsi="宋体" w:cs="宋体"/>
                <w:bCs/>
                <w:color w:val="000000"/>
                <w:highlight w:val="none"/>
              </w:rPr>
              <w:t>提供力学性能及化学成分检测报告（GB/T6892-2015）合格得</w:t>
            </w:r>
            <w:r>
              <w:rPr>
                <w:rFonts w:hint="eastAsia" w:ascii="宋体" w:hAnsi="宋体" w:cs="宋体"/>
                <w:bCs/>
                <w:color w:val="000000"/>
                <w:highlight w:val="none"/>
                <w:lang w:val="en-US" w:eastAsia="zh-CN"/>
              </w:rPr>
              <w:t>2</w:t>
            </w:r>
            <w:r>
              <w:rPr>
                <w:rFonts w:hint="eastAsia" w:ascii="宋体" w:hAnsi="宋体" w:cs="宋体"/>
                <w:bCs/>
                <w:color w:val="000000"/>
                <w:highlight w:val="none"/>
              </w:rPr>
              <w:t>分</w:t>
            </w:r>
            <w:r>
              <w:rPr>
                <w:rFonts w:hint="eastAsia" w:ascii="宋体" w:hAnsi="宋体" w:cs="宋体"/>
                <w:bCs/>
                <w:color w:val="000000"/>
                <w:highlight w:val="none"/>
                <w:lang w:eastAsia="zh-CN"/>
              </w:rPr>
              <w:t>，不提供或不合格的得</w:t>
            </w:r>
            <w:r>
              <w:rPr>
                <w:rFonts w:hint="eastAsia" w:ascii="宋体" w:hAnsi="宋体" w:cs="宋体"/>
                <w:bCs/>
                <w:color w:val="000000"/>
                <w:highlight w:val="none"/>
                <w:lang w:val="en-US" w:eastAsia="zh-CN"/>
              </w:rPr>
              <w:t>0分；</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［有效证明材料为检测报告复印件或彩色扫描件并加盖公章］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hint="eastAsia" w:ascii="宋体" w:hAnsi="宋体" w:eastAsia="宋体" w:cs="宋体"/>
                <w:bCs/>
                <w:color w:val="000000"/>
                <w:sz w:val="21"/>
                <w:szCs w:val="21"/>
                <w:highlight w:val="none"/>
                <w:lang w:val="en-US" w:eastAsia="zh-CN"/>
              </w:rPr>
            </w:pPr>
            <w:r>
              <w:rPr>
                <w:rFonts w:hint="eastAsia" w:ascii="宋体" w:hAnsi="宋体" w:cs="宋体"/>
                <w:bCs/>
                <w:color w:val="000000"/>
                <w:sz w:val="21"/>
                <w:szCs w:val="21"/>
                <w:highlight w:val="none"/>
                <w:lang w:val="en-US" w:eastAsia="zh-CN"/>
              </w:rPr>
              <w:t>5</w:t>
            </w:r>
          </w:p>
        </w:tc>
        <w:tc>
          <w:tcPr>
            <w:tcW w:w="5815" w:type="dxa"/>
            <w:tcBorders>
              <w:tl2br w:val="nil"/>
              <w:tr2bl w:val="nil"/>
            </w:tcBorders>
            <w:noWrap w:val="0"/>
            <w:vAlign w:val="center"/>
          </w:tcPr>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lang w:eastAsia="zh-CN"/>
              </w:rPr>
            </w:pPr>
            <w:r>
              <w:rPr>
                <w:rFonts w:hint="eastAsia" w:ascii="宋体" w:hAnsi="宋体" w:cs="宋体"/>
                <w:bCs/>
                <w:color w:val="000000"/>
                <w:sz w:val="21"/>
                <w:szCs w:val="21"/>
                <w:highlight w:val="none"/>
              </w:rPr>
              <w:t>卷帘面料选用情况</w:t>
            </w:r>
            <w:r>
              <w:rPr>
                <w:rFonts w:hint="eastAsia" w:ascii="宋体" w:hAnsi="宋体" w:cs="宋体"/>
                <w:bCs/>
                <w:color w:val="000000"/>
                <w:sz w:val="21"/>
                <w:szCs w:val="21"/>
                <w:highlight w:val="none"/>
                <w:lang w:eastAsia="zh-CN"/>
              </w:rPr>
              <w:t>，</w:t>
            </w:r>
            <w:r>
              <w:rPr>
                <w:rFonts w:hint="eastAsia" w:ascii="宋体" w:hAnsi="宋体" w:cs="宋体"/>
                <w:bCs/>
                <w:color w:val="000000"/>
                <w:highlight w:val="none"/>
              </w:rPr>
              <w:t>根据卷帘面料相关检测报告</w:t>
            </w:r>
            <w:r>
              <w:rPr>
                <w:rFonts w:hint="eastAsia" w:ascii="宋体" w:hAnsi="宋体" w:cs="宋体"/>
                <w:bCs/>
                <w:color w:val="000000"/>
                <w:highlight w:val="none"/>
                <w:lang w:eastAsia="zh-CN"/>
              </w:rPr>
              <w:t>：</w:t>
            </w:r>
          </w:p>
          <w:p>
            <w:pPr>
              <w:pStyle w:val="84"/>
              <w:keepNext/>
              <w:keepLines/>
              <w:widowControl/>
              <w:numPr>
                <w:ilvl w:val="0"/>
                <w:numId w:val="12"/>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提供阻燃等级</w:t>
            </w:r>
            <w:r>
              <w:rPr>
                <w:rFonts w:hint="eastAsia" w:ascii="宋体" w:hAnsi="宋体" w:cs="宋体"/>
                <w:bCs/>
                <w:color w:val="000000"/>
                <w:highlight w:val="none"/>
                <w:lang w:eastAsia="zh-CN"/>
              </w:rPr>
              <w:t>不低于</w:t>
            </w:r>
            <w:r>
              <w:rPr>
                <w:rFonts w:hint="eastAsia" w:ascii="宋体" w:hAnsi="宋体" w:cs="宋体"/>
                <w:bCs/>
                <w:color w:val="000000"/>
                <w:highlight w:val="none"/>
              </w:rPr>
              <w:t>B1级、氧指数≥32检测报告（GB8624-2012）得1分</w:t>
            </w:r>
            <w:r>
              <w:rPr>
                <w:rFonts w:hint="eastAsia" w:ascii="宋体" w:hAnsi="宋体" w:cs="宋体"/>
                <w:bCs/>
                <w:color w:val="000000"/>
                <w:highlight w:val="none"/>
                <w:lang w:eastAsia="zh-CN"/>
              </w:rPr>
              <w:t>，不提供或不合格的得0分</w:t>
            </w:r>
            <w:r>
              <w:rPr>
                <w:rFonts w:hint="eastAsia" w:ascii="宋体" w:hAnsi="宋体" w:cs="宋体"/>
                <w:bCs/>
                <w:color w:val="000000"/>
                <w:highlight w:val="none"/>
              </w:rPr>
              <w:t>；</w:t>
            </w:r>
          </w:p>
          <w:p>
            <w:pPr>
              <w:pStyle w:val="84"/>
              <w:keepNext/>
              <w:keepLines/>
              <w:widowControl/>
              <w:numPr>
                <w:ilvl w:val="0"/>
                <w:numId w:val="12"/>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耐光色牢度≥5级（GB/T 8427-2008）检测报告得1分</w:t>
            </w:r>
            <w:r>
              <w:rPr>
                <w:rFonts w:hint="eastAsia" w:ascii="宋体" w:hAnsi="宋体" w:cs="宋体"/>
                <w:bCs/>
                <w:color w:val="000000"/>
                <w:highlight w:val="none"/>
                <w:lang w:eastAsia="zh-CN"/>
              </w:rPr>
              <w:t>，不提供或不合格的得0分</w:t>
            </w:r>
            <w:r>
              <w:rPr>
                <w:rFonts w:hint="eastAsia" w:ascii="宋体" w:hAnsi="宋体" w:cs="宋体"/>
                <w:bCs/>
                <w:color w:val="000000"/>
                <w:highlight w:val="none"/>
              </w:rPr>
              <w:t>；</w:t>
            </w:r>
          </w:p>
          <w:p>
            <w:pPr>
              <w:pStyle w:val="84"/>
              <w:keepNext/>
              <w:keepLines/>
              <w:widowControl/>
              <w:numPr>
                <w:ilvl w:val="0"/>
                <w:numId w:val="12"/>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抗菌检测报告（GB/T 31402-2015/ISO 22196：2007）合格得1分</w:t>
            </w:r>
            <w:r>
              <w:rPr>
                <w:rFonts w:hint="eastAsia" w:ascii="宋体" w:hAnsi="宋体" w:cs="宋体"/>
                <w:bCs/>
                <w:color w:val="000000"/>
                <w:highlight w:val="none"/>
                <w:lang w:eastAsia="zh-CN"/>
              </w:rPr>
              <w:t>，不提供或不合格的得0分</w:t>
            </w:r>
            <w:r>
              <w:rPr>
                <w:rFonts w:hint="eastAsia" w:ascii="宋体" w:hAnsi="宋体" w:cs="宋体"/>
                <w:bCs/>
                <w:color w:val="000000"/>
                <w:highlight w:val="none"/>
              </w:rPr>
              <w:t>；</w:t>
            </w:r>
          </w:p>
          <w:p>
            <w:pPr>
              <w:pStyle w:val="84"/>
              <w:keepNext/>
              <w:keepLines/>
              <w:widowControl/>
              <w:numPr>
                <w:ilvl w:val="0"/>
                <w:numId w:val="12"/>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防霉检测报告（ASTM G21-</w:t>
            </w:r>
            <w:r>
              <w:rPr>
                <w:rFonts w:hint="eastAsia" w:ascii="宋体" w:hAnsi="宋体" w:cs="宋体"/>
                <w:bCs/>
                <w:color w:val="000000"/>
                <w:highlight w:val="none"/>
                <w:lang w:val="en-US" w:eastAsia="zh-CN"/>
              </w:rPr>
              <w:t>20</w:t>
            </w:r>
            <w:r>
              <w:rPr>
                <w:rFonts w:hint="eastAsia" w:ascii="宋体" w:hAnsi="宋体" w:cs="宋体"/>
                <w:bCs/>
                <w:color w:val="000000"/>
                <w:highlight w:val="none"/>
              </w:rPr>
              <w:t>15）合格得1分</w:t>
            </w:r>
            <w:r>
              <w:rPr>
                <w:rFonts w:hint="eastAsia" w:ascii="宋体" w:hAnsi="宋体" w:cs="宋体"/>
                <w:bCs/>
                <w:color w:val="000000"/>
                <w:highlight w:val="none"/>
                <w:lang w:eastAsia="zh-CN"/>
              </w:rPr>
              <w:t>，不提供或不合格的得0分</w:t>
            </w:r>
            <w:r>
              <w:rPr>
                <w:rFonts w:hint="eastAsia" w:ascii="宋体" w:hAnsi="宋体" w:cs="宋体"/>
                <w:bCs/>
                <w:color w:val="000000"/>
                <w:highlight w:val="none"/>
              </w:rPr>
              <w:t>；</w:t>
            </w:r>
          </w:p>
          <w:p>
            <w:pPr>
              <w:pStyle w:val="84"/>
              <w:keepNext/>
              <w:keepLines/>
              <w:widowControl/>
              <w:numPr>
                <w:ilvl w:val="0"/>
                <w:numId w:val="12"/>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甲醛检测报告（GB/T2912.1-2009）合格得1分</w:t>
            </w:r>
            <w:r>
              <w:rPr>
                <w:rFonts w:hint="eastAsia" w:ascii="宋体" w:hAnsi="宋体" w:cs="宋体"/>
                <w:bCs/>
                <w:color w:val="000000"/>
                <w:highlight w:val="none"/>
                <w:lang w:eastAsia="zh-CN"/>
              </w:rPr>
              <w:t>，不提供或不合格的得0分</w:t>
            </w:r>
            <w:r>
              <w:rPr>
                <w:rFonts w:hint="eastAsia" w:ascii="宋体" w:hAnsi="宋体" w:cs="宋体"/>
                <w:bCs/>
                <w:color w:val="000000"/>
                <w:highlight w:val="none"/>
              </w:rPr>
              <w:t>。</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［有效证明材料为检测报告复印件或彩色扫描件并加盖公章］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hint="eastAsia" w:ascii="宋体" w:hAnsi="宋体" w:eastAsia="宋体" w:cs="宋体"/>
                <w:bCs/>
                <w:color w:val="000000"/>
                <w:sz w:val="21"/>
                <w:szCs w:val="21"/>
                <w:highlight w:val="none"/>
                <w:lang w:val="en-US" w:eastAsia="zh-CN"/>
              </w:rPr>
            </w:pPr>
            <w:r>
              <w:rPr>
                <w:rFonts w:hint="eastAsia" w:ascii="宋体" w:hAnsi="宋体" w:cs="宋体"/>
                <w:bCs/>
                <w:color w:val="000000"/>
                <w:sz w:val="21"/>
                <w:szCs w:val="21"/>
                <w:highlight w:val="none"/>
                <w:lang w:val="en-US" w:eastAsia="zh-CN"/>
              </w:rPr>
              <w:t>5</w:t>
            </w:r>
          </w:p>
        </w:tc>
        <w:tc>
          <w:tcPr>
            <w:tcW w:w="5815" w:type="dxa"/>
            <w:tcBorders>
              <w:tl2br w:val="nil"/>
              <w:tr2bl w:val="nil"/>
            </w:tcBorders>
            <w:noWrap w:val="0"/>
            <w:vAlign w:val="center"/>
          </w:tcPr>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lang w:eastAsia="zh-CN"/>
              </w:rPr>
            </w:pPr>
            <w:r>
              <w:rPr>
                <w:rFonts w:hint="eastAsia" w:ascii="宋体" w:hAnsi="宋体" w:cs="宋体"/>
                <w:bCs/>
                <w:color w:val="000000"/>
                <w:sz w:val="21"/>
                <w:szCs w:val="21"/>
                <w:highlight w:val="none"/>
              </w:rPr>
              <w:t>布帘面料选用情况</w:t>
            </w:r>
            <w:r>
              <w:rPr>
                <w:rFonts w:hint="eastAsia" w:ascii="宋体" w:hAnsi="宋体" w:cs="宋体"/>
                <w:bCs/>
                <w:color w:val="000000"/>
                <w:sz w:val="21"/>
                <w:szCs w:val="21"/>
                <w:highlight w:val="none"/>
                <w:lang w:eastAsia="zh-CN"/>
              </w:rPr>
              <w:t>，</w:t>
            </w:r>
            <w:r>
              <w:rPr>
                <w:rFonts w:hint="eastAsia" w:ascii="宋体" w:hAnsi="宋体" w:cs="宋体"/>
                <w:bCs/>
                <w:color w:val="000000"/>
                <w:highlight w:val="none"/>
              </w:rPr>
              <w:t>根据布帘面料相关检测报告</w:t>
            </w:r>
            <w:r>
              <w:rPr>
                <w:rFonts w:hint="eastAsia" w:ascii="宋体" w:hAnsi="宋体" w:cs="宋体"/>
                <w:bCs/>
                <w:color w:val="000000"/>
                <w:highlight w:val="none"/>
                <w:lang w:eastAsia="zh-CN"/>
              </w:rPr>
              <w:t>：</w:t>
            </w:r>
          </w:p>
          <w:p>
            <w:pPr>
              <w:pStyle w:val="84"/>
              <w:keepNext/>
              <w:keepLines/>
              <w:widowControl/>
              <w:numPr>
                <w:ilvl w:val="0"/>
                <w:numId w:val="13"/>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提供阻燃等级B1级、氧指数≥32检测报告（GB8624-2012）得1分，不提供或不合格的得0分；</w:t>
            </w:r>
          </w:p>
          <w:p>
            <w:pPr>
              <w:pStyle w:val="84"/>
              <w:keepNext/>
              <w:keepLines/>
              <w:widowControl/>
              <w:numPr>
                <w:ilvl w:val="0"/>
                <w:numId w:val="13"/>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耐光色牢度≥5级（GB/T 8427-2008）检测报告得1分，不提供或不合格的得0分；</w:t>
            </w:r>
          </w:p>
          <w:p>
            <w:pPr>
              <w:pStyle w:val="84"/>
              <w:keepNext/>
              <w:keepLines/>
              <w:widowControl/>
              <w:numPr>
                <w:ilvl w:val="0"/>
                <w:numId w:val="13"/>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抗菌检测报告（GB/T 31402-2015/ISO 22196：2007）合格得1分，不提供或不合格的得0分；</w:t>
            </w:r>
          </w:p>
          <w:p>
            <w:pPr>
              <w:pStyle w:val="84"/>
              <w:keepNext/>
              <w:keepLines/>
              <w:widowControl/>
              <w:numPr>
                <w:ilvl w:val="0"/>
                <w:numId w:val="13"/>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防霉检测报告（ASTM G21-</w:t>
            </w:r>
            <w:r>
              <w:rPr>
                <w:rFonts w:hint="eastAsia" w:ascii="宋体" w:hAnsi="宋体" w:cs="宋体"/>
                <w:bCs/>
                <w:color w:val="000000"/>
                <w:highlight w:val="none"/>
                <w:lang w:val="en-US" w:eastAsia="zh-CN"/>
              </w:rPr>
              <w:t>20</w:t>
            </w:r>
            <w:r>
              <w:rPr>
                <w:rFonts w:hint="eastAsia" w:ascii="宋体" w:hAnsi="宋体" w:cs="宋体"/>
                <w:bCs/>
                <w:color w:val="000000"/>
                <w:highlight w:val="none"/>
              </w:rPr>
              <w:t>15）合格得1分，不提供或不合格的得0分；</w:t>
            </w:r>
          </w:p>
          <w:p>
            <w:pPr>
              <w:pStyle w:val="84"/>
              <w:keepNext/>
              <w:keepLines/>
              <w:widowControl/>
              <w:numPr>
                <w:ilvl w:val="0"/>
                <w:numId w:val="13"/>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甲醛检测报告（GB/T2912.1-2009）合格得1分，不提供或不合格的得0分。</w:t>
            </w:r>
          </w:p>
          <w:p>
            <w:pPr>
              <w:pStyle w:val="84"/>
              <w:keepNext/>
              <w:keepLines/>
              <w:widowControl/>
              <w:numPr>
                <w:ilvl w:val="0"/>
                <w:numId w:val="0"/>
              </w:numPr>
              <w:spacing w:before="120" w:beforeLines="50" w:after="120" w:afterLines="50" w:line="240" w:lineRule="auto"/>
              <w:ind w:left="0" w:leftChars="0" w:right="0" w:rightChars="0" w:firstLine="0"/>
              <w:rPr>
                <w:rFonts w:hint="eastAsia" w:ascii="宋体" w:hAnsi="宋体" w:cs="宋体"/>
                <w:bCs/>
                <w:color w:val="000000"/>
                <w:highlight w:val="none"/>
              </w:rPr>
            </w:pPr>
            <w:r>
              <w:rPr>
                <w:rFonts w:hint="eastAsia" w:ascii="宋体" w:hAnsi="宋体" w:cs="宋体"/>
                <w:bCs/>
                <w:color w:val="000000"/>
                <w:highlight w:val="none"/>
              </w:rPr>
              <w:t>［有效证明材料为检测报告复印件或彩色扫描件并加盖公章］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restart"/>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restart"/>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r>
              <w:rPr>
                <w:rFonts w:hint="eastAsia" w:ascii="宋体" w:hAnsi="宋体" w:cs="宋体"/>
                <w:bCs/>
                <w:color w:val="000000"/>
                <w:sz w:val="21"/>
                <w:szCs w:val="21"/>
                <w:highlight w:val="none"/>
              </w:rPr>
              <w:t>对投标小样的评审</w:t>
            </w:r>
          </w:p>
        </w:tc>
        <w:tc>
          <w:tcPr>
            <w:tcW w:w="850" w:type="dxa"/>
            <w:tcBorders>
              <w:tl2br w:val="nil"/>
              <w:tr2bl w:val="nil"/>
            </w:tcBorders>
            <w:noWrap w:val="0"/>
            <w:vAlign w:val="center"/>
          </w:tcPr>
          <w:p>
            <w:pPr>
              <w:spacing w:line="240" w:lineRule="auto"/>
              <w:ind w:left="420" w:hanging="420" w:hangingChars="200"/>
              <w:jc w:val="center"/>
              <w:rPr>
                <w:rFonts w:ascii="宋体" w:hAnsi="宋体" w:cs="宋体"/>
                <w:bCs/>
                <w:color w:val="000000"/>
                <w:sz w:val="21"/>
                <w:szCs w:val="21"/>
                <w:highlight w:val="none"/>
              </w:rPr>
            </w:pPr>
            <w:r>
              <w:rPr>
                <w:rFonts w:hint="eastAsia" w:ascii="宋体" w:hAnsi="宋体" w:cs="宋体"/>
                <w:bCs/>
                <w:color w:val="000000"/>
                <w:sz w:val="21"/>
                <w:szCs w:val="21"/>
                <w:highlight w:val="none"/>
              </w:rPr>
              <w:t>5</w:t>
            </w:r>
          </w:p>
        </w:tc>
        <w:tc>
          <w:tcPr>
            <w:tcW w:w="5815" w:type="dxa"/>
            <w:tcBorders>
              <w:tl2br w:val="nil"/>
              <w:tr2bl w:val="nil"/>
            </w:tcBorders>
            <w:noWrap w:val="0"/>
            <w:vAlign w:val="center"/>
          </w:tcPr>
          <w:p>
            <w:pPr>
              <w:pStyle w:val="84"/>
              <w:widowControl/>
              <w:spacing w:before="120" w:beforeLines="50" w:after="120" w:afterLines="50" w:line="240" w:lineRule="auto"/>
              <w:rPr>
                <w:rFonts w:hint="eastAsia"/>
                <w:bCs/>
                <w:color w:val="000000"/>
                <w:szCs w:val="21"/>
                <w:highlight w:val="none"/>
              </w:rPr>
            </w:pPr>
            <w:r>
              <w:rPr>
                <w:rFonts w:hint="eastAsia"/>
                <w:bCs/>
                <w:color w:val="000000"/>
                <w:szCs w:val="21"/>
                <w:highlight w:val="none"/>
              </w:rPr>
              <w:t>布料小样（含手动开合帘布帘、手动卷帘、电动卷帘等本项目所涉及的所有产品），30×30cm（各1块）：</w:t>
            </w:r>
          </w:p>
          <w:p>
            <w:pPr>
              <w:pStyle w:val="84"/>
              <w:widowControl/>
              <w:numPr>
                <w:ilvl w:val="0"/>
                <w:numId w:val="14"/>
              </w:numPr>
              <w:spacing w:before="120" w:beforeLines="50" w:after="120" w:afterLines="50" w:line="240" w:lineRule="auto"/>
              <w:ind w:leftChars="0" w:right="0" w:rightChars="0"/>
              <w:rPr>
                <w:bCs/>
                <w:color w:val="000000"/>
                <w:szCs w:val="21"/>
                <w:highlight w:val="none"/>
              </w:rPr>
            </w:pPr>
            <w:r>
              <w:rPr>
                <w:bCs/>
                <w:color w:val="000000"/>
                <w:highlight w:val="none"/>
              </w:rPr>
              <w:t>实物小样总体质量是否可靠，是否体现出良好的技术或生产水平</w:t>
            </w:r>
            <w:r>
              <w:rPr>
                <w:rFonts w:hint="eastAsia"/>
                <w:bCs/>
                <w:color w:val="000000"/>
                <w:highlight w:val="none"/>
              </w:rPr>
              <w:t>，</w:t>
            </w:r>
            <w:r>
              <w:rPr>
                <w:bCs/>
                <w:color w:val="000000"/>
                <w:highlight w:val="none"/>
              </w:rPr>
              <w:t>优于招标文件要求的，得</w:t>
            </w:r>
            <w:r>
              <w:rPr>
                <w:rFonts w:hint="eastAsia"/>
                <w:bCs/>
                <w:color w:val="000000"/>
                <w:highlight w:val="none"/>
              </w:rPr>
              <w:t>5分</w:t>
            </w:r>
            <w:r>
              <w:rPr>
                <w:bCs/>
                <w:color w:val="000000"/>
                <w:highlight w:val="none"/>
              </w:rPr>
              <w:t>。</w:t>
            </w:r>
          </w:p>
          <w:p>
            <w:pPr>
              <w:pStyle w:val="84"/>
              <w:widowControl/>
              <w:numPr>
                <w:ilvl w:val="0"/>
                <w:numId w:val="14"/>
              </w:numPr>
              <w:spacing w:before="120" w:beforeLines="50" w:after="120" w:afterLines="50" w:line="240" w:lineRule="auto"/>
              <w:ind w:leftChars="0" w:right="0" w:rightChars="0"/>
              <w:rPr>
                <w:bCs/>
                <w:color w:val="000000"/>
                <w:szCs w:val="21"/>
                <w:highlight w:val="none"/>
              </w:rPr>
            </w:pPr>
            <w:r>
              <w:rPr>
                <w:rFonts w:hint="eastAsia"/>
                <w:bCs/>
                <w:color w:val="000000"/>
                <w:szCs w:val="21"/>
                <w:highlight w:val="none"/>
              </w:rPr>
              <w:t>实物小样总体质量是否可靠，是否体现出良好的技术或生产水平，满足招标文件要求的，得</w:t>
            </w:r>
            <w:r>
              <w:rPr>
                <w:bCs/>
                <w:color w:val="000000"/>
                <w:szCs w:val="21"/>
                <w:highlight w:val="none"/>
              </w:rPr>
              <w:t>3</w:t>
            </w:r>
            <w:r>
              <w:rPr>
                <w:rFonts w:hint="eastAsia"/>
                <w:bCs/>
                <w:color w:val="000000"/>
                <w:szCs w:val="21"/>
                <w:highlight w:val="none"/>
              </w:rPr>
              <w:t>分。</w:t>
            </w:r>
          </w:p>
          <w:p>
            <w:pPr>
              <w:pStyle w:val="84"/>
              <w:widowControl/>
              <w:numPr>
                <w:ilvl w:val="0"/>
                <w:numId w:val="14"/>
              </w:numPr>
              <w:spacing w:before="120" w:beforeLines="50" w:after="120" w:afterLines="50" w:line="240" w:lineRule="auto"/>
              <w:ind w:leftChars="0" w:right="0" w:rightChars="0"/>
              <w:rPr>
                <w:bCs/>
                <w:color w:val="000000"/>
                <w:szCs w:val="21"/>
                <w:highlight w:val="none"/>
              </w:rPr>
            </w:pPr>
            <w:r>
              <w:rPr>
                <w:rFonts w:hint="eastAsia" w:ascii="宋体" w:hAnsi="宋体"/>
                <w:color w:val="000000"/>
                <w:szCs w:val="21"/>
                <w:highlight w:val="none"/>
              </w:rPr>
              <w:t>提供实物小样，但不满足招标文件要求的，得</w:t>
            </w:r>
            <w:r>
              <w:rPr>
                <w:rFonts w:ascii="宋体" w:hAnsi="宋体"/>
                <w:color w:val="000000"/>
                <w:szCs w:val="21"/>
                <w:highlight w:val="none"/>
              </w:rPr>
              <w:t>1</w:t>
            </w:r>
            <w:r>
              <w:rPr>
                <w:rFonts w:hint="eastAsia" w:ascii="宋体" w:hAnsi="宋体"/>
                <w:color w:val="000000"/>
                <w:szCs w:val="21"/>
                <w:highlight w:val="none"/>
              </w:rPr>
              <w:t>分。</w:t>
            </w:r>
          </w:p>
          <w:p>
            <w:pPr>
              <w:pStyle w:val="84"/>
              <w:widowControl/>
              <w:spacing w:before="120" w:beforeLines="50" w:after="120" w:afterLines="50" w:line="240" w:lineRule="auto"/>
              <w:ind w:left="0" w:leftChars="0" w:right="0" w:rightChars="0"/>
              <w:rPr>
                <w:rFonts w:hint="eastAsia" w:ascii="宋体" w:hAnsi="宋体" w:cs="宋体"/>
                <w:bCs/>
                <w:color w:val="000000"/>
                <w:highlight w:val="none"/>
              </w:rPr>
            </w:pPr>
            <w:r>
              <w:rPr>
                <w:rFonts w:hint="eastAsia"/>
                <w:bCs/>
                <w:color w:val="000000"/>
                <w:szCs w:val="21"/>
                <w:highlight w:val="none"/>
              </w:rPr>
              <w:t>未提供实物小样或提供实物小样不全，则此项得0分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ascii="宋体" w:hAnsi="宋体" w:cs="宋体"/>
                <w:bCs/>
                <w:color w:val="000000"/>
                <w:sz w:val="21"/>
                <w:szCs w:val="21"/>
                <w:highlight w:val="none"/>
              </w:rPr>
            </w:pPr>
            <w:r>
              <w:rPr>
                <w:rFonts w:hint="eastAsia" w:ascii="宋体" w:hAnsi="宋体" w:cs="宋体"/>
                <w:bCs/>
                <w:color w:val="000000"/>
                <w:sz w:val="21"/>
                <w:szCs w:val="21"/>
                <w:highlight w:val="none"/>
              </w:rPr>
              <w:t>5</w:t>
            </w:r>
          </w:p>
        </w:tc>
        <w:tc>
          <w:tcPr>
            <w:tcW w:w="5815" w:type="dxa"/>
            <w:tcBorders>
              <w:tl2br w:val="nil"/>
              <w:tr2bl w:val="nil"/>
            </w:tcBorders>
            <w:noWrap w:val="0"/>
            <w:vAlign w:val="center"/>
          </w:tcPr>
          <w:p>
            <w:pPr>
              <w:pStyle w:val="84"/>
              <w:spacing w:before="120" w:beforeLines="50" w:after="120" w:afterLines="50"/>
              <w:rPr>
                <w:rFonts w:hint="eastAsia"/>
                <w:bCs/>
                <w:color w:val="000000"/>
                <w:szCs w:val="21"/>
                <w:highlight w:val="none"/>
              </w:rPr>
            </w:pPr>
            <w:r>
              <w:rPr>
                <w:rFonts w:hint="eastAsia"/>
                <w:bCs/>
                <w:color w:val="000000"/>
                <w:szCs w:val="21"/>
                <w:highlight w:val="none"/>
              </w:rPr>
              <w:t>开合帘轨道小样，</w:t>
            </w:r>
            <w:r>
              <w:rPr>
                <w:bCs/>
                <w:color w:val="000000"/>
                <w:szCs w:val="21"/>
                <w:highlight w:val="none"/>
              </w:rPr>
              <w:t>0.6</w:t>
            </w:r>
            <w:r>
              <w:rPr>
                <w:rFonts w:hint="eastAsia"/>
                <w:bCs/>
                <w:color w:val="000000"/>
                <w:szCs w:val="21"/>
                <w:highlight w:val="none"/>
              </w:rPr>
              <w:t>米（1个）：</w:t>
            </w:r>
          </w:p>
          <w:p>
            <w:pPr>
              <w:pStyle w:val="84"/>
              <w:widowControl/>
              <w:numPr>
                <w:ilvl w:val="0"/>
                <w:numId w:val="15"/>
              </w:numPr>
              <w:spacing w:before="120" w:beforeLines="50" w:after="120" w:afterLines="50" w:line="240" w:lineRule="auto"/>
              <w:ind w:leftChars="0" w:right="0" w:rightChars="0"/>
              <w:rPr>
                <w:bCs/>
                <w:color w:val="000000"/>
                <w:szCs w:val="21"/>
                <w:highlight w:val="none"/>
              </w:rPr>
            </w:pPr>
            <w:r>
              <w:rPr>
                <w:bCs/>
                <w:color w:val="000000"/>
                <w:highlight w:val="none"/>
              </w:rPr>
              <w:t>实物小样总体质量是否可靠，是否体现出良好的技术或生产水平</w:t>
            </w:r>
            <w:r>
              <w:rPr>
                <w:rFonts w:hint="eastAsia"/>
                <w:bCs/>
                <w:color w:val="000000"/>
                <w:highlight w:val="none"/>
              </w:rPr>
              <w:t>，</w:t>
            </w:r>
            <w:r>
              <w:rPr>
                <w:bCs/>
                <w:color w:val="000000"/>
                <w:highlight w:val="none"/>
              </w:rPr>
              <w:t>优于招标文件要求的，得</w:t>
            </w:r>
            <w:r>
              <w:rPr>
                <w:rFonts w:hint="eastAsia"/>
                <w:bCs/>
                <w:color w:val="000000"/>
                <w:highlight w:val="none"/>
              </w:rPr>
              <w:t>5分</w:t>
            </w:r>
            <w:r>
              <w:rPr>
                <w:bCs/>
                <w:color w:val="000000"/>
                <w:highlight w:val="none"/>
              </w:rPr>
              <w:t>。</w:t>
            </w:r>
          </w:p>
          <w:p>
            <w:pPr>
              <w:pStyle w:val="84"/>
              <w:widowControl/>
              <w:numPr>
                <w:ilvl w:val="0"/>
                <w:numId w:val="15"/>
              </w:numPr>
              <w:spacing w:before="120" w:beforeLines="50" w:after="120" w:afterLines="50" w:line="240" w:lineRule="auto"/>
              <w:ind w:leftChars="0" w:right="0" w:rightChars="0"/>
              <w:rPr>
                <w:bCs/>
                <w:color w:val="000000"/>
                <w:szCs w:val="21"/>
                <w:highlight w:val="none"/>
              </w:rPr>
            </w:pPr>
            <w:r>
              <w:rPr>
                <w:rFonts w:hint="eastAsia"/>
                <w:bCs/>
                <w:color w:val="000000"/>
                <w:szCs w:val="21"/>
                <w:highlight w:val="none"/>
              </w:rPr>
              <w:t>实物小样总体质量是否可靠，是否体现出良好的技术或生产水平，满足招标文件要求的，得</w:t>
            </w:r>
            <w:r>
              <w:rPr>
                <w:bCs/>
                <w:color w:val="000000"/>
                <w:szCs w:val="21"/>
                <w:highlight w:val="none"/>
              </w:rPr>
              <w:t>3</w:t>
            </w:r>
            <w:r>
              <w:rPr>
                <w:rFonts w:hint="eastAsia"/>
                <w:bCs/>
                <w:color w:val="000000"/>
                <w:szCs w:val="21"/>
                <w:highlight w:val="none"/>
              </w:rPr>
              <w:t>分。</w:t>
            </w:r>
          </w:p>
          <w:p>
            <w:pPr>
              <w:pStyle w:val="84"/>
              <w:widowControl/>
              <w:numPr>
                <w:ilvl w:val="0"/>
                <w:numId w:val="15"/>
              </w:numPr>
              <w:spacing w:before="120" w:beforeLines="50" w:after="120" w:afterLines="50" w:line="240" w:lineRule="auto"/>
              <w:ind w:leftChars="0" w:right="0" w:rightChars="0"/>
              <w:rPr>
                <w:bCs/>
                <w:color w:val="000000"/>
                <w:szCs w:val="21"/>
                <w:highlight w:val="none"/>
              </w:rPr>
            </w:pPr>
            <w:r>
              <w:rPr>
                <w:rFonts w:hint="eastAsia" w:ascii="宋体" w:hAnsi="宋体"/>
                <w:color w:val="000000"/>
                <w:szCs w:val="21"/>
                <w:highlight w:val="none"/>
              </w:rPr>
              <w:t>提供实物小样，但不满足招标文件要求的，得</w:t>
            </w:r>
            <w:r>
              <w:rPr>
                <w:rFonts w:ascii="宋体" w:hAnsi="宋体"/>
                <w:color w:val="000000"/>
                <w:szCs w:val="21"/>
                <w:highlight w:val="none"/>
              </w:rPr>
              <w:t>1</w:t>
            </w:r>
            <w:r>
              <w:rPr>
                <w:rFonts w:hint="eastAsia" w:ascii="宋体" w:hAnsi="宋体"/>
                <w:color w:val="000000"/>
                <w:szCs w:val="21"/>
                <w:highlight w:val="none"/>
              </w:rPr>
              <w:t>分。</w:t>
            </w:r>
          </w:p>
          <w:p>
            <w:pPr>
              <w:pStyle w:val="84"/>
              <w:keepNext/>
              <w:keepLines/>
              <w:widowControl/>
              <w:spacing w:before="120" w:beforeLines="50" w:after="120" w:afterLines="50" w:line="240" w:lineRule="auto"/>
              <w:ind w:left="0" w:leftChars="0" w:right="0" w:rightChars="0"/>
              <w:rPr>
                <w:rFonts w:hint="eastAsia"/>
                <w:bCs/>
                <w:color w:val="000000"/>
                <w:szCs w:val="21"/>
                <w:highlight w:val="none"/>
              </w:rPr>
            </w:pPr>
            <w:r>
              <w:rPr>
                <w:rFonts w:hint="eastAsia"/>
                <w:bCs/>
                <w:color w:val="000000"/>
                <w:szCs w:val="21"/>
                <w:highlight w:val="none"/>
              </w:rPr>
              <w:t>未提供实物小样或提供实物小样不全，则此项得0分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ascii="宋体" w:hAnsi="宋体" w:cs="宋体"/>
                <w:bCs/>
                <w:color w:val="000000"/>
                <w:sz w:val="21"/>
                <w:szCs w:val="21"/>
                <w:highlight w:val="none"/>
              </w:rPr>
            </w:pPr>
            <w:r>
              <w:rPr>
                <w:rFonts w:hint="eastAsia" w:ascii="宋体" w:hAnsi="宋体" w:cs="宋体"/>
                <w:bCs/>
                <w:color w:val="000000"/>
                <w:sz w:val="21"/>
                <w:szCs w:val="21"/>
                <w:highlight w:val="none"/>
              </w:rPr>
              <w:t>5</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hint="eastAsia"/>
                <w:bCs/>
                <w:color w:val="000000"/>
                <w:szCs w:val="21"/>
                <w:highlight w:val="none"/>
              </w:rPr>
            </w:pPr>
            <w:r>
              <w:rPr>
                <w:rFonts w:hint="eastAsia"/>
                <w:bCs/>
                <w:color w:val="000000"/>
                <w:szCs w:val="21"/>
                <w:highlight w:val="none"/>
              </w:rPr>
              <w:t>手动卷帘小样，</w:t>
            </w:r>
            <w:r>
              <w:rPr>
                <w:bCs/>
                <w:color w:val="000000"/>
                <w:szCs w:val="21"/>
                <w:highlight w:val="none"/>
              </w:rPr>
              <w:t>0.6</w:t>
            </w:r>
            <w:r>
              <w:rPr>
                <w:rFonts w:hint="eastAsia"/>
                <w:bCs/>
                <w:color w:val="000000"/>
                <w:szCs w:val="21"/>
                <w:highlight w:val="none"/>
              </w:rPr>
              <w:t>米（1个）：</w:t>
            </w:r>
          </w:p>
          <w:p>
            <w:pPr>
              <w:pStyle w:val="84"/>
              <w:widowControl/>
              <w:numPr>
                <w:ilvl w:val="0"/>
                <w:numId w:val="16"/>
              </w:numPr>
              <w:spacing w:before="120" w:beforeLines="50" w:after="120" w:afterLines="50" w:line="240" w:lineRule="auto"/>
              <w:ind w:leftChars="0" w:right="0" w:rightChars="0"/>
              <w:rPr>
                <w:bCs/>
                <w:color w:val="000000"/>
                <w:szCs w:val="21"/>
                <w:highlight w:val="none"/>
              </w:rPr>
            </w:pPr>
            <w:r>
              <w:rPr>
                <w:bCs/>
                <w:color w:val="000000"/>
                <w:highlight w:val="none"/>
              </w:rPr>
              <w:t>实物小样总体质量是否可靠，是否体现出良好的技术或生产水平</w:t>
            </w:r>
            <w:r>
              <w:rPr>
                <w:rFonts w:hint="eastAsia"/>
                <w:bCs/>
                <w:color w:val="000000"/>
                <w:highlight w:val="none"/>
              </w:rPr>
              <w:t>，</w:t>
            </w:r>
            <w:r>
              <w:rPr>
                <w:bCs/>
                <w:color w:val="000000"/>
                <w:highlight w:val="none"/>
              </w:rPr>
              <w:t>优于招标文件要求的，得</w:t>
            </w:r>
            <w:r>
              <w:rPr>
                <w:rFonts w:hint="eastAsia"/>
                <w:bCs/>
                <w:color w:val="000000"/>
                <w:highlight w:val="none"/>
              </w:rPr>
              <w:t>5分</w:t>
            </w:r>
            <w:r>
              <w:rPr>
                <w:bCs/>
                <w:color w:val="000000"/>
                <w:highlight w:val="none"/>
              </w:rPr>
              <w:t>。</w:t>
            </w:r>
          </w:p>
          <w:p>
            <w:pPr>
              <w:pStyle w:val="84"/>
              <w:widowControl/>
              <w:numPr>
                <w:ilvl w:val="0"/>
                <w:numId w:val="16"/>
              </w:numPr>
              <w:spacing w:before="120" w:beforeLines="50" w:after="120" w:afterLines="50" w:line="240" w:lineRule="auto"/>
              <w:ind w:leftChars="0" w:right="0" w:rightChars="0"/>
              <w:rPr>
                <w:bCs/>
                <w:color w:val="000000"/>
                <w:szCs w:val="21"/>
                <w:highlight w:val="none"/>
              </w:rPr>
            </w:pPr>
            <w:r>
              <w:rPr>
                <w:rFonts w:hint="eastAsia"/>
                <w:bCs/>
                <w:color w:val="000000"/>
                <w:szCs w:val="21"/>
                <w:highlight w:val="none"/>
              </w:rPr>
              <w:t>实物小样总体质量是否可靠，是否体现出良好的技术或生产水平，满足招标文件要求的，得</w:t>
            </w:r>
            <w:r>
              <w:rPr>
                <w:bCs/>
                <w:color w:val="000000"/>
                <w:szCs w:val="21"/>
                <w:highlight w:val="none"/>
              </w:rPr>
              <w:t>3</w:t>
            </w:r>
            <w:r>
              <w:rPr>
                <w:rFonts w:hint="eastAsia"/>
                <w:bCs/>
                <w:color w:val="000000"/>
                <w:szCs w:val="21"/>
                <w:highlight w:val="none"/>
              </w:rPr>
              <w:t>分。</w:t>
            </w:r>
          </w:p>
          <w:p>
            <w:pPr>
              <w:pStyle w:val="84"/>
              <w:widowControl/>
              <w:numPr>
                <w:ilvl w:val="0"/>
                <w:numId w:val="16"/>
              </w:numPr>
              <w:spacing w:before="120" w:beforeLines="50" w:after="120" w:afterLines="50" w:line="240" w:lineRule="auto"/>
              <w:ind w:leftChars="0" w:right="0" w:rightChars="0"/>
              <w:rPr>
                <w:bCs/>
                <w:color w:val="000000"/>
                <w:szCs w:val="21"/>
                <w:highlight w:val="none"/>
              </w:rPr>
            </w:pPr>
            <w:r>
              <w:rPr>
                <w:rFonts w:hint="eastAsia" w:ascii="宋体" w:hAnsi="宋体"/>
                <w:color w:val="000000"/>
                <w:szCs w:val="21"/>
                <w:highlight w:val="none"/>
              </w:rPr>
              <w:t>提供实物小样，但不满足招标文件要求的，得</w:t>
            </w:r>
            <w:r>
              <w:rPr>
                <w:rFonts w:ascii="宋体" w:hAnsi="宋体"/>
                <w:color w:val="000000"/>
                <w:szCs w:val="21"/>
                <w:highlight w:val="none"/>
              </w:rPr>
              <w:t>1</w:t>
            </w:r>
            <w:r>
              <w:rPr>
                <w:rFonts w:hint="eastAsia" w:ascii="宋体" w:hAnsi="宋体"/>
                <w:color w:val="000000"/>
                <w:szCs w:val="21"/>
                <w:highlight w:val="none"/>
              </w:rPr>
              <w:t>分。</w:t>
            </w:r>
          </w:p>
          <w:p>
            <w:pPr>
              <w:pStyle w:val="84"/>
              <w:keepNext/>
              <w:keepLines/>
              <w:widowControl/>
              <w:spacing w:before="120" w:beforeLines="50" w:after="120" w:afterLines="50" w:line="240" w:lineRule="auto"/>
              <w:ind w:left="0" w:leftChars="0" w:right="0" w:rightChars="0"/>
              <w:rPr>
                <w:rFonts w:hint="eastAsia"/>
                <w:b/>
                <w:color w:val="000000"/>
                <w:szCs w:val="21"/>
                <w:highlight w:val="none"/>
              </w:rPr>
            </w:pPr>
            <w:r>
              <w:rPr>
                <w:rFonts w:hint="eastAsia"/>
                <w:bCs/>
                <w:color w:val="000000"/>
                <w:szCs w:val="21"/>
                <w:highlight w:val="none"/>
              </w:rPr>
              <w:t>未提供实物小样或提供实物小样不全，则此项得0分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restart"/>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restart"/>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r>
              <w:rPr>
                <w:rFonts w:hint="eastAsia" w:ascii="宋体" w:hAnsi="宋体" w:cs="宋体"/>
                <w:bCs/>
                <w:color w:val="000000"/>
                <w:sz w:val="21"/>
                <w:szCs w:val="21"/>
                <w:highlight w:val="none"/>
              </w:rPr>
              <w:t>实施方案</w:t>
            </w:r>
          </w:p>
        </w:tc>
        <w:tc>
          <w:tcPr>
            <w:tcW w:w="850" w:type="dxa"/>
            <w:tcBorders>
              <w:tl2br w:val="nil"/>
              <w:tr2bl w:val="nil"/>
            </w:tcBorders>
            <w:noWrap w:val="0"/>
            <w:vAlign w:val="center"/>
          </w:tcPr>
          <w:p>
            <w:pPr>
              <w:spacing w:line="240" w:lineRule="auto"/>
              <w:ind w:left="420" w:hanging="420" w:hangingChars="200"/>
              <w:jc w:val="center"/>
              <w:rPr>
                <w:rFonts w:hint="eastAsia" w:ascii="宋体" w:hAnsi="宋体" w:cs="宋体"/>
                <w:bCs/>
                <w:color w:val="000000"/>
                <w:sz w:val="21"/>
                <w:szCs w:val="21"/>
                <w:highlight w:val="none"/>
              </w:rPr>
            </w:pPr>
            <w:r>
              <w:rPr>
                <w:rFonts w:hint="eastAsia" w:ascii="宋体" w:hAnsi="宋体" w:cs="宋体"/>
                <w:bCs/>
                <w:color w:val="000000"/>
                <w:sz w:val="21"/>
                <w:szCs w:val="21"/>
                <w:highlight w:val="none"/>
              </w:rPr>
              <w:t>5</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hint="eastAsia" w:ascii="宋体" w:hAnsi="宋体" w:cs="宋体"/>
                <w:bCs/>
                <w:color w:val="000000"/>
                <w:highlight w:val="none"/>
              </w:rPr>
              <w:t>根据供应商提供针对本项目的项目进度计划进行综合评审</w:t>
            </w:r>
          </w:p>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hint="eastAsia" w:ascii="宋体" w:hAnsi="宋体" w:cs="宋体"/>
                <w:bCs/>
                <w:color w:val="000000"/>
                <w:highlight w:val="none"/>
              </w:rPr>
              <w:t>1.</w:t>
            </w:r>
            <w:r>
              <w:rPr>
                <w:rFonts w:hint="eastAsia" w:ascii="宋体" w:hAnsi="宋体" w:cs="宋体"/>
                <w:bCs/>
                <w:color w:val="000000"/>
                <w:highlight w:val="none"/>
                <w:lang w:eastAsia="zh-CN"/>
              </w:rPr>
              <w:t>提供进度计划，并</w:t>
            </w:r>
            <w:r>
              <w:rPr>
                <w:rFonts w:hint="eastAsia" w:ascii="宋体" w:hAnsi="宋体" w:cs="宋体"/>
                <w:bCs/>
                <w:color w:val="000000"/>
                <w:highlight w:val="none"/>
              </w:rPr>
              <w:t>满足</w:t>
            </w:r>
            <w:r>
              <w:rPr>
                <w:rFonts w:ascii="宋体" w:hAnsi="宋体" w:cs="宋体"/>
                <w:bCs/>
                <w:color w:val="000000"/>
                <w:highlight w:val="none"/>
              </w:rPr>
              <w:t>招标文件要求的，得</w:t>
            </w:r>
            <w:r>
              <w:rPr>
                <w:rFonts w:hint="eastAsia" w:ascii="宋体" w:hAnsi="宋体" w:cs="宋体"/>
                <w:bCs/>
                <w:color w:val="000000"/>
                <w:highlight w:val="none"/>
                <w:lang w:val="en-US" w:eastAsia="zh-CN"/>
              </w:rPr>
              <w:t>5</w:t>
            </w:r>
            <w:r>
              <w:rPr>
                <w:rFonts w:hint="eastAsia" w:ascii="宋体" w:hAnsi="宋体" w:cs="宋体"/>
                <w:bCs/>
                <w:color w:val="000000"/>
                <w:highlight w:val="none"/>
              </w:rPr>
              <w:t>分</w:t>
            </w:r>
            <w:r>
              <w:rPr>
                <w:rFonts w:ascii="宋体" w:hAnsi="宋体" w:cs="宋体"/>
                <w:bCs/>
                <w:color w:val="000000"/>
                <w:highlight w:val="none"/>
              </w:rPr>
              <w:t>；</w:t>
            </w:r>
          </w:p>
          <w:p>
            <w:pPr>
              <w:pStyle w:val="84"/>
              <w:keepNext/>
              <w:keepLines/>
              <w:widowControl/>
              <w:spacing w:before="120" w:beforeLines="50" w:after="120" w:afterLines="50" w:line="240" w:lineRule="auto"/>
              <w:ind w:left="0" w:leftChars="0" w:right="0" w:rightChars="0"/>
              <w:rPr>
                <w:rFonts w:hint="eastAsia" w:ascii="宋体" w:hAnsi="宋体" w:cs="宋体"/>
                <w:bCs/>
                <w:color w:val="000000"/>
                <w:highlight w:val="none"/>
              </w:rPr>
            </w:pPr>
            <w:r>
              <w:rPr>
                <w:rFonts w:ascii="宋体" w:hAnsi="宋体" w:cs="宋体"/>
                <w:bCs/>
                <w:color w:val="000000"/>
                <w:highlight w:val="none"/>
              </w:rPr>
              <w:t>2.</w:t>
            </w:r>
            <w:r>
              <w:rPr>
                <w:rFonts w:hint="eastAsia" w:ascii="宋体" w:hAnsi="宋体" w:cs="宋体"/>
                <w:bCs/>
                <w:color w:val="000000"/>
                <w:highlight w:val="none"/>
                <w:lang w:eastAsia="zh-CN"/>
              </w:rPr>
              <w:t>未提供进度计划，或不满足</w:t>
            </w:r>
            <w:r>
              <w:rPr>
                <w:rFonts w:ascii="宋体" w:hAnsi="宋体" w:cs="宋体"/>
                <w:bCs/>
                <w:color w:val="000000"/>
                <w:highlight w:val="none"/>
              </w:rPr>
              <w:t>招标文件要求的，得</w:t>
            </w:r>
            <w:r>
              <w:rPr>
                <w:rFonts w:hint="eastAsia" w:ascii="宋体" w:hAnsi="宋体" w:cs="宋体"/>
                <w:bCs/>
                <w:color w:val="000000"/>
                <w:highlight w:val="none"/>
                <w:lang w:val="en-US" w:eastAsia="zh-CN"/>
              </w:rPr>
              <w:t>0</w:t>
            </w:r>
            <w:r>
              <w:rPr>
                <w:rFonts w:hint="eastAsia" w:ascii="宋体" w:hAnsi="宋体" w:cs="宋体"/>
                <w:bCs/>
                <w:color w:val="000000"/>
                <w:highlight w:val="none"/>
              </w:rPr>
              <w:t>分</w:t>
            </w:r>
            <w:r>
              <w:rPr>
                <w:rFonts w:ascii="宋体" w:hAnsi="宋体" w:cs="宋体"/>
                <w:bCs/>
                <w:color w:val="000000"/>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numPr>
                <w:ilvl w:val="0"/>
                <w:numId w:val="11"/>
              </w:numPr>
              <w:spacing w:after="0" w:line="240" w:lineRule="auto"/>
              <w:ind w:left="0" w:leftChars="0" w:right="0" w:rightChars="0"/>
              <w:rPr>
                <w:rFonts w:hint="eastAsia" w:ascii="宋体" w:hAnsi="宋体" w:cs="宋体"/>
                <w:color w:val="000000"/>
                <w:szCs w:val="21"/>
                <w:highlight w:val="none"/>
              </w:rPr>
            </w:pPr>
          </w:p>
        </w:tc>
        <w:tc>
          <w:tcPr>
            <w:tcW w:w="2034" w:type="dxa"/>
            <w:vMerge w:val="continue"/>
            <w:tcBorders>
              <w:tl2br w:val="nil"/>
              <w:tr2bl w:val="nil"/>
            </w:tcBorders>
            <w:noWrap w:val="0"/>
            <w:vAlign w:val="center"/>
          </w:tcPr>
          <w:p>
            <w:pPr>
              <w:spacing w:line="240" w:lineRule="auto"/>
              <w:jc w:val="center"/>
              <w:rPr>
                <w:rFonts w:hint="eastAsia" w:ascii="宋体" w:hAnsi="宋体" w:cs="宋体"/>
                <w:bCs/>
                <w:color w:val="000000"/>
                <w:sz w:val="21"/>
                <w:szCs w:val="21"/>
                <w:highlight w:val="none"/>
              </w:rPr>
            </w:pPr>
          </w:p>
        </w:tc>
        <w:tc>
          <w:tcPr>
            <w:tcW w:w="850" w:type="dxa"/>
            <w:tcBorders>
              <w:tl2br w:val="nil"/>
              <w:tr2bl w:val="nil"/>
            </w:tcBorders>
            <w:noWrap w:val="0"/>
            <w:vAlign w:val="center"/>
          </w:tcPr>
          <w:p>
            <w:pPr>
              <w:spacing w:line="240" w:lineRule="auto"/>
              <w:ind w:left="420" w:hanging="420" w:hangingChars="200"/>
              <w:jc w:val="center"/>
              <w:rPr>
                <w:rFonts w:hint="default" w:ascii="宋体" w:hAnsi="宋体" w:eastAsia="宋体" w:cs="宋体"/>
                <w:bCs/>
                <w:color w:val="000000"/>
                <w:sz w:val="21"/>
                <w:szCs w:val="21"/>
                <w:highlight w:val="none"/>
                <w:lang w:val="en-US" w:eastAsia="zh-CN"/>
              </w:rPr>
            </w:pPr>
            <w:r>
              <w:rPr>
                <w:rFonts w:hint="eastAsia" w:ascii="宋体" w:hAnsi="宋体" w:cs="宋体"/>
                <w:bCs/>
                <w:color w:val="000000"/>
                <w:sz w:val="21"/>
                <w:szCs w:val="21"/>
                <w:highlight w:val="none"/>
                <w:lang w:val="en-US" w:eastAsia="zh-CN"/>
              </w:rPr>
              <w:t>2</w:t>
            </w:r>
            <w:r>
              <w:rPr>
                <w:rFonts w:hint="eastAsia" w:ascii="宋体" w:hAnsi="宋体" w:cs="宋体"/>
                <w:bCs/>
                <w:color w:val="000000"/>
                <w:sz w:val="21"/>
                <w:szCs w:val="21"/>
                <w:highlight w:val="none"/>
                <w:lang w:val="en-US" w:eastAsia="zh-CN"/>
              </w:rPr>
              <w:t>0</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hint="eastAsia" w:ascii="宋体" w:hAnsi="宋体" w:cs="宋体"/>
                <w:bCs/>
                <w:color w:val="000000"/>
                <w:highlight w:val="none"/>
              </w:rPr>
              <w:t>根据供应商提供针对本项目的实施方案（包括</w:t>
            </w:r>
            <w:r>
              <w:rPr>
                <w:rFonts w:hint="eastAsia" w:ascii="宋体" w:hAnsi="宋体" w:cs="宋体"/>
                <w:bCs/>
                <w:color w:val="000000"/>
                <w:highlight w:val="none"/>
                <w:lang w:eastAsia="zh-CN"/>
              </w:rPr>
              <w:t>质量保证方案、</w:t>
            </w:r>
            <w:r>
              <w:rPr>
                <w:rFonts w:hint="eastAsia" w:ascii="宋体" w:hAnsi="宋体" w:cs="宋体"/>
                <w:bCs/>
                <w:color w:val="000000"/>
                <w:highlight w:val="none"/>
              </w:rPr>
              <w:t>安装调试方案、配合验收方案等）进行综合评审</w:t>
            </w:r>
          </w:p>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hint="eastAsia" w:ascii="宋体" w:hAnsi="宋体" w:cs="宋体"/>
                <w:bCs/>
                <w:color w:val="000000"/>
                <w:highlight w:val="none"/>
              </w:rPr>
              <w:t>1.提供</w:t>
            </w:r>
            <w:r>
              <w:rPr>
                <w:rFonts w:hint="eastAsia" w:ascii="宋体" w:hAnsi="宋体" w:cs="宋体"/>
                <w:bCs/>
                <w:color w:val="000000"/>
                <w:highlight w:val="none"/>
                <w:lang w:eastAsia="zh-CN"/>
              </w:rPr>
              <w:t>质量保证方案、</w:t>
            </w:r>
            <w:r>
              <w:rPr>
                <w:rFonts w:ascii="宋体" w:hAnsi="宋体" w:cs="宋体"/>
                <w:bCs/>
                <w:color w:val="000000"/>
                <w:highlight w:val="none"/>
              </w:rPr>
              <w:t>安装调试方案</w:t>
            </w:r>
            <w:r>
              <w:rPr>
                <w:rFonts w:hint="eastAsia" w:ascii="宋体" w:hAnsi="宋体" w:cs="宋体"/>
                <w:bCs/>
                <w:color w:val="000000"/>
                <w:highlight w:val="none"/>
              </w:rPr>
              <w:t>及</w:t>
            </w:r>
            <w:r>
              <w:rPr>
                <w:rFonts w:ascii="宋体" w:hAnsi="宋体" w:cs="宋体"/>
                <w:bCs/>
                <w:color w:val="000000"/>
                <w:highlight w:val="none"/>
              </w:rPr>
              <w:t>配合验收方案，且方案完整可行性高的得</w:t>
            </w:r>
            <w:r>
              <w:rPr>
                <w:rFonts w:hint="eastAsia" w:ascii="宋体" w:hAnsi="宋体" w:cs="宋体"/>
                <w:bCs/>
                <w:color w:val="000000"/>
                <w:highlight w:val="none"/>
                <w:lang w:val="en-US" w:eastAsia="zh-CN"/>
              </w:rPr>
              <w:t>20</w:t>
            </w:r>
            <w:r>
              <w:rPr>
                <w:rFonts w:hint="eastAsia" w:ascii="宋体" w:hAnsi="宋体" w:cs="宋体"/>
                <w:bCs/>
                <w:color w:val="000000"/>
                <w:highlight w:val="none"/>
              </w:rPr>
              <w:t>分；</w:t>
            </w:r>
          </w:p>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ascii="宋体" w:hAnsi="宋体" w:cs="宋体"/>
                <w:bCs/>
                <w:color w:val="000000"/>
                <w:highlight w:val="none"/>
              </w:rPr>
              <w:t>2.</w:t>
            </w:r>
            <w:r>
              <w:rPr>
                <w:rFonts w:hint="eastAsia"/>
                <w:color w:val="000000"/>
                <w:highlight w:val="none"/>
              </w:rPr>
              <w:t xml:space="preserve"> </w:t>
            </w:r>
            <w:r>
              <w:rPr>
                <w:rFonts w:hint="eastAsia" w:ascii="宋体" w:hAnsi="宋体" w:cs="宋体"/>
                <w:bCs/>
                <w:color w:val="000000"/>
                <w:highlight w:val="none"/>
              </w:rPr>
              <w:t>提供质量保证方案、安装调试方案及配合验收方案，方案基本</w:t>
            </w:r>
            <w:r>
              <w:rPr>
                <w:rFonts w:ascii="宋体" w:hAnsi="宋体" w:cs="宋体"/>
                <w:bCs/>
                <w:color w:val="000000"/>
                <w:highlight w:val="none"/>
              </w:rPr>
              <w:t>完整，</w:t>
            </w:r>
            <w:r>
              <w:rPr>
                <w:rFonts w:hint="eastAsia" w:ascii="宋体" w:hAnsi="宋体" w:cs="宋体"/>
                <w:bCs/>
                <w:color w:val="000000"/>
                <w:highlight w:val="none"/>
              </w:rPr>
              <w:t>具有</w:t>
            </w:r>
            <w:r>
              <w:rPr>
                <w:rFonts w:ascii="宋体" w:hAnsi="宋体" w:cs="宋体"/>
                <w:bCs/>
                <w:color w:val="000000"/>
                <w:highlight w:val="none"/>
              </w:rPr>
              <w:t>一定的</w:t>
            </w:r>
            <w:r>
              <w:rPr>
                <w:rFonts w:hint="eastAsia" w:ascii="宋体" w:hAnsi="宋体" w:cs="宋体"/>
                <w:bCs/>
                <w:color w:val="000000"/>
                <w:highlight w:val="none"/>
              </w:rPr>
              <w:t>可行性的得</w:t>
            </w:r>
            <w:r>
              <w:rPr>
                <w:rFonts w:hint="eastAsia" w:ascii="宋体" w:hAnsi="宋体" w:cs="宋体"/>
                <w:bCs/>
                <w:color w:val="000000"/>
                <w:highlight w:val="none"/>
                <w:lang w:val="en-US" w:eastAsia="zh-CN"/>
              </w:rPr>
              <w:t>14</w:t>
            </w:r>
            <w:r>
              <w:rPr>
                <w:rFonts w:hint="eastAsia" w:ascii="宋体" w:hAnsi="宋体" w:cs="宋体"/>
                <w:bCs/>
                <w:color w:val="000000"/>
                <w:highlight w:val="none"/>
              </w:rPr>
              <w:t>分；</w:t>
            </w:r>
          </w:p>
          <w:p>
            <w:pPr>
              <w:pStyle w:val="84"/>
              <w:keepNext/>
              <w:keepLines/>
              <w:widowControl/>
              <w:spacing w:before="120" w:beforeLines="50" w:after="120" w:afterLines="50" w:line="240" w:lineRule="auto"/>
              <w:ind w:left="0" w:leftChars="0" w:right="0" w:rightChars="0"/>
              <w:rPr>
                <w:rFonts w:ascii="宋体" w:hAnsi="宋体" w:cs="宋体"/>
                <w:bCs/>
                <w:color w:val="000000"/>
                <w:highlight w:val="none"/>
              </w:rPr>
            </w:pPr>
            <w:r>
              <w:rPr>
                <w:rFonts w:ascii="宋体" w:hAnsi="宋体" w:cs="宋体"/>
                <w:bCs/>
                <w:color w:val="000000"/>
                <w:highlight w:val="none"/>
              </w:rPr>
              <w:t>3.</w:t>
            </w:r>
            <w:r>
              <w:rPr>
                <w:rFonts w:hint="eastAsia" w:ascii="宋体" w:hAnsi="宋体" w:cs="宋体"/>
                <w:bCs/>
                <w:color w:val="000000"/>
                <w:highlight w:val="none"/>
              </w:rPr>
              <w:t>提供质量保证方案、安装调试方案及配合验收方案，方案不完整，缺乏可行性的得</w:t>
            </w:r>
            <w:r>
              <w:rPr>
                <w:rFonts w:hint="eastAsia" w:ascii="宋体" w:hAnsi="宋体" w:cs="宋体"/>
                <w:bCs/>
                <w:color w:val="000000"/>
                <w:highlight w:val="none"/>
                <w:lang w:val="en-US" w:eastAsia="zh-CN"/>
              </w:rPr>
              <w:t>6</w:t>
            </w:r>
            <w:r>
              <w:rPr>
                <w:rFonts w:hint="eastAsia" w:ascii="宋体" w:hAnsi="宋体" w:cs="宋体"/>
                <w:bCs/>
                <w:color w:val="000000"/>
                <w:highlight w:val="none"/>
              </w:rPr>
              <w:t>分；</w:t>
            </w:r>
          </w:p>
          <w:p>
            <w:pPr>
              <w:pStyle w:val="84"/>
              <w:keepNext/>
              <w:keepLines/>
              <w:widowControl/>
              <w:spacing w:before="120" w:beforeLines="50" w:after="120" w:afterLines="50" w:line="240" w:lineRule="auto"/>
              <w:ind w:left="0" w:leftChars="0" w:right="0" w:rightChars="0"/>
              <w:rPr>
                <w:rFonts w:hint="eastAsia" w:ascii="宋体" w:hAnsi="宋体" w:cs="宋体"/>
                <w:bCs/>
                <w:color w:val="000000"/>
                <w:highlight w:val="none"/>
              </w:rPr>
            </w:pPr>
            <w:r>
              <w:rPr>
                <w:rFonts w:ascii="宋体" w:hAnsi="宋体" w:cs="宋体"/>
                <w:bCs/>
                <w:color w:val="000000"/>
                <w:highlight w:val="none"/>
              </w:rPr>
              <w:t>4.</w:t>
            </w:r>
            <w:r>
              <w:rPr>
                <w:rFonts w:hint="eastAsia" w:ascii="宋体" w:hAnsi="宋体" w:cs="宋体"/>
                <w:bCs/>
                <w:color w:val="000000"/>
                <w:highlight w:val="none"/>
              </w:rPr>
              <w:t>不提供</w:t>
            </w:r>
            <w:r>
              <w:rPr>
                <w:rFonts w:hint="eastAsia" w:ascii="宋体" w:hAnsi="宋体" w:cs="宋体"/>
                <w:bCs/>
                <w:color w:val="000000"/>
                <w:highlight w:val="none"/>
                <w:lang w:eastAsia="zh-CN"/>
              </w:rPr>
              <w:t>质量保证方案、</w:t>
            </w:r>
            <w:r>
              <w:rPr>
                <w:rFonts w:hint="eastAsia" w:ascii="宋体" w:hAnsi="宋体" w:cs="宋体"/>
                <w:bCs/>
                <w:color w:val="000000"/>
                <w:highlight w:val="none"/>
              </w:rPr>
              <w:t>安装调试方案或配合验收方案的</w:t>
            </w:r>
            <w:r>
              <w:rPr>
                <w:rFonts w:ascii="宋体" w:hAnsi="宋体" w:cs="宋体"/>
                <w:bCs/>
                <w:color w:val="000000"/>
                <w:highlight w:val="none"/>
              </w:rPr>
              <w:t>得</w:t>
            </w:r>
            <w:r>
              <w:rPr>
                <w:rFonts w:hint="eastAsia" w:ascii="宋体" w:hAnsi="宋体" w:cs="宋体"/>
                <w:bCs/>
                <w:color w:val="000000"/>
                <w:highlight w:val="none"/>
              </w:rPr>
              <w:t>0分</w:t>
            </w:r>
            <w:r>
              <w:rPr>
                <w:rFonts w:ascii="宋体" w:hAnsi="宋体" w:cs="宋体"/>
                <w:bCs/>
                <w:color w:val="000000"/>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364" w:hRule="atLeast"/>
          <w:jc w:val="center"/>
        </w:trPr>
        <w:tc>
          <w:tcPr>
            <w:tcW w:w="993" w:type="dxa"/>
            <w:vMerge w:val="restart"/>
            <w:tcBorders>
              <w:tl2br w:val="nil"/>
              <w:tr2bl w:val="nil"/>
            </w:tcBorders>
            <w:noWrap w:val="0"/>
            <w:vAlign w:val="center"/>
          </w:tcPr>
          <w:p>
            <w:pPr>
              <w:pStyle w:val="16"/>
              <w:numPr>
                <w:ilvl w:val="0"/>
                <w:numId w:val="11"/>
              </w:numPr>
              <w:spacing w:after="0" w:line="240" w:lineRule="auto"/>
              <w:ind w:left="0" w:leftChars="0" w:right="0" w:rightChars="0"/>
              <w:rPr>
                <w:color w:val="000000"/>
                <w:szCs w:val="21"/>
                <w:highlight w:val="none"/>
              </w:rPr>
            </w:pPr>
          </w:p>
        </w:tc>
        <w:tc>
          <w:tcPr>
            <w:tcW w:w="2034" w:type="dxa"/>
            <w:vMerge w:val="restart"/>
            <w:tcBorders>
              <w:tl2br w:val="nil"/>
              <w:tr2bl w:val="nil"/>
            </w:tcBorders>
            <w:noWrap w:val="0"/>
            <w:vAlign w:val="center"/>
          </w:tcPr>
          <w:p>
            <w:pPr>
              <w:jc w:val="center"/>
              <w:rPr>
                <w:bCs/>
                <w:color w:val="000000"/>
                <w:sz w:val="21"/>
                <w:szCs w:val="21"/>
                <w:highlight w:val="none"/>
              </w:rPr>
            </w:pPr>
            <w:r>
              <w:rPr>
                <w:rFonts w:hint="eastAsia" w:hAnsi="宋体"/>
                <w:bCs/>
                <w:color w:val="000000"/>
                <w:sz w:val="21"/>
                <w:szCs w:val="21"/>
                <w:highlight w:val="none"/>
              </w:rPr>
              <w:t>售后服务</w:t>
            </w:r>
          </w:p>
        </w:tc>
        <w:tc>
          <w:tcPr>
            <w:tcW w:w="850" w:type="dxa"/>
            <w:tcBorders>
              <w:tl2br w:val="nil"/>
              <w:tr2bl w:val="nil"/>
            </w:tcBorders>
            <w:noWrap w:val="0"/>
            <w:vAlign w:val="center"/>
          </w:tcPr>
          <w:p>
            <w:pPr>
              <w:ind w:left="420" w:hanging="420" w:hangingChars="200"/>
              <w:jc w:val="center"/>
              <w:rPr>
                <w:rFonts w:hint="eastAsia" w:eastAsia="宋体"/>
                <w:bCs/>
                <w:color w:val="000000"/>
                <w:sz w:val="21"/>
                <w:szCs w:val="21"/>
                <w:highlight w:val="none"/>
                <w:lang w:eastAsia="zh-CN"/>
              </w:rPr>
            </w:pPr>
            <w:r>
              <w:rPr>
                <w:rFonts w:hint="eastAsia"/>
                <w:bCs/>
                <w:color w:val="000000"/>
                <w:sz w:val="21"/>
                <w:szCs w:val="21"/>
                <w:highlight w:val="none"/>
                <w:lang w:val="en-US" w:eastAsia="zh-CN"/>
              </w:rPr>
              <w:t>6</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ascii="宋体" w:hAnsi="宋体" w:cs="宋体"/>
                <w:bCs/>
                <w:color w:val="000000"/>
                <w:szCs w:val="22"/>
                <w:highlight w:val="none"/>
              </w:rPr>
            </w:pPr>
            <w:r>
              <w:rPr>
                <w:rFonts w:hint="eastAsia" w:ascii="宋体" w:hAnsi="宋体" w:cs="宋体"/>
                <w:bCs/>
                <w:color w:val="000000"/>
                <w:szCs w:val="22"/>
                <w:highlight w:val="none"/>
              </w:rPr>
              <w:t>根据供应商提供针对本项目售后服务的承诺及增值服务等方面进行综合评审</w:t>
            </w:r>
          </w:p>
          <w:p>
            <w:pPr>
              <w:pStyle w:val="84"/>
              <w:keepNext/>
              <w:keepLines/>
              <w:widowControl/>
              <w:spacing w:before="120" w:beforeLines="50" w:after="120" w:afterLines="50" w:line="240" w:lineRule="auto"/>
              <w:rPr>
                <w:rFonts w:hint="eastAsia" w:ascii="宋体" w:hAnsi="宋体" w:cs="宋体"/>
                <w:bCs/>
                <w:color w:val="000000"/>
                <w:szCs w:val="22"/>
                <w:highlight w:val="none"/>
              </w:rPr>
            </w:pPr>
            <w:r>
              <w:rPr>
                <w:rFonts w:hint="eastAsia" w:ascii="宋体" w:hAnsi="宋体" w:cs="宋体"/>
                <w:bCs/>
                <w:color w:val="000000"/>
                <w:szCs w:val="22"/>
                <w:highlight w:val="none"/>
              </w:rPr>
              <w:t>1．为采购人</w:t>
            </w:r>
            <w:r>
              <w:rPr>
                <w:rFonts w:ascii="宋体" w:hAnsi="宋体" w:cs="宋体"/>
                <w:bCs/>
                <w:color w:val="000000"/>
                <w:szCs w:val="22"/>
                <w:highlight w:val="none"/>
              </w:rPr>
              <w:t>提供2</w:t>
            </w:r>
            <w:r>
              <w:rPr>
                <w:rFonts w:hint="eastAsia" w:ascii="宋体" w:hAnsi="宋体" w:cs="宋体"/>
                <w:bCs/>
                <w:color w:val="000000"/>
                <w:szCs w:val="22"/>
                <w:highlight w:val="none"/>
              </w:rPr>
              <w:t>年</w:t>
            </w:r>
            <w:r>
              <w:rPr>
                <w:rFonts w:ascii="宋体" w:hAnsi="宋体" w:cs="宋体"/>
                <w:bCs/>
                <w:color w:val="000000"/>
                <w:szCs w:val="22"/>
                <w:highlight w:val="none"/>
              </w:rPr>
              <w:t>及其以上质保期</w:t>
            </w:r>
            <w:r>
              <w:rPr>
                <w:rFonts w:hint="eastAsia" w:ascii="宋体" w:hAnsi="宋体" w:cs="宋体"/>
                <w:bCs/>
                <w:color w:val="000000"/>
                <w:szCs w:val="22"/>
                <w:highlight w:val="none"/>
              </w:rPr>
              <w:t>的，得</w:t>
            </w:r>
            <w:r>
              <w:rPr>
                <w:rFonts w:ascii="宋体" w:hAnsi="宋体" w:cs="宋体"/>
                <w:bCs/>
                <w:color w:val="000000"/>
                <w:szCs w:val="22"/>
                <w:highlight w:val="none"/>
              </w:rPr>
              <w:t>5</w:t>
            </w:r>
            <w:r>
              <w:rPr>
                <w:rFonts w:hint="eastAsia" w:ascii="宋体" w:hAnsi="宋体" w:cs="宋体"/>
                <w:bCs/>
                <w:color w:val="000000"/>
                <w:szCs w:val="22"/>
                <w:highlight w:val="none"/>
              </w:rPr>
              <w:t>分；</w:t>
            </w:r>
          </w:p>
          <w:p>
            <w:pPr>
              <w:pStyle w:val="84"/>
              <w:keepNext/>
              <w:keepLines/>
              <w:widowControl/>
              <w:spacing w:before="120" w:beforeLines="50" w:after="120" w:afterLines="50" w:line="240" w:lineRule="auto"/>
              <w:rPr>
                <w:rFonts w:hint="eastAsia" w:ascii="宋体" w:hAnsi="宋体" w:cs="宋体"/>
                <w:bCs/>
                <w:color w:val="000000"/>
                <w:szCs w:val="22"/>
                <w:highlight w:val="none"/>
              </w:rPr>
            </w:pPr>
            <w:r>
              <w:rPr>
                <w:rFonts w:hint="eastAsia" w:ascii="宋体" w:hAnsi="宋体" w:cs="宋体"/>
                <w:bCs/>
                <w:color w:val="000000"/>
                <w:szCs w:val="22"/>
                <w:highlight w:val="none"/>
              </w:rPr>
              <w:t>2. 为采购人提供</w:t>
            </w:r>
            <w:r>
              <w:rPr>
                <w:rFonts w:ascii="宋体" w:hAnsi="宋体" w:cs="宋体"/>
                <w:bCs/>
                <w:color w:val="000000"/>
                <w:szCs w:val="22"/>
                <w:highlight w:val="none"/>
              </w:rPr>
              <w:t>1</w:t>
            </w:r>
            <w:r>
              <w:rPr>
                <w:rFonts w:hint="eastAsia" w:ascii="宋体" w:hAnsi="宋体" w:cs="宋体"/>
                <w:bCs/>
                <w:color w:val="000000"/>
                <w:szCs w:val="22"/>
                <w:highlight w:val="none"/>
              </w:rPr>
              <w:t>年质保期的，得</w:t>
            </w:r>
            <w:r>
              <w:rPr>
                <w:rFonts w:ascii="宋体" w:hAnsi="宋体" w:cs="宋体"/>
                <w:bCs/>
                <w:color w:val="000000"/>
                <w:szCs w:val="22"/>
                <w:highlight w:val="none"/>
              </w:rPr>
              <w:t>1</w:t>
            </w:r>
            <w:r>
              <w:rPr>
                <w:rFonts w:hint="eastAsia" w:ascii="宋体" w:hAnsi="宋体" w:cs="宋体"/>
                <w:bCs/>
                <w:color w:val="000000"/>
                <w:szCs w:val="22"/>
                <w:highlight w:val="none"/>
              </w:rPr>
              <w:t>分；；</w:t>
            </w:r>
          </w:p>
          <w:p>
            <w:pPr>
              <w:pStyle w:val="84"/>
              <w:keepNext/>
              <w:keepLines/>
              <w:widowControl/>
              <w:spacing w:before="120" w:beforeLines="50" w:after="120" w:afterLines="50" w:line="240" w:lineRule="auto"/>
              <w:ind w:left="72" w:leftChars="30" w:right="72" w:rightChars="30"/>
              <w:rPr>
                <w:rFonts w:ascii="宋体" w:hAnsi="宋体" w:cs="宋体"/>
                <w:bCs/>
                <w:color w:val="000000"/>
                <w:szCs w:val="22"/>
                <w:highlight w:val="none"/>
              </w:rPr>
            </w:pPr>
            <w:r>
              <w:rPr>
                <w:rFonts w:hint="eastAsia" w:ascii="宋体" w:hAnsi="宋体" w:cs="宋体"/>
                <w:bCs/>
                <w:color w:val="000000"/>
                <w:szCs w:val="22"/>
                <w:highlight w:val="none"/>
              </w:rPr>
              <w:t>3. 质保期</w:t>
            </w:r>
            <w:r>
              <w:rPr>
                <w:rFonts w:ascii="宋体" w:hAnsi="宋体" w:cs="宋体"/>
                <w:bCs/>
                <w:color w:val="000000"/>
                <w:szCs w:val="22"/>
                <w:highlight w:val="none"/>
              </w:rPr>
              <w:t>不足1</w:t>
            </w:r>
            <w:r>
              <w:rPr>
                <w:rFonts w:hint="eastAsia" w:ascii="宋体" w:hAnsi="宋体" w:cs="宋体"/>
                <w:bCs/>
                <w:color w:val="000000"/>
                <w:szCs w:val="22"/>
                <w:highlight w:val="none"/>
              </w:rPr>
              <w:t>年的，得0分；</w:t>
            </w:r>
          </w:p>
          <w:p>
            <w:pPr>
              <w:pStyle w:val="84"/>
              <w:keepNext/>
              <w:keepLines/>
              <w:widowControl/>
              <w:spacing w:before="120" w:beforeLines="50" w:after="120" w:afterLines="50" w:line="240" w:lineRule="auto"/>
              <w:ind w:left="72" w:leftChars="30" w:right="72" w:rightChars="30"/>
              <w:rPr>
                <w:rFonts w:hint="eastAsia" w:ascii="宋体" w:hAnsi="宋体" w:cs="宋体"/>
                <w:bCs/>
                <w:color w:val="000000"/>
                <w:szCs w:val="22"/>
                <w:highlight w:val="none"/>
              </w:rPr>
            </w:pPr>
            <w:r>
              <w:rPr>
                <w:rFonts w:ascii="宋体" w:hAnsi="宋体" w:cs="宋体"/>
                <w:bCs/>
                <w:color w:val="000000"/>
                <w:szCs w:val="22"/>
                <w:highlight w:val="none"/>
              </w:rPr>
              <w:t>4.</w:t>
            </w:r>
            <w:r>
              <w:rPr>
                <w:rFonts w:hint="eastAsia" w:ascii="宋体" w:hAnsi="宋体" w:cs="宋体"/>
                <w:bCs/>
                <w:color w:val="000000"/>
                <w:szCs w:val="22"/>
                <w:highlight w:val="none"/>
                <w:lang w:val="en-US" w:eastAsia="zh-CN"/>
              </w:rPr>
              <w:t xml:space="preserve"> </w:t>
            </w:r>
            <w:r>
              <w:rPr>
                <w:rFonts w:hint="eastAsia" w:ascii="宋体" w:hAnsi="宋体" w:cs="宋体"/>
                <w:bCs/>
                <w:color w:val="000000"/>
                <w:szCs w:val="22"/>
                <w:highlight w:val="none"/>
              </w:rPr>
              <w:t>有</w:t>
            </w:r>
            <w:r>
              <w:rPr>
                <w:rFonts w:ascii="宋体" w:hAnsi="宋体" w:cs="宋体"/>
                <w:bCs/>
                <w:color w:val="000000"/>
                <w:szCs w:val="22"/>
                <w:highlight w:val="none"/>
              </w:rPr>
              <w:t>其他增值服务的加</w:t>
            </w:r>
            <w:r>
              <w:rPr>
                <w:rFonts w:hint="eastAsia" w:ascii="宋体" w:hAnsi="宋体" w:cs="宋体"/>
                <w:bCs/>
                <w:color w:val="000000"/>
                <w:szCs w:val="22"/>
                <w:highlight w:val="none"/>
              </w:rPr>
              <w:t>1分</w:t>
            </w:r>
            <w:r>
              <w:rPr>
                <w:rFonts w:ascii="宋体" w:hAnsi="宋体" w:cs="宋体"/>
                <w:bCs/>
                <w:color w:val="000000"/>
                <w:szCs w:val="22"/>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vMerge w:val="continue"/>
            <w:tcBorders>
              <w:tl2br w:val="nil"/>
              <w:tr2bl w:val="nil"/>
            </w:tcBorders>
            <w:noWrap w:val="0"/>
            <w:vAlign w:val="center"/>
          </w:tcPr>
          <w:p>
            <w:pPr>
              <w:pStyle w:val="16"/>
              <w:numPr>
                <w:ilvl w:val="0"/>
                <w:numId w:val="11"/>
              </w:numPr>
              <w:spacing w:after="0" w:line="240" w:lineRule="auto"/>
              <w:ind w:left="0" w:leftChars="0" w:right="0" w:rightChars="0"/>
              <w:rPr>
                <w:color w:val="000000"/>
                <w:szCs w:val="21"/>
                <w:highlight w:val="none"/>
              </w:rPr>
            </w:pPr>
          </w:p>
        </w:tc>
        <w:tc>
          <w:tcPr>
            <w:tcW w:w="2034" w:type="dxa"/>
            <w:vMerge w:val="continue"/>
            <w:tcBorders>
              <w:tl2br w:val="nil"/>
              <w:tr2bl w:val="nil"/>
            </w:tcBorders>
            <w:noWrap w:val="0"/>
            <w:vAlign w:val="center"/>
          </w:tcPr>
          <w:p>
            <w:pPr>
              <w:jc w:val="center"/>
              <w:rPr>
                <w:rFonts w:hint="eastAsia" w:hAnsi="宋体"/>
                <w:bCs/>
                <w:color w:val="000000"/>
                <w:sz w:val="21"/>
                <w:szCs w:val="21"/>
                <w:highlight w:val="none"/>
              </w:rPr>
            </w:pPr>
          </w:p>
        </w:tc>
        <w:tc>
          <w:tcPr>
            <w:tcW w:w="850" w:type="dxa"/>
            <w:tcBorders>
              <w:tl2br w:val="nil"/>
              <w:tr2bl w:val="nil"/>
            </w:tcBorders>
            <w:noWrap w:val="0"/>
            <w:vAlign w:val="center"/>
          </w:tcPr>
          <w:p>
            <w:pPr>
              <w:ind w:left="420" w:hanging="420" w:hangingChars="200"/>
              <w:jc w:val="center"/>
              <w:rPr>
                <w:bCs/>
                <w:color w:val="000000"/>
                <w:sz w:val="21"/>
                <w:szCs w:val="21"/>
                <w:highlight w:val="none"/>
              </w:rPr>
            </w:pPr>
            <w:r>
              <w:rPr>
                <w:rFonts w:hint="eastAsia"/>
                <w:bCs/>
                <w:color w:val="000000"/>
                <w:sz w:val="21"/>
                <w:szCs w:val="21"/>
                <w:highlight w:val="none"/>
              </w:rPr>
              <w:t>5</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ascii="宋体" w:hAnsi="宋体" w:cs="宋体"/>
                <w:bCs/>
                <w:color w:val="000000"/>
                <w:szCs w:val="22"/>
                <w:highlight w:val="none"/>
              </w:rPr>
            </w:pPr>
            <w:r>
              <w:rPr>
                <w:rFonts w:hint="eastAsia" w:ascii="宋体" w:hAnsi="宋体" w:cs="宋体"/>
                <w:bCs/>
                <w:color w:val="000000"/>
                <w:szCs w:val="22"/>
                <w:highlight w:val="none"/>
              </w:rPr>
              <w:t>根据供应商提供针对本项目故障响应时间、故障解决等方案等方面进行综合评审</w:t>
            </w:r>
            <w:r>
              <w:rPr>
                <w:rFonts w:hint="eastAsia" w:ascii="宋体" w:hAnsi="宋体" w:cs="宋体"/>
                <w:bCs/>
                <w:color w:val="000000"/>
                <w:szCs w:val="22"/>
                <w:highlight w:val="none"/>
                <w:lang w:eastAsia="zh-CN"/>
              </w:rPr>
              <w:t>（需提供相关证明材料）</w:t>
            </w:r>
          </w:p>
          <w:p>
            <w:pPr>
              <w:pStyle w:val="84"/>
              <w:keepNext/>
              <w:keepLines/>
              <w:widowControl/>
              <w:spacing w:before="120" w:beforeLines="50" w:after="120" w:afterLines="50" w:line="240" w:lineRule="auto"/>
              <w:ind w:left="0" w:leftChars="0" w:right="0" w:rightChars="0"/>
              <w:rPr>
                <w:color w:val="000000"/>
                <w:szCs w:val="21"/>
                <w:highlight w:val="none"/>
              </w:rPr>
            </w:pPr>
            <w:r>
              <w:rPr>
                <w:rFonts w:hint="eastAsia"/>
                <w:color w:val="000000"/>
                <w:szCs w:val="21"/>
                <w:highlight w:val="none"/>
              </w:rPr>
              <w:t>1．接到用户维修电话后在</w:t>
            </w:r>
            <w:r>
              <w:rPr>
                <w:color w:val="000000"/>
                <w:szCs w:val="21"/>
                <w:highlight w:val="none"/>
              </w:rPr>
              <w:t>1</w:t>
            </w:r>
            <w:r>
              <w:rPr>
                <w:rFonts w:hint="eastAsia"/>
                <w:color w:val="000000"/>
                <w:szCs w:val="21"/>
                <w:highlight w:val="none"/>
              </w:rPr>
              <w:t>小时内予以答复，并派有经验的技术人员</w:t>
            </w:r>
            <w:r>
              <w:rPr>
                <w:color w:val="000000"/>
                <w:szCs w:val="21"/>
                <w:highlight w:val="none"/>
              </w:rPr>
              <w:t>4</w:t>
            </w:r>
            <w:r>
              <w:rPr>
                <w:rFonts w:hint="eastAsia"/>
                <w:color w:val="000000"/>
                <w:szCs w:val="21"/>
                <w:highlight w:val="none"/>
              </w:rPr>
              <w:t>小时内到达现场维修的</w:t>
            </w:r>
            <w:r>
              <w:rPr>
                <w:color w:val="000000"/>
                <w:szCs w:val="21"/>
                <w:highlight w:val="none"/>
              </w:rPr>
              <w:t>，得5</w:t>
            </w:r>
            <w:r>
              <w:rPr>
                <w:rFonts w:hint="eastAsia"/>
                <w:color w:val="000000"/>
                <w:szCs w:val="21"/>
                <w:highlight w:val="none"/>
              </w:rPr>
              <w:t>分；</w:t>
            </w:r>
          </w:p>
          <w:p>
            <w:pPr>
              <w:pStyle w:val="84"/>
              <w:keepNext/>
              <w:keepLines/>
              <w:widowControl/>
              <w:spacing w:before="120" w:beforeLines="50" w:after="120" w:afterLines="50" w:line="240" w:lineRule="auto"/>
              <w:ind w:left="0" w:leftChars="0" w:right="0" w:rightChars="0"/>
              <w:rPr>
                <w:color w:val="000000"/>
                <w:szCs w:val="21"/>
                <w:highlight w:val="none"/>
              </w:rPr>
            </w:pPr>
            <w:r>
              <w:rPr>
                <w:rFonts w:hint="eastAsia"/>
                <w:color w:val="000000"/>
                <w:szCs w:val="21"/>
                <w:highlight w:val="none"/>
              </w:rPr>
              <w:t>2.</w:t>
            </w:r>
            <w:r>
              <w:rPr>
                <w:rFonts w:hint="eastAsia"/>
                <w:color w:val="000000"/>
                <w:highlight w:val="none"/>
              </w:rPr>
              <w:t xml:space="preserve"> </w:t>
            </w:r>
            <w:r>
              <w:rPr>
                <w:rFonts w:hint="eastAsia"/>
                <w:color w:val="000000"/>
                <w:szCs w:val="21"/>
                <w:highlight w:val="none"/>
              </w:rPr>
              <w:t>接到用户维修电话后在</w:t>
            </w:r>
            <w:r>
              <w:rPr>
                <w:color w:val="000000"/>
                <w:szCs w:val="21"/>
                <w:highlight w:val="none"/>
              </w:rPr>
              <w:t>1</w:t>
            </w:r>
            <w:r>
              <w:rPr>
                <w:rFonts w:hint="eastAsia"/>
                <w:color w:val="000000"/>
                <w:szCs w:val="21"/>
                <w:highlight w:val="none"/>
              </w:rPr>
              <w:t>小时内予以答复，并派有经验的技术人员</w:t>
            </w:r>
            <w:r>
              <w:rPr>
                <w:color w:val="000000"/>
                <w:szCs w:val="21"/>
                <w:highlight w:val="none"/>
              </w:rPr>
              <w:t>8</w:t>
            </w:r>
            <w:r>
              <w:rPr>
                <w:rFonts w:hint="eastAsia"/>
                <w:color w:val="000000"/>
                <w:szCs w:val="21"/>
                <w:highlight w:val="none"/>
              </w:rPr>
              <w:t>小时内到达现场维修的，得</w:t>
            </w:r>
            <w:r>
              <w:rPr>
                <w:color w:val="000000"/>
                <w:szCs w:val="21"/>
                <w:highlight w:val="none"/>
              </w:rPr>
              <w:t>3</w:t>
            </w:r>
            <w:r>
              <w:rPr>
                <w:rFonts w:hint="eastAsia"/>
                <w:color w:val="000000"/>
                <w:szCs w:val="21"/>
                <w:highlight w:val="none"/>
              </w:rPr>
              <w:t>分；</w:t>
            </w:r>
          </w:p>
          <w:p>
            <w:pPr>
              <w:pStyle w:val="84"/>
              <w:keepNext/>
              <w:keepLines/>
              <w:widowControl/>
              <w:spacing w:before="120" w:beforeLines="50" w:after="120" w:afterLines="50" w:line="240" w:lineRule="auto"/>
              <w:ind w:left="0" w:leftChars="0" w:right="0" w:rightChars="0"/>
              <w:rPr>
                <w:color w:val="000000"/>
                <w:szCs w:val="21"/>
                <w:highlight w:val="none"/>
              </w:rPr>
            </w:pPr>
            <w:r>
              <w:rPr>
                <w:rFonts w:hint="eastAsia"/>
                <w:color w:val="000000"/>
                <w:szCs w:val="21"/>
                <w:highlight w:val="none"/>
              </w:rPr>
              <w:t>3.</w:t>
            </w:r>
            <w:r>
              <w:rPr>
                <w:rFonts w:hint="eastAsia"/>
                <w:color w:val="000000"/>
                <w:highlight w:val="none"/>
              </w:rPr>
              <w:t xml:space="preserve"> </w:t>
            </w:r>
            <w:r>
              <w:rPr>
                <w:rFonts w:hint="eastAsia"/>
                <w:color w:val="000000"/>
                <w:szCs w:val="21"/>
                <w:highlight w:val="none"/>
              </w:rPr>
              <w:t>接到用户维修电话后在</w:t>
            </w:r>
            <w:r>
              <w:rPr>
                <w:color w:val="000000"/>
                <w:szCs w:val="21"/>
                <w:highlight w:val="none"/>
              </w:rPr>
              <w:t>1</w:t>
            </w:r>
            <w:r>
              <w:rPr>
                <w:rFonts w:hint="eastAsia"/>
                <w:color w:val="000000"/>
                <w:szCs w:val="21"/>
                <w:highlight w:val="none"/>
              </w:rPr>
              <w:t>小时内予以答复，并派有经验的技术人员1个工作日内到达现场维修的，得</w:t>
            </w:r>
            <w:r>
              <w:rPr>
                <w:color w:val="000000"/>
                <w:szCs w:val="21"/>
                <w:highlight w:val="none"/>
              </w:rPr>
              <w:t>1</w:t>
            </w:r>
            <w:r>
              <w:rPr>
                <w:rFonts w:hint="eastAsia"/>
                <w:color w:val="000000"/>
                <w:szCs w:val="21"/>
                <w:highlight w:val="none"/>
              </w:rPr>
              <w:t>分；</w:t>
            </w:r>
          </w:p>
          <w:p>
            <w:pPr>
              <w:pStyle w:val="84"/>
              <w:keepNext/>
              <w:keepLines/>
              <w:widowControl/>
              <w:spacing w:before="120" w:beforeLines="50" w:after="120" w:afterLines="50" w:line="240" w:lineRule="auto"/>
              <w:ind w:left="0" w:leftChars="0" w:right="0" w:rightChars="0"/>
              <w:rPr>
                <w:rFonts w:hint="eastAsia" w:ascii="宋体" w:hAnsi="宋体" w:cs="宋体"/>
                <w:bCs/>
                <w:color w:val="000000"/>
                <w:szCs w:val="22"/>
                <w:highlight w:val="none"/>
              </w:rPr>
            </w:pPr>
            <w:r>
              <w:rPr>
                <w:rFonts w:hint="eastAsia"/>
                <w:color w:val="000000"/>
                <w:szCs w:val="21"/>
                <w:highlight w:val="none"/>
              </w:rPr>
              <w:t>4.未</w:t>
            </w:r>
            <w:r>
              <w:rPr>
                <w:color w:val="000000"/>
                <w:szCs w:val="21"/>
                <w:highlight w:val="none"/>
              </w:rPr>
              <w:t>说明响应时间及到达现场时间的，得</w:t>
            </w:r>
            <w:r>
              <w:rPr>
                <w:rFonts w:hint="eastAsia"/>
                <w:color w:val="000000"/>
                <w:szCs w:val="21"/>
                <w:highlight w:val="none"/>
              </w:rPr>
              <w:t>0分</w:t>
            </w:r>
            <w:r>
              <w:rPr>
                <w:color w:val="000000"/>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590" w:hRule="atLeast"/>
          <w:jc w:val="center"/>
        </w:trPr>
        <w:tc>
          <w:tcPr>
            <w:tcW w:w="993" w:type="dxa"/>
            <w:tcBorders>
              <w:tl2br w:val="nil"/>
              <w:tr2bl w:val="nil"/>
            </w:tcBorders>
            <w:noWrap w:val="0"/>
            <w:vAlign w:val="center"/>
          </w:tcPr>
          <w:p>
            <w:pPr>
              <w:pStyle w:val="16"/>
              <w:numPr>
                <w:ilvl w:val="0"/>
                <w:numId w:val="11"/>
              </w:numPr>
              <w:spacing w:after="0" w:line="240" w:lineRule="auto"/>
              <w:ind w:left="0" w:leftChars="0" w:right="0" w:rightChars="0"/>
              <w:rPr>
                <w:color w:val="000000"/>
                <w:szCs w:val="21"/>
                <w:highlight w:val="none"/>
              </w:rPr>
            </w:pPr>
          </w:p>
        </w:tc>
        <w:tc>
          <w:tcPr>
            <w:tcW w:w="2034" w:type="dxa"/>
            <w:tcBorders>
              <w:tl2br w:val="nil"/>
              <w:tr2bl w:val="nil"/>
            </w:tcBorders>
            <w:noWrap w:val="0"/>
            <w:vAlign w:val="center"/>
          </w:tcPr>
          <w:p>
            <w:pPr>
              <w:spacing w:line="240" w:lineRule="auto"/>
              <w:jc w:val="center"/>
              <w:rPr>
                <w:bCs/>
                <w:color w:val="000000"/>
                <w:sz w:val="21"/>
                <w:szCs w:val="21"/>
                <w:highlight w:val="none"/>
              </w:rPr>
            </w:pPr>
            <w:r>
              <w:rPr>
                <w:rFonts w:hint="eastAsia"/>
                <w:bCs/>
                <w:color w:val="000000"/>
                <w:sz w:val="21"/>
                <w:szCs w:val="21"/>
                <w:highlight w:val="none"/>
              </w:rPr>
              <w:t>业绩</w:t>
            </w:r>
          </w:p>
        </w:tc>
        <w:tc>
          <w:tcPr>
            <w:tcW w:w="850" w:type="dxa"/>
            <w:tcBorders>
              <w:tl2br w:val="nil"/>
              <w:tr2bl w:val="nil"/>
            </w:tcBorders>
            <w:noWrap w:val="0"/>
            <w:vAlign w:val="center"/>
          </w:tcPr>
          <w:p>
            <w:pPr>
              <w:spacing w:line="240" w:lineRule="auto"/>
              <w:ind w:left="420" w:hanging="420" w:hangingChars="200"/>
              <w:jc w:val="center"/>
              <w:rPr>
                <w:rFonts w:hint="eastAsia"/>
                <w:bCs/>
                <w:color w:val="000000"/>
                <w:sz w:val="21"/>
                <w:szCs w:val="21"/>
                <w:highlight w:val="none"/>
              </w:rPr>
            </w:pPr>
            <w:r>
              <w:rPr>
                <w:rFonts w:hint="eastAsia"/>
                <w:bCs/>
                <w:color w:val="000000"/>
                <w:sz w:val="21"/>
                <w:szCs w:val="21"/>
                <w:highlight w:val="none"/>
              </w:rPr>
              <w:t>5</w:t>
            </w:r>
          </w:p>
        </w:tc>
        <w:tc>
          <w:tcPr>
            <w:tcW w:w="5815" w:type="dxa"/>
            <w:tcBorders>
              <w:tl2br w:val="nil"/>
              <w:tr2bl w:val="nil"/>
            </w:tcBorders>
            <w:noWrap w:val="0"/>
            <w:vAlign w:val="center"/>
          </w:tcPr>
          <w:p>
            <w:pPr>
              <w:pStyle w:val="84"/>
              <w:keepNext/>
              <w:keepLines/>
              <w:widowControl/>
              <w:spacing w:before="120" w:beforeLines="50" w:after="120" w:afterLines="50" w:line="240" w:lineRule="auto"/>
              <w:ind w:left="0" w:leftChars="0" w:right="0" w:rightChars="0"/>
              <w:rPr>
                <w:rFonts w:hint="eastAsia"/>
                <w:bCs/>
                <w:color w:val="000000"/>
                <w:highlight w:val="none"/>
              </w:rPr>
            </w:pPr>
            <w:r>
              <w:rPr>
                <w:rFonts w:hint="eastAsia"/>
                <w:bCs/>
                <w:color w:val="000000"/>
                <w:szCs w:val="21"/>
                <w:highlight w:val="none"/>
              </w:rPr>
              <w:t>供应商提供的产品近三年内1个类似业绩得1分，最多得5分。不提供不得分。（以2018年7月至今，以加盖公章得的合同复印件为准）</w:t>
            </w:r>
          </w:p>
        </w:tc>
      </w:tr>
      <w:bookmarkEnd w:id="1318"/>
    </w:tbl>
    <w:p>
      <w:pPr>
        <w:rPr>
          <w:color w:val="000000"/>
          <w:sz w:val="21"/>
          <w:szCs w:val="21"/>
          <w:highlight w:val="none"/>
        </w:rPr>
      </w:pPr>
      <w:r>
        <w:rPr>
          <w:color w:val="000000"/>
          <w:sz w:val="21"/>
          <w:szCs w:val="21"/>
          <w:highlight w:val="none"/>
        </w:rPr>
        <w:t>注：.  各项评标要素所涉及的评审内容包括但不限于表中所列的“主要评审内容”。</w:t>
      </w:r>
    </w:p>
    <w:p>
      <w:pPr>
        <w:pStyle w:val="3"/>
        <w:numPr>
          <w:ilvl w:val="0"/>
          <w:numId w:val="0"/>
        </w:numPr>
        <w:rPr>
          <w:color w:val="000000"/>
          <w:highlight w:val="none"/>
        </w:rPr>
      </w:pPr>
    </w:p>
    <w:p>
      <w:pPr>
        <w:pStyle w:val="3"/>
        <w:numPr>
          <w:ilvl w:val="1"/>
          <w:numId w:val="10"/>
        </w:numPr>
        <w:rPr>
          <w:color w:val="000000"/>
          <w:highlight w:val="none"/>
        </w:rPr>
      </w:pPr>
      <w:r>
        <w:rPr>
          <w:color w:val="000000"/>
          <w:highlight w:val="none"/>
        </w:rPr>
        <w:t>响应情况</w:t>
      </w:r>
      <w:r>
        <w:rPr>
          <w:rFonts w:hint="eastAsia"/>
          <w:color w:val="000000"/>
          <w:highlight w:val="none"/>
        </w:rPr>
        <w:t>优</w:t>
      </w:r>
      <w:r>
        <w:rPr>
          <w:color w:val="000000"/>
          <w:highlight w:val="none"/>
        </w:rPr>
        <w:t>是指针对招标文件“</w:t>
      </w:r>
      <w:r>
        <w:rPr>
          <w:rStyle w:val="41"/>
          <w:rFonts w:ascii="Times New Roman"/>
          <w:color w:val="000000"/>
          <w:highlight w:val="none"/>
        </w:rPr>
        <w:t>技术规格</w:t>
      </w:r>
      <w:r>
        <w:rPr>
          <w:color w:val="000000"/>
          <w:highlight w:val="none"/>
        </w:rPr>
        <w:t>”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pPr>
        <w:pStyle w:val="3"/>
        <w:numPr>
          <w:ilvl w:val="1"/>
          <w:numId w:val="10"/>
        </w:numPr>
        <w:rPr>
          <w:color w:val="000000"/>
          <w:highlight w:val="none"/>
        </w:rPr>
      </w:pPr>
      <w:r>
        <w:rPr>
          <w:color w:val="000000"/>
          <w:highlight w:val="none"/>
        </w:rPr>
        <w:t>响应情况</w:t>
      </w:r>
      <w:r>
        <w:rPr>
          <w:rFonts w:hint="eastAsia"/>
          <w:color w:val="000000"/>
          <w:highlight w:val="none"/>
        </w:rPr>
        <w:t>一般</w:t>
      </w:r>
      <w:r>
        <w:rPr>
          <w:color w:val="000000"/>
          <w:highlight w:val="none"/>
        </w:rPr>
        <w:t>是指针对招标文件“</w:t>
      </w:r>
      <w:r>
        <w:rPr>
          <w:rStyle w:val="41"/>
          <w:rFonts w:ascii="Times New Roman"/>
          <w:color w:val="000000"/>
          <w:highlight w:val="none"/>
        </w:rPr>
        <w:t>技术规格</w:t>
      </w:r>
      <w:r>
        <w:rPr>
          <w:color w:val="000000"/>
          <w:highlight w:val="none"/>
        </w:rPr>
        <w:t>”所提出各项要求响应性说明比较系统，针对性较强；无负偏离或大的缺漏项；响应性表述较清晰，技术指标或参数较具体、明确、基本无冗余；设备选型较合理，类似业绩较丰富；验收标准和方法较科学、合理；承诺的违约责任具较有约束力，能够达到预期目标有利。</w:t>
      </w:r>
    </w:p>
    <w:p>
      <w:pPr>
        <w:pStyle w:val="3"/>
        <w:numPr>
          <w:ilvl w:val="1"/>
          <w:numId w:val="10"/>
        </w:numPr>
        <w:rPr>
          <w:color w:val="000000"/>
          <w:highlight w:val="none"/>
        </w:rPr>
      </w:pPr>
      <w:r>
        <w:rPr>
          <w:color w:val="000000"/>
          <w:highlight w:val="none"/>
        </w:rPr>
        <w:t>响应情况</w:t>
      </w:r>
      <w:r>
        <w:rPr>
          <w:rFonts w:hint="eastAsia"/>
          <w:color w:val="000000"/>
          <w:highlight w:val="none"/>
        </w:rPr>
        <w:t>差</w:t>
      </w:r>
      <w:r>
        <w:rPr>
          <w:color w:val="000000"/>
          <w:highlight w:val="none"/>
        </w:rPr>
        <w:t>是指针对招标文件“</w:t>
      </w:r>
      <w:r>
        <w:rPr>
          <w:rStyle w:val="41"/>
          <w:rFonts w:ascii="Times New Roman"/>
          <w:color w:val="000000"/>
          <w:highlight w:val="none"/>
        </w:rPr>
        <w:t>技术规格</w:t>
      </w:r>
      <w:r>
        <w:rPr>
          <w:color w:val="000000"/>
          <w:highlight w:val="none"/>
        </w:rPr>
        <w:t>”所提出各项要求响应性说明基本完整，针对性一般；有负偏离或较多缺漏项；个别内容的响应性表述不够清晰，技术指标或参数较不够具体或明确、无冗余；设备选型基本符合要求，有类似业绩，但相对较少；有验收标准和方法，但不够完整；承诺的违约责任不太具有约束力。</w:t>
      </w:r>
    </w:p>
    <w:p>
      <w:pPr>
        <w:pStyle w:val="3"/>
        <w:numPr>
          <w:ilvl w:val="1"/>
          <w:numId w:val="10"/>
        </w:numPr>
        <w:rPr>
          <w:color w:val="000000"/>
          <w:highlight w:val="none"/>
        </w:rPr>
      </w:pPr>
      <w:r>
        <w:rPr>
          <w:color w:val="000000"/>
          <w:highlight w:val="none"/>
        </w:rPr>
        <w:t>各评委对投标人打分的算数平均值为该投标人的最终得分。</w:t>
      </w:r>
    </w:p>
    <w:p>
      <w:pPr>
        <w:pStyle w:val="2"/>
        <w:numPr>
          <w:ilvl w:val="0"/>
          <w:numId w:val="10"/>
        </w:numPr>
        <w:rPr>
          <w:rFonts w:ascii="Times New Roman"/>
          <w:color w:val="000000"/>
          <w:highlight w:val="none"/>
        </w:rPr>
      </w:pPr>
      <w:bookmarkStart w:id="1319" w:name="_Toc512602498"/>
      <w:bookmarkStart w:id="1320" w:name="_Toc503130458"/>
      <w:bookmarkStart w:id="1321" w:name="_Toc30466"/>
      <w:bookmarkStart w:id="1322" w:name="_Toc5116317"/>
      <w:bookmarkStart w:id="1323" w:name="_Toc479109474"/>
      <w:r>
        <w:rPr>
          <w:rFonts w:ascii="Times New Roman"/>
          <w:color w:val="000000"/>
          <w:highlight w:val="none"/>
        </w:rPr>
        <w:t>推荐中标人</w:t>
      </w:r>
      <w:bookmarkEnd w:id="1319"/>
      <w:bookmarkEnd w:id="1320"/>
      <w:bookmarkEnd w:id="1321"/>
      <w:bookmarkEnd w:id="1322"/>
      <w:bookmarkEnd w:id="1323"/>
    </w:p>
    <w:p>
      <w:pPr>
        <w:pStyle w:val="3"/>
        <w:numPr>
          <w:ilvl w:val="1"/>
          <w:numId w:val="10"/>
        </w:numPr>
        <w:rPr>
          <w:color w:val="000000"/>
          <w:highlight w:val="none"/>
        </w:rPr>
      </w:pPr>
      <w:r>
        <w:rPr>
          <w:color w:val="000000"/>
          <w:highlight w:val="none"/>
        </w:rPr>
        <w:t>评标委员会根据各投标人最终得分的排序，</w:t>
      </w:r>
      <w:r>
        <w:rPr>
          <w:rFonts w:hint="eastAsia"/>
          <w:color w:val="000000"/>
          <w:highlight w:val="none"/>
        </w:rPr>
        <w:t>向招标人推荐前三名投标人作为本次招标的中标候选人</w:t>
      </w:r>
      <w:r>
        <w:rPr>
          <w:color w:val="000000"/>
          <w:highlight w:val="none"/>
        </w:rPr>
        <w:t>。</w:t>
      </w:r>
    </w:p>
    <w:p>
      <w:pPr>
        <w:pStyle w:val="3"/>
        <w:numPr>
          <w:ilvl w:val="1"/>
          <w:numId w:val="10"/>
        </w:numPr>
        <w:rPr>
          <w:color w:val="000000"/>
          <w:highlight w:val="none"/>
        </w:rPr>
      </w:pPr>
      <w:r>
        <w:rPr>
          <w:color w:val="000000"/>
          <w:highlight w:val="none"/>
        </w:rPr>
        <w:t>若投标人最终得分相同，则根据投标人须知第</w:t>
      </w:r>
      <w:r>
        <w:rPr>
          <w:color w:val="000000"/>
          <w:highlight w:val="none"/>
        </w:rPr>
        <w:fldChar w:fldCharType="begin"/>
      </w:r>
      <w:r>
        <w:rPr>
          <w:color w:val="000000"/>
          <w:highlight w:val="none"/>
        </w:rPr>
        <w:instrText xml:space="preserve"> REF _Ref394397336 \r \h  \* MERGEFORMAT </w:instrText>
      </w:r>
      <w:r>
        <w:rPr>
          <w:color w:val="000000"/>
          <w:highlight w:val="none"/>
        </w:rPr>
        <w:fldChar w:fldCharType="separate"/>
      </w:r>
      <w:r>
        <w:rPr>
          <w:color w:val="000000"/>
          <w:highlight w:val="none"/>
        </w:rPr>
        <w:t>27.3</w:t>
      </w:r>
      <w:r>
        <w:rPr>
          <w:color w:val="000000"/>
          <w:highlight w:val="none"/>
        </w:rPr>
        <w:fldChar w:fldCharType="end"/>
      </w:r>
      <w:r>
        <w:rPr>
          <w:color w:val="000000"/>
          <w:highlight w:val="none"/>
        </w:rPr>
        <w:t>条规则排序；若排序仍相同，则按投标价由低到高顺序排序；若排序仍相同，按</w:t>
      </w:r>
      <w:r>
        <w:rPr>
          <w:rFonts w:hint="eastAsia"/>
          <w:color w:val="000000"/>
          <w:highlight w:val="none"/>
        </w:rPr>
        <w:t>除评标价以外满分分值最大的评标要素的得分（若满分分值同时达到最大，则以序号较小的评标要素为准）</w:t>
      </w:r>
      <w:r>
        <w:rPr>
          <w:color w:val="000000"/>
          <w:highlight w:val="none"/>
        </w:rPr>
        <w:t>由高到低顺序排序；若排序仍相同，则由评标委员会根据项目实际情况以利于采购资金使用效益的原则择优排序。</w:t>
      </w:r>
    </w:p>
    <w:p>
      <w:pPr>
        <w:pStyle w:val="3"/>
        <w:numPr>
          <w:ilvl w:val="1"/>
          <w:numId w:val="10"/>
        </w:numPr>
        <w:rPr>
          <w:color w:val="000000"/>
          <w:highlight w:val="none"/>
        </w:rPr>
      </w:pPr>
      <w:r>
        <w:rPr>
          <w:color w:val="000000"/>
          <w:highlight w:val="none"/>
        </w:rPr>
        <w:t>招标人将确定</w:t>
      </w:r>
      <w:r>
        <w:rPr>
          <w:b/>
          <w:color w:val="000000"/>
          <w:highlight w:val="none"/>
        </w:rPr>
        <w:t>排名第一</w:t>
      </w:r>
      <w:r>
        <w:rPr>
          <w:color w:val="000000"/>
          <w:highlight w:val="none"/>
        </w:rPr>
        <w:t>的中标候选人为本次招标的中标人。如排名第一的中标候选人放弃中标，因不可抗力提出不能履行合同，不按招标文件要求提交履约保证金（若</w:t>
      </w:r>
      <w:r>
        <w:rPr>
          <w:rStyle w:val="41"/>
          <w:rFonts w:ascii="Times New Roman"/>
          <w:color w:val="000000"/>
          <w:highlight w:val="none"/>
        </w:rPr>
        <w:t>合同条款</w:t>
      </w:r>
      <w:r>
        <w:rPr>
          <w:color w:val="000000"/>
          <w:highlight w:val="none"/>
        </w:rPr>
        <w:t>有约定），或者被查实存在影响中标结果的违法行为等情形而不符合中标条件的，招标人有权按序确定后续排名的中标候选人为本次招标的中标人，或组织重新采购。</w:t>
      </w:r>
      <w:bookmarkStart w:id="1324" w:name="完"/>
      <w:bookmarkEnd w:id="1324"/>
    </w:p>
    <w:p>
      <w:pPr>
        <w:rPr>
          <w:color w:val="000000"/>
          <w:highlight w:val="none"/>
        </w:rPr>
      </w:pPr>
    </w:p>
    <w:p>
      <w:pPr>
        <w:rPr>
          <w:color w:val="000000"/>
          <w:highlight w:val="none"/>
        </w:rPr>
      </w:pPr>
    </w:p>
    <w:p>
      <w:pPr>
        <w:rPr>
          <w:color w:val="000000"/>
          <w:highlight w:val="none"/>
        </w:rPr>
      </w:pPr>
    </w:p>
    <w:p>
      <w:pPr>
        <w:rPr>
          <w:color w:val="000000"/>
          <w:highlight w:val="none"/>
        </w:rPr>
      </w:pPr>
    </w:p>
    <w:sectPr>
      <w:headerReference r:id="rId32" w:type="first"/>
      <w:footerReference r:id="rId34" w:type="first"/>
      <w:footerReference r:id="rId33" w:type="default"/>
      <w:pgSz w:w="11907" w:h="16840"/>
      <w:pgMar w:top="1588" w:right="1021" w:bottom="1474" w:left="1021" w:header="1021" w:footer="992" w:gutter="340"/>
      <w:pgBorders>
        <w:top w:val="none" w:sz="0" w:space="0"/>
        <w:left w:val="none" w:sz="0" w:space="0"/>
        <w:bottom w:val="none" w:sz="0" w:space="0"/>
        <w:right w:val="none" w:sz="0" w:space="0"/>
      </w:pgBorders>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ind w:left="284" w:right="284"/>
      <w:rPr>
        <w:rStyle w:val="36"/>
      </w:rPr>
    </w:pPr>
    <w:r>
      <w:fldChar w:fldCharType="begin"/>
    </w:r>
    <w:r>
      <w:rPr>
        <w:rStyle w:val="36"/>
      </w:rPr>
      <w:instrText xml:space="preserve">PAGE  </w:instrText>
    </w:r>
    <w:r>
      <w:fldChar w:fldCharType="separate"/>
    </w:r>
    <w:r>
      <w:rPr>
        <w:rStyle w:val="36"/>
      </w:rPr>
      <w:t>II</w:t>
    </w:r>
    <w:r>
      <w:fldChar w:fldCharType="end"/>
    </w:r>
  </w:p>
  <w:p>
    <w:pPr>
      <w:pStyle w:val="2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pPr>
    <w:r>
      <mc:AlternateContent>
        <mc:Choice Requires="wps">
          <w:drawing>
            <wp:anchor distT="0" distB="0" distL="114300" distR="114300" simplePos="0" relativeHeight="251659264"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19"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rPr>
                              <w:rStyle w:val="36"/>
                            </w:rPr>
                          </w:pPr>
                          <w:r>
                            <w:fldChar w:fldCharType="begin"/>
                          </w:r>
                          <w:r>
                            <w:rPr>
                              <w:rStyle w:val="36"/>
                            </w:rPr>
                            <w:instrText xml:space="preserve">PAGE  </w:instrText>
                          </w:r>
                          <w:r>
                            <w:fldChar w:fldCharType="separate"/>
                          </w:r>
                          <w:r>
                            <w:rPr>
                              <w:rStyle w:val="36"/>
                            </w:rPr>
                            <w:t>ii</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left:399.05pt;margin-top:0pt;height:144pt;width:144pt;mso-position-horizontal-relative:page;mso-wrap-style:none;z-index:251659264;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iNzvrTAAAACQEAAA8AAAAAAAAAAQAgAAAAIgAAAGRycy9kb3ducmV2&#10;LnhtbFBLAQIUABQAAAAIAIdO4kBde5CwyAEAAJoDAAAOAAAAAAAAAAEAIAAAACIBAABkcnMvZTJv&#10;RG9jLnhtbFBLBQYAAAAABgAGAFkBAABcBQAAAAA=&#10;">
              <v:fill on="f" focussize="0,0"/>
              <v:stroke on="f"/>
              <v:imagedata o:title=""/>
              <o:lock v:ext="edit" aspectratio="f"/>
              <v:textbox inset="0mm,0mm,0mm,0mm" style="mso-fit-shape-to-text:t;">
                <w:txbxContent>
                  <w:p>
                    <w:pPr>
                      <w:pStyle w:val="22"/>
                      <w:rPr>
                        <w:rStyle w:val="36"/>
                      </w:rPr>
                    </w:pPr>
                    <w:r>
                      <w:fldChar w:fldCharType="begin"/>
                    </w:r>
                    <w:r>
                      <w:rPr>
                        <w:rStyle w:val="36"/>
                      </w:rPr>
                      <w:instrText xml:space="preserve">PAGE  </w:instrText>
                    </w:r>
                    <w:r>
                      <w:fldChar w:fldCharType="separate"/>
                    </w:r>
                    <w:r>
                      <w:rPr>
                        <w:rStyle w:val="36"/>
                      </w:rPr>
                      <w:t>ii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ind w:left="284" w:right="284"/>
      <w:rPr>
        <w:rStyle w:val="36"/>
      </w:rPr>
    </w:pPr>
    <w:r>
      <w:fldChar w:fldCharType="begin"/>
    </w:r>
    <w:r>
      <w:rPr>
        <w:rStyle w:val="36"/>
      </w:rPr>
      <w:instrText xml:space="preserve">PAGE  </w:instrText>
    </w:r>
    <w:r>
      <w:fldChar w:fldCharType="separate"/>
    </w:r>
    <w:r>
      <w:rPr>
        <w:rStyle w:val="36"/>
      </w:rPr>
      <w:t>4</w:t>
    </w:r>
    <w:r>
      <w:fldChar w:fldCharType="end"/>
    </w:r>
  </w:p>
  <w:p>
    <w:pPr>
      <w:pStyle w:val="2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rPr>
        <w:rFonts w:hint="eastAsia"/>
      </w:rPr>
    </w:pPr>
    <w:r>
      <mc:AlternateContent>
        <mc:Choice Requires="wps">
          <w:drawing>
            <wp:anchor distT="0" distB="0" distL="114300" distR="114300" simplePos="0" relativeHeight="251660288"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0"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3" o:spid="_x0000_s1026" o:spt="202" type="#_x0000_t202" style="position:absolute;left:0pt;margin-left:399.05pt;margin-top:0pt;height:144pt;width:144pt;mso-position-horizontal-relative:page;mso-wrap-style:none;z-index:251660288;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jc760wAAAAkBAAAPAAAAAAAAAAEAIAAAACIAAABkcnMvZG93bnJl&#10;di54bWxQSwECFAAUAAAACACHTuJA3aZJkskBAACaAwAADgAAAAAAAAABACAAAAAiAQAAZHJzL2Uy&#10;b0RvYy54bWxQSwUGAAAAAAYABgBZAQAAXQU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ind w:left="284" w:right="284"/>
      <w:rPr>
        <w:rStyle w:val="36"/>
      </w:rPr>
    </w:pPr>
    <w:r>
      <w:fldChar w:fldCharType="begin"/>
    </w:r>
    <w:r>
      <w:rPr>
        <w:rStyle w:val="36"/>
      </w:rPr>
      <w:instrText xml:space="preserve">PAGE  </w:instrText>
    </w:r>
    <w:r>
      <w:fldChar w:fldCharType="separate"/>
    </w:r>
    <w:r>
      <w:rPr>
        <w:rStyle w:val="36"/>
      </w:rPr>
      <w:t>4</w:t>
    </w:r>
    <w:r>
      <w:fldChar w:fldCharType="end"/>
    </w:r>
  </w:p>
  <w:p>
    <w:pPr>
      <w:pStyle w:val="22"/>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1312"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1</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4" o:spid="_x0000_s1026" o:spt="202" type="#_x0000_t202" style="position:absolute;left:0pt;margin-left:399.05pt;margin-top:0pt;height:144pt;width:144pt;mso-position-horizontal-relative:page;mso-wrap-style:none;z-index:251661312;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jc760wAAAAkBAAAPAAAAAAAAAAEAIAAAACIAAABkcnMvZG93bnJl&#10;di54bWxQSwECFAAUAAAACACHTuJAK14V/skBAACaAwAADgAAAAAAAAABACAAAAAiAQAAZHJzL2Uy&#10;b0RvYy54bWxQSwUGAAAAAAYABgBZAQAAXQU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1</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2336"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27</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5" o:spid="_x0000_s1026" o:spt="202" type="#_x0000_t202" style="position:absolute;left:0pt;margin-left:399.05pt;margin-top:0pt;height:144pt;width:144pt;mso-position-horizontal-relative:page;mso-wrap-style:none;z-index:251662336;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iNzvrTAAAACQEAAA8AAAAAAAAAAQAgAAAAIgAAAGRycy9kb3ducmV2&#10;LnhtbFBLAQIUABQAAAAIAIdO4kA5f2qQyAEAAJoDAAAOAAAAAAAAAAEAIAAAACIBAABkcnMvZTJv&#10;RG9jLnhtbFBLBQYAAAAABgAGAFkBAABcBQ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27</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3360"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6</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6" o:spid="_x0000_s1026" o:spt="202" type="#_x0000_t202" style="position:absolute;left:0pt;margin-left:399.05pt;margin-top:0pt;height:144pt;width:144pt;mso-position-horizontal-relative:page;mso-wrap-style:none;z-index:251663360;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MuTe5HKAQAAmg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6</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4384"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7" o:spid="_x0000_s1026" o:spt="202" type="#_x0000_t202" style="position:absolute;left:0pt;margin-left:399.05pt;margin-top:0pt;height:144pt;width:144pt;mso-position-horizontal-relative:page;mso-wrap-style:none;z-index:251664384;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jc760wAAAAkBAAAPAAAAAAAAAAEAIAAAACIAAABkcnMvZG93bnJl&#10;di54bWxQSwECFAAUAAAACACHTuJAHT2UTMkBAACaAwAADgAAAAAAAAABACAAAAAiAQAAZHJzL2Uy&#10;b0RvYy54bWxQSwUGAAAAAAYABgBZAQAAXQU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5408"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5"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28</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8" o:spid="_x0000_s1026" o:spt="202" type="#_x0000_t202" style="position:absolute;left:0pt;margin-left:399.05pt;margin-top:0pt;height:144pt;width:144pt;mso-position-horizontal-relative:page;mso-wrap-style:none;z-index:251665408;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iNzvrTAAAACQEAAA8AAAAAAAAAAQAgAAAAIgAAAGRycy9kb3ducmV2&#10;LnhtbFBLAQIUABQAAAAIAIdO4kDj7VL6yAEAAJoDAAAOAAAAAAAAAAEAIAAAACIBAABkcnMvZTJv&#10;RG9jLnhtbFBLBQYAAAAABgAGAFkBAABcBQ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28</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Style w:val="36"/>
        <w:rFonts w:hint="eastAsia"/>
      </w:rPr>
    </w:pPr>
    <w:r>
      <mc:AlternateContent>
        <mc:Choice Requires="wps">
          <w:drawing>
            <wp:anchor distT="0" distB="0" distL="114300" distR="114300" simplePos="0" relativeHeight="251666432"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6"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39</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1" o:spid="_x0000_s1026" o:spt="202" type="#_x0000_t202" style="position:absolute;left:0pt;margin-left:399.05pt;margin-top:0pt;height:144pt;width:144pt;mso-position-horizontal-relative:page;mso-wrap-style:none;z-index:251666432;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HRynKH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39</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Style w:val="36"/>
        <w:rFonts w:hint="eastAsia"/>
      </w:rPr>
    </w:pPr>
    <w:r>
      <mc:AlternateContent>
        <mc:Choice Requires="wps">
          <w:drawing>
            <wp:anchor distT="0" distB="0" distL="114300" distR="114300" simplePos="0" relativeHeight="251667456"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7"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36</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2" o:spid="_x0000_s1026" o:spt="202" type="#_x0000_t202" style="position:absolute;left:0pt;margin-left:399.05pt;margin-top:0pt;height:144pt;width:144pt;mso-position-horizontal-relative:page;mso-wrap-style:none;z-index:251667456;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N6b/0b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36</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8480"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8"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84</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3" o:spid="_x0000_s1026" o:spt="202" type="#_x0000_t202" style="position:absolute;left:0pt;margin-left:399.05pt;margin-top:0pt;height:144pt;width:144pt;mso-position-horizontal-relative:page;mso-wrap-style:none;z-index:251668480;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jc760wAAAAkBAAAPAAAAAAAAAAEAIAAAACIAAABkcnMvZG93bnJl&#10;di54bWxQSwECFAAUAAAACACHTuJATg/Zp8kBAACbAwAADgAAAAAAAAABACAAAAAiAQAAZHJzL2Uy&#10;b0RvYy54bWxQSwUGAAAAAAYABgBZAQAAXQU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84</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69504"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29"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57</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4" o:spid="_x0000_s1026" o:spt="202" type="#_x0000_t202" style="position:absolute;left:0pt;margin-left:399.05pt;margin-top:0pt;height:144pt;width:144pt;mso-position-horizontal-relative:page;mso-wrap-style:none;z-index:251669504;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ODy9y3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57</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70528"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30"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94</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5" o:spid="_x0000_s1026" o:spt="202" type="#_x0000_t202" style="position:absolute;left:0pt;margin-left:399.05pt;margin-top:0pt;height:144pt;width:144pt;mso-position-horizontal-relative:page;mso-wrap-style:none;z-index:251670528;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jc760wAAAAkBAAAPAAAAAAAAAAEAIAAAACIAAABkcnMvZG93bnJl&#10;di54bWxQSwECFAAUAAAACACHTuJALzb2sckBAACbAwAADgAAAAAAAAABACAAAAAiAQAAZHJzL2Uy&#10;b0RvYy54bWxQSwUGAAAAAAYABgBZAQAAXQU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94</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ind w:left="284" w:right="284"/>
      <w:rPr>
        <w:rStyle w:val="36"/>
      </w:rPr>
    </w:pPr>
    <w:r>
      <w:fldChar w:fldCharType="begin"/>
    </w:r>
    <w:r>
      <w:rPr>
        <w:rStyle w:val="36"/>
      </w:rPr>
      <w:instrText xml:space="preserve">PAGE  </w:instrText>
    </w:r>
    <w:r>
      <w:fldChar w:fldCharType="separate"/>
    </w:r>
    <w:r>
      <w:rPr>
        <w:rStyle w:val="36"/>
      </w:rPr>
      <w:t>4</w:t>
    </w:r>
    <w:r>
      <w:fldChar w:fldCharType="end"/>
    </w:r>
  </w:p>
  <w:p>
    <w:pPr>
      <w:pStyle w:val="22"/>
      <w:ind w:right="360" w:firstLine="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mc:AlternateContent>
        <mc:Choice Requires="wps">
          <w:drawing>
            <wp:anchor distT="0" distB="0" distL="114300" distR="114300" simplePos="0" relativeHeight="251671552"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31"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85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6" o:spid="_x0000_s1026" o:spt="202" type="#_x0000_t202" style="position:absolute;left:0pt;margin-left:399.05pt;margin-top:0pt;height:144pt;width:144pt;mso-position-horizontal-relative:page;mso-wrap-style:none;z-index:251671552;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IXflVb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85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rPr>
    </w:pPr>
    <w:r>
      <mc:AlternateContent>
        <mc:Choice Requires="wps">
          <w:drawing>
            <wp:anchor distT="0" distB="0" distL="114300" distR="114300" simplePos="0" relativeHeight="251672576"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32"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100</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7" o:spid="_x0000_s1026" o:spt="202" type="#_x0000_t202" style="position:absolute;left:0pt;margin-left:399.05pt;margin-top:0pt;height:144pt;width:144pt;mso-position-horizontal-relative:page;mso-wrap-style:none;z-index:251672576;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D73Dcn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100</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mc:AlternateContent>
        <mc:Choice Requires="wps">
          <w:drawing>
            <wp:anchor distT="0" distB="0" distL="114300" distR="114300" simplePos="0" relativeHeight="251673600" behindDoc="0" locked="0" layoutInCell="1" allowOverlap="1">
              <wp:simplePos x="0" y="0"/>
              <wp:positionH relativeFrom="page">
                <wp:posOffset>5067935</wp:posOffset>
              </wp:positionH>
              <wp:positionV relativeFrom="paragraph">
                <wp:posOffset>0</wp:posOffset>
              </wp:positionV>
              <wp:extent cx="1828800" cy="1828800"/>
              <wp:effectExtent l="0" t="0" r="0" b="0"/>
              <wp:wrapNone/>
              <wp:docPr id="33"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95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wps:txbx>
                    <wps:bodyPr wrap="none" lIns="0" tIns="0" rIns="0" bIns="0" upright="0">
                      <a:spAutoFit/>
                    </wps:bodyPr>
                  </wps:wsp>
                </a:graphicData>
              </a:graphic>
            </wp:anchor>
          </w:drawing>
        </mc:Choice>
        <mc:Fallback>
          <w:pict>
            <v:shape id="文本框 19" o:spid="_x0000_s1026" o:spt="202" type="#_x0000_t202" style="position:absolute;left:0pt;margin-left:399.05pt;margin-top:0pt;height:144pt;width:144pt;mso-position-horizontal-relative:page;mso-wrap-style:none;z-index:251673600;mso-width-relative:page;mso-height-relative:page;" filled="f" stroked="f" coordsize="21600,21600" o:gfxdata="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I3O+tMAAAAJAQAADwAAAAAAAAABACAAAAAiAAAAZHJzL2Rvd25y&#10;ZXYueG1sUEsBAhQAFAAAAAgAh07iQJln6oLKAQAAmwMAAA4AAAAAAAAAAQAgAAAAIgEAAGRycy9l&#10;Mm9Eb2MueG1sUEsFBgAAAAAGAAYAWQEAAF4FAAAAAA==&#10;">
              <v:fill on="f" focussize="0,0"/>
              <v:stroke on="f"/>
              <v:imagedata o:title=""/>
              <o:lock v:ext="edit" aspectratio="f"/>
              <v:textbox inset="0mm,0mm,0mm,0mm" style="mso-fit-shape-to-text:t;">
                <w:txbxContent>
                  <w:p>
                    <w:pPr>
                      <w:pStyle w:val="22"/>
                      <w:wordWrap w:val="0"/>
                      <w:jc w:val="right"/>
                      <w:rPr>
                        <w:rStyle w:val="36"/>
                      </w:rPr>
                    </w:pPr>
                    <w:r>
                      <w:rPr>
                        <w:rStyle w:val="36"/>
                        <w:rFonts w:hint="eastAsia"/>
                      </w:rPr>
                      <w:t>第</w:t>
                    </w:r>
                    <w:r>
                      <w:fldChar w:fldCharType="begin"/>
                    </w:r>
                    <w:r>
                      <w:rPr>
                        <w:rStyle w:val="36"/>
                      </w:rPr>
                      <w:instrText xml:space="preserve">PAGE  </w:instrText>
                    </w:r>
                    <w:r>
                      <w:fldChar w:fldCharType="separate"/>
                    </w:r>
                    <w:r>
                      <w:rPr>
                        <w:rStyle w:val="36"/>
                        <w:lang/>
                      </w:rPr>
                      <w:t>95</w:t>
                    </w:r>
                    <w:r>
                      <w:fldChar w:fldCharType="end"/>
                    </w:r>
                    <w:r>
                      <w:rPr>
                        <w:rStyle w:val="36"/>
                        <w:rFonts w:hint="eastAsia"/>
                      </w:rPr>
                      <w:t>页</w:t>
                    </w:r>
                    <w:r>
                      <w:rPr>
                        <w:rStyle w:val="36"/>
                      </w:rPr>
                      <w:t xml:space="preserve">  </w:t>
                    </w:r>
                    <w:r>
                      <w:rPr>
                        <w:rStyle w:val="36"/>
                        <w:rFonts w:hint="eastAsia"/>
                      </w:rPr>
                      <w:t>共</w:t>
                    </w:r>
                    <w:r>
                      <w:fldChar w:fldCharType="begin"/>
                    </w:r>
                    <w:r>
                      <w:instrText xml:space="preserve"> PAGEREF 完 \h </w:instrText>
                    </w:r>
                    <w:r>
                      <w:fldChar w:fldCharType="separate"/>
                    </w:r>
                    <w:r>
                      <w:t>103</w:t>
                    </w:r>
                    <w:r>
                      <w:fldChar w:fldCharType="end"/>
                    </w:r>
                    <w:r>
                      <w:rPr>
                        <w:rStyle w:val="36"/>
                        <w:rFonts w:hint="eastAsia"/>
                      </w:rP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line="240" w:lineRule="auto"/>
      </w:pPr>
      <w:r>
        <w:separator/>
      </w:r>
    </w:p>
  </w:footnote>
  <w:footnote w:type="continuationSeparator" w:id="7">
    <w:p>
      <w:pPr>
        <w:spacing w:line="240" w:lineRule="auto"/>
      </w:pPr>
      <w:r>
        <w:continuationSeparator/>
      </w:r>
    </w:p>
  </w:footnote>
  <w:footnote w:id="0">
    <w:p>
      <w:pPr>
        <w:pStyle w:val="27"/>
      </w:pPr>
      <w:r>
        <w:rPr>
          <w:vertAlign w:val="superscript"/>
        </w:rPr>
        <w:footnoteRef/>
      </w:r>
      <w:r>
        <w:t xml:space="preserve"> </w:t>
      </w:r>
      <w:r>
        <w:rPr>
          <w:rFonts w:hint="eastAsia"/>
        </w:rPr>
        <w:t>从业人员、营业收入、资产总额填报上一年度数据，无上一年度数据的新成立企业可不填报。</w:t>
      </w:r>
    </w:p>
  </w:footnote>
  <w:footnote w:id="1">
    <w:p>
      <w:pPr>
        <w:pStyle w:val="27"/>
      </w:pPr>
      <w:r>
        <w:rPr>
          <w:vertAlign w:val="superscript"/>
        </w:rPr>
        <w:footnoteRef/>
      </w:r>
      <w:r>
        <w:t xml:space="preserve"> </w:t>
      </w:r>
      <w:r>
        <w:rPr>
          <w:rFonts w:hint="eastAsia"/>
        </w:rPr>
        <w:t>若仅有1家制造商提供产品，可仅填写“1、”而不填写“2、”，仅对该制造商进行中小企业声明。</w:t>
      </w:r>
    </w:p>
  </w:footnote>
  <w:footnote w:id="2">
    <w:p>
      <w:pPr>
        <w:pStyle w:val="27"/>
      </w:pPr>
      <w:r>
        <w:rPr>
          <w:vertAlign w:val="superscript"/>
        </w:rPr>
        <w:footnoteRef/>
      </w:r>
      <w:r>
        <w:t xml:space="preserve"> </w:t>
      </w:r>
      <w:r>
        <w:rPr>
          <w:rFonts w:hint="eastAsia"/>
        </w:rPr>
        <w:t>若有多家制造商共同参与提供产品，需对各制造商独立声明，可自行增加声明单位数量，以此类推。</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double" w:color="auto" w:sz="6" w:space="1"/>
      </w:pBdr>
      <w:rPr>
        <w:sz w:val="24"/>
      </w:rPr>
    </w:pPr>
    <w:r>
      <w:rPr>
        <w:rFonts w:hint="eastAsia"/>
        <w:sz w:val="24"/>
      </w:rPr>
      <w:t>招标文件（编号：）</w:t>
    </w:r>
  </w:p>
  <w:p>
    <w:pPr>
      <w:pStyle w:val="23"/>
      <w:pBdr>
        <w:bottom w:val="double" w:color="auto" w:sz="6" w:space="1"/>
      </w:pBdr>
      <w:spacing w:line="60" w:lineRule="exac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left" w:pos="2964"/>
        <w:tab w:val="center" w:pos="4763"/>
      </w:tabs>
      <w:jc w:val="left"/>
      <w:rPr>
        <w:rFonts w:hint="eastAsia"/>
      </w:rPr>
    </w:pPr>
    <w:r>
      <w:rPr>
        <w:rFonts w:hint="eastAsia"/>
        <w:lang w:eastAsia="zh-CN"/>
      </w:rPr>
      <w:t>复旦大学邯郸校区光学楼群遮阳系统采购</w:t>
    </w:r>
    <w:r>
      <w:rPr>
        <w:rFonts w:hint="eastAsia"/>
      </w:rPr>
      <w:t>招标文件</w:t>
    </w:r>
  </w:p>
  <w:p>
    <w:pPr>
      <w:pStyle w:val="23"/>
      <w:tabs>
        <w:tab w:val="left" w:pos="2964"/>
        <w:tab w:val="center" w:pos="4763"/>
      </w:tabs>
      <w:jc w:val="left"/>
      <w:rPr>
        <w:rFonts w:hint="eastAsia"/>
      </w:rPr>
    </w:pPr>
    <w:r>
      <w:rPr>
        <w:rFonts w:hint="eastAsia"/>
      </w:rPr>
      <w:t>（项目编号：</w:t>
    </w:r>
    <w:r>
      <w:rPr>
        <w:rFonts w:hint="eastAsia"/>
        <w:lang w:eastAsia="zh-CN"/>
      </w:rPr>
      <w:t>HW2021072604</w:t>
    </w:r>
    <w:r>
      <w:rPr>
        <w:rFonts w:hint="eastAsia"/>
      </w:rPr>
      <w: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double" w:color="auto" w:sz="6" w:space="1"/>
      </w:pBdr>
      <w:rPr>
        <w:sz w:val="24"/>
      </w:rPr>
    </w:pPr>
    <w:r>
      <w:rPr>
        <w:rFonts w:hint="eastAsia"/>
        <w:sz w:val="24"/>
      </w:rPr>
      <w:t>招标文件（编号：）</w:t>
    </w:r>
  </w:p>
  <w:p>
    <w:pPr>
      <w:pStyle w:val="23"/>
      <w:pBdr>
        <w:bottom w:val="double" w:color="auto" w:sz="6" w:space="1"/>
      </w:pBdr>
      <w:spacing w:line="60" w:lineRule="exac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double" w:color="auto" w:sz="6" w:space="1"/>
      </w:pBdr>
      <w:rPr>
        <w:sz w:val="24"/>
      </w:rPr>
    </w:pPr>
    <w:r>
      <w:rPr>
        <w:rFonts w:hint="eastAsia"/>
        <w:sz w:val="24"/>
      </w:rPr>
      <w:t>招标文件（编号：）</w:t>
    </w:r>
  </w:p>
  <w:p>
    <w:pPr>
      <w:pStyle w:val="23"/>
      <w:pBdr>
        <w:bottom w:val="double" w:color="auto" w:sz="6" w:space="1"/>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F75AC"/>
    <w:multiLevelType w:val="multilevel"/>
    <w:tmpl w:val="FC0F75AC"/>
    <w:lvl w:ilvl="0" w:tentative="0">
      <w:start w:val="1"/>
      <w:numFmt w:val="decimal"/>
      <w:lvlText w:val="%1"/>
      <w:legacy w:legacy="1" w:legacySpace="255" w:legacyIndent="0"/>
      <w:lvlJc w:val="left"/>
      <w:rPr>
        <w:rFonts w:hint="eastAsia" w:ascii="黑体" w:eastAsia="黑体"/>
        <w:b w:val="0"/>
        <w:i w:val="0"/>
        <w:sz w:val="24"/>
      </w:rPr>
    </w:lvl>
    <w:lvl w:ilvl="1" w:tentative="0">
      <w:start w:val="1"/>
      <w:numFmt w:val="decimal"/>
      <w:lvlText w:val="%1.%2"/>
      <w:legacy w:legacy="1" w:legacySpace="255" w:legacyIndent="0"/>
      <w:lvlJc w:val="left"/>
      <w:rPr>
        <w:rFonts w:hint="eastAsia" w:ascii="黑体" w:eastAsia="黑体"/>
        <w:b w:val="0"/>
        <w:i w:val="0"/>
        <w:color w:val="auto"/>
        <w:sz w:val="24"/>
      </w:rPr>
    </w:lvl>
    <w:lvl w:ilvl="2" w:tentative="0">
      <w:start w:val="1"/>
      <w:numFmt w:val="decimal"/>
      <w:lvlText w:val="%1.%2.%3"/>
      <w:legacy w:legacy="1" w:legacySpace="255" w:legacyIndent="0"/>
      <w:lvlJc w:val="left"/>
      <w:rPr>
        <w:rFonts w:hint="eastAsia" w:ascii="黑体" w:eastAsia="黑体"/>
        <w:b w:val="0"/>
        <w:i w:val="0"/>
        <w:sz w:val="24"/>
      </w:rPr>
    </w:lvl>
    <w:lvl w:ilvl="3" w:tentative="0">
      <w:start w:val="1"/>
      <w:numFmt w:val="decimal"/>
      <w:lvlText w:val="%1.%2.%3.%4"/>
      <w:legacy w:legacy="1" w:legacySpace="255" w:legacyIndent="0"/>
      <w:lvlJc w:val="left"/>
      <w:rPr>
        <w:rFonts w:hint="eastAsia" w:ascii="黑体" w:eastAsia="黑体"/>
        <w:b w:val="0"/>
        <w:i w:val="0"/>
        <w:sz w:val="24"/>
      </w:rPr>
    </w:lvl>
    <w:lvl w:ilvl="4" w:tentative="0">
      <w:start w:val="1"/>
      <w:numFmt w:val="decimal"/>
      <w:lvlText w:val="%1.%2.%3.%4.%5"/>
      <w:legacy w:legacy="1" w:legacySpace="255" w:legacyIndent="0"/>
      <w:lvlJc w:val="left"/>
      <w:rPr>
        <w:rFonts w:hint="eastAsia" w:ascii="黑体" w:eastAsia="黑体"/>
        <w:b w:val="0"/>
        <w:i w:val="0"/>
        <w:sz w:val="24"/>
      </w:rPr>
    </w:lvl>
    <w:lvl w:ilvl="5" w:tentative="0">
      <w:start w:val="1"/>
      <w:numFmt w:val="decimal"/>
      <w:lvlText w:val="%1.%2.%3.%4.%5.%6"/>
      <w:legacy w:legacy="1" w:legacySpace="255" w:legacyIndent="0"/>
      <w:lvlJc w:val="left"/>
      <w:rPr>
        <w:rFonts w:hint="eastAsia" w:ascii="黑体" w:eastAsia="黑体"/>
        <w:b w:val="0"/>
        <w:i w:val="0"/>
        <w:sz w:val="24"/>
      </w:rPr>
    </w:lvl>
    <w:lvl w:ilvl="6" w:tentative="0">
      <w:start w:val="1"/>
      <w:numFmt w:val="decimal"/>
      <w:lvlText w:val="（%7）"/>
      <w:legacy w:legacy="1" w:legacySpace="113" w:legacyIndent="0"/>
      <w:lvlJc w:val="left"/>
      <w:pPr>
        <w:ind w:left="1191" w:firstLine="0"/>
      </w:pPr>
      <w:rPr>
        <w:rFonts w:hint="eastAsia" w:ascii="黑体" w:eastAsia="黑体"/>
        <w:b w:val="0"/>
        <w:i w:val="0"/>
        <w:sz w:val="24"/>
        <w:lang w:val="en-US"/>
      </w:rPr>
    </w:lvl>
    <w:lvl w:ilvl="7" w:tentative="0">
      <w:start w:val="1"/>
      <w:numFmt w:val="lowerLetter"/>
      <w:lvlText w:val="（%8）"/>
      <w:legacy w:legacy="1" w:legacySpace="113" w:legacyIndent="0"/>
      <w:lvlJc w:val="left"/>
      <w:pPr>
        <w:ind w:left="1888" w:firstLine="0"/>
      </w:pPr>
      <w:rPr>
        <w:rFonts w:hint="eastAsia" w:ascii="黑体" w:eastAsia="黑体"/>
        <w:b w:val="0"/>
        <w:i w:val="0"/>
        <w:sz w:val="24"/>
      </w:rPr>
    </w:lvl>
    <w:lvl w:ilvl="8" w:tentative="0">
      <w:start w:val="1"/>
      <w:numFmt w:val="lowerRoman"/>
      <w:lvlText w:val="（%9）"/>
      <w:legacy w:legacy="1" w:legacySpace="113" w:legacyIndent="0"/>
      <w:lvlJc w:val="left"/>
      <w:pPr>
        <w:ind w:left="2591" w:firstLine="0"/>
      </w:pPr>
      <w:rPr>
        <w:rFonts w:hint="eastAsia" w:ascii="黑体" w:eastAsia="黑体"/>
        <w:b w:val="0"/>
        <w:i w:val="0"/>
        <w:sz w:val="24"/>
      </w:rPr>
    </w:lvl>
  </w:abstractNum>
  <w:abstractNum w:abstractNumId="1">
    <w:nsid w:val="00014F0D"/>
    <w:multiLevelType w:val="singleLevel"/>
    <w:tmpl w:val="00014F0D"/>
    <w:lvl w:ilvl="0" w:tentative="0">
      <w:start w:val="1"/>
      <w:numFmt w:val="decimal"/>
      <w:lvlText w:val="%1"/>
      <w:legacy w:legacy="1" w:legacySpace="0" w:legacyIndent="425"/>
      <w:lvlJc w:val="center"/>
    </w:lvl>
  </w:abstractNum>
  <w:abstractNum w:abstractNumId="2">
    <w:nsid w:val="2615314E"/>
    <w:multiLevelType w:val="multilevel"/>
    <w:tmpl w:val="2615314E"/>
    <w:lvl w:ilvl="0" w:tentative="0">
      <w:start w:val="1"/>
      <w:numFmt w:val="decimal"/>
      <w:pStyle w:val="81"/>
      <w:lvlText w:val="表%1"/>
      <w:lvlJc w:val="left"/>
      <w:pPr>
        <w:tabs>
          <w:tab w:val="left" w:pos="624"/>
        </w:tabs>
        <w:ind w:left="624" w:hanging="62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72E15EC"/>
    <w:multiLevelType w:val="singleLevel"/>
    <w:tmpl w:val="372E15EC"/>
    <w:lvl w:ilvl="0" w:tentative="0">
      <w:start w:val="1"/>
      <w:numFmt w:val="decimal"/>
      <w:lvlText w:val="%1"/>
      <w:legacy w:legacy="1" w:legacySpace="0" w:legacyIndent="425"/>
      <w:lvlJc w:val="center"/>
    </w:lvl>
  </w:abstractNum>
  <w:abstractNum w:abstractNumId="4">
    <w:nsid w:val="44EB3106"/>
    <w:multiLevelType w:val="singleLevel"/>
    <w:tmpl w:val="44EB3106"/>
    <w:lvl w:ilvl="0" w:tentative="0">
      <w:start w:val="1"/>
      <w:numFmt w:val="decimal"/>
      <w:suff w:val="nothing"/>
      <w:lvlText w:val="%1）"/>
      <w:lvlJc w:val="left"/>
    </w:lvl>
  </w:abstractNum>
  <w:abstractNum w:abstractNumId="5">
    <w:nsid w:val="5214FE06"/>
    <w:multiLevelType w:val="multilevel"/>
    <w:tmpl w:val="5214FE06"/>
    <w:lvl w:ilvl="0" w:tentative="0">
      <w:start w:val="1"/>
      <w:numFmt w:val="decimal"/>
      <w:pStyle w:val="2"/>
      <w:lvlText w:val="%1"/>
      <w:legacy w:legacy="1" w:legacySpace="255" w:legacyIndent="0"/>
      <w:lvlJc w:val="left"/>
      <w:rPr>
        <w:rFonts w:hint="eastAsia" w:ascii="黑体" w:eastAsia="黑体"/>
        <w:b w:val="0"/>
        <w:i w:val="0"/>
        <w:sz w:val="24"/>
      </w:rPr>
    </w:lvl>
    <w:lvl w:ilvl="1" w:tentative="0">
      <w:start w:val="1"/>
      <w:numFmt w:val="decimal"/>
      <w:pStyle w:val="3"/>
      <w:lvlText w:val="%1.%2"/>
      <w:legacy w:legacy="1" w:legacySpace="255" w:legacyIndent="0"/>
      <w:lvlJc w:val="left"/>
      <w:rPr>
        <w:rFonts w:hint="default" w:ascii="黑体" w:eastAsia="黑体"/>
        <w:b w:val="0"/>
        <w:i w:val="0"/>
        <w:color w:val="auto"/>
        <w:sz w:val="24"/>
      </w:rPr>
    </w:lvl>
    <w:lvl w:ilvl="2" w:tentative="0">
      <w:start w:val="1"/>
      <w:numFmt w:val="decimal"/>
      <w:pStyle w:val="4"/>
      <w:lvlText w:val="%1.%2.%3"/>
      <w:legacy w:legacy="1" w:legacySpace="255" w:legacyIndent="0"/>
      <w:lvlJc w:val="left"/>
      <w:rPr>
        <w:rFonts w:hint="default" w:ascii="宋体" w:hAnsi="宋体" w:eastAsia="宋体" w:cs="宋体"/>
        <w:b w:val="0"/>
        <w:i w:val="0"/>
        <w:sz w:val="24"/>
      </w:rPr>
    </w:lvl>
    <w:lvl w:ilvl="3" w:tentative="0">
      <w:start w:val="1"/>
      <w:numFmt w:val="decimal"/>
      <w:pStyle w:val="5"/>
      <w:lvlText w:val="%1.%2.%3.%4"/>
      <w:legacy w:legacy="1" w:legacySpace="255" w:legacyIndent="0"/>
      <w:lvlJc w:val="left"/>
      <w:rPr>
        <w:rFonts w:hint="eastAsia" w:ascii="黑体" w:eastAsia="黑体"/>
        <w:b w:val="0"/>
        <w:i w:val="0"/>
        <w:sz w:val="24"/>
      </w:rPr>
    </w:lvl>
    <w:lvl w:ilvl="4" w:tentative="0">
      <w:start w:val="1"/>
      <w:numFmt w:val="decimal"/>
      <w:pStyle w:val="6"/>
      <w:lvlText w:val="%1.%2.%3.%4.%5"/>
      <w:legacy w:legacy="1" w:legacySpace="255" w:legacyIndent="0"/>
      <w:lvlJc w:val="left"/>
      <w:rPr>
        <w:rFonts w:hint="eastAsia" w:ascii="黑体" w:eastAsia="黑体"/>
        <w:b w:val="0"/>
        <w:i w:val="0"/>
        <w:sz w:val="24"/>
      </w:rPr>
    </w:lvl>
    <w:lvl w:ilvl="5" w:tentative="0">
      <w:start w:val="1"/>
      <w:numFmt w:val="decimal"/>
      <w:pStyle w:val="7"/>
      <w:lvlText w:val="%1.%2.%3.%4.%5.%6"/>
      <w:legacy w:legacy="1" w:legacySpace="255" w:legacyIndent="0"/>
      <w:lvlJc w:val="left"/>
      <w:rPr>
        <w:rFonts w:hint="eastAsia" w:ascii="黑体" w:eastAsia="黑体"/>
        <w:b w:val="0"/>
        <w:i w:val="0"/>
        <w:sz w:val="24"/>
      </w:rPr>
    </w:lvl>
    <w:lvl w:ilvl="6" w:tentative="0">
      <w:start w:val="1"/>
      <w:numFmt w:val="decimal"/>
      <w:pStyle w:val="8"/>
      <w:lvlText w:val="（%7）"/>
      <w:legacy w:legacy="1" w:legacySpace="113" w:legacyIndent="0"/>
      <w:lvlJc w:val="left"/>
      <w:pPr>
        <w:ind w:left="1191" w:firstLine="0"/>
      </w:pPr>
      <w:rPr>
        <w:rFonts w:hint="eastAsia" w:ascii="黑体" w:eastAsia="黑体"/>
        <w:b w:val="0"/>
        <w:i w:val="0"/>
        <w:sz w:val="24"/>
        <w:lang w:val="en-US"/>
      </w:rPr>
    </w:lvl>
    <w:lvl w:ilvl="7" w:tentative="0">
      <w:start w:val="1"/>
      <w:numFmt w:val="lowerLetter"/>
      <w:pStyle w:val="9"/>
      <w:lvlText w:val="（%8）"/>
      <w:legacy w:legacy="1" w:legacySpace="113" w:legacyIndent="0"/>
      <w:lvlJc w:val="left"/>
      <w:pPr>
        <w:ind w:left="1888" w:firstLine="0"/>
      </w:pPr>
      <w:rPr>
        <w:rFonts w:hint="eastAsia" w:ascii="黑体" w:eastAsia="黑体"/>
        <w:b w:val="0"/>
        <w:i w:val="0"/>
        <w:sz w:val="24"/>
      </w:rPr>
    </w:lvl>
    <w:lvl w:ilvl="8" w:tentative="0">
      <w:start w:val="1"/>
      <w:numFmt w:val="lowerRoman"/>
      <w:pStyle w:val="10"/>
      <w:lvlText w:val="（%9）"/>
      <w:legacy w:legacy="1" w:legacySpace="113" w:legacyIndent="0"/>
      <w:lvlJc w:val="left"/>
      <w:pPr>
        <w:ind w:left="2591" w:firstLine="0"/>
      </w:pPr>
      <w:rPr>
        <w:rFonts w:hint="eastAsia" w:ascii="黑体" w:eastAsia="黑体"/>
        <w:b w:val="0"/>
        <w:i w:val="0"/>
        <w:sz w:val="24"/>
      </w:rPr>
    </w:lvl>
  </w:abstractNum>
  <w:abstractNum w:abstractNumId="6">
    <w:nsid w:val="535E79F1"/>
    <w:multiLevelType w:val="multilevel"/>
    <w:tmpl w:val="535E79F1"/>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3872C61"/>
    <w:multiLevelType w:val="multilevel"/>
    <w:tmpl w:val="53872C61"/>
    <w:lvl w:ilvl="0" w:tentative="0">
      <w:start w:val="1"/>
      <w:numFmt w:val="decimal"/>
      <w:pStyle w:val="77"/>
      <w:lvlText w:val="图%1"/>
      <w:lvlJc w:val="left"/>
      <w:pPr>
        <w:tabs>
          <w:tab w:val="left" w:pos="624"/>
        </w:tabs>
        <w:ind w:left="624" w:hanging="62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68513B5F"/>
    <w:multiLevelType w:val="multilevel"/>
    <w:tmpl w:val="68513B5F"/>
    <w:lvl w:ilvl="0" w:tentative="0">
      <w:start w:val="2"/>
      <w:numFmt w:val="decimal"/>
      <w:pStyle w:val="59"/>
      <w:lvlText w:val="%1."/>
      <w:lvlJc w:val="left"/>
      <w:pPr>
        <w:tabs>
          <w:tab w:val="left" w:pos="1186"/>
        </w:tabs>
        <w:ind w:left="1186" w:hanging="360"/>
      </w:pPr>
      <w:rPr>
        <w:rFonts w:hint="default"/>
      </w:rPr>
    </w:lvl>
    <w:lvl w:ilvl="1" w:tentative="0">
      <w:start w:val="1"/>
      <w:numFmt w:val="lowerLetter"/>
      <w:lvlText w:val="%2)"/>
      <w:lvlJc w:val="left"/>
      <w:pPr>
        <w:tabs>
          <w:tab w:val="left" w:pos="1666"/>
        </w:tabs>
        <w:ind w:left="1666" w:hanging="420"/>
      </w:pPr>
    </w:lvl>
    <w:lvl w:ilvl="2" w:tentative="0">
      <w:start w:val="1"/>
      <w:numFmt w:val="lowerRoman"/>
      <w:lvlText w:val="%3."/>
      <w:lvlJc w:val="right"/>
      <w:pPr>
        <w:tabs>
          <w:tab w:val="left" w:pos="2086"/>
        </w:tabs>
        <w:ind w:left="2086" w:hanging="420"/>
      </w:pPr>
    </w:lvl>
    <w:lvl w:ilvl="3" w:tentative="0">
      <w:start w:val="1"/>
      <w:numFmt w:val="decimal"/>
      <w:lvlText w:val="%4."/>
      <w:lvlJc w:val="left"/>
      <w:pPr>
        <w:tabs>
          <w:tab w:val="left" w:pos="2506"/>
        </w:tabs>
        <w:ind w:left="2506" w:hanging="420"/>
      </w:pPr>
    </w:lvl>
    <w:lvl w:ilvl="4" w:tentative="0">
      <w:start w:val="1"/>
      <w:numFmt w:val="lowerLetter"/>
      <w:lvlText w:val="%5)"/>
      <w:lvlJc w:val="left"/>
      <w:pPr>
        <w:tabs>
          <w:tab w:val="left" w:pos="2926"/>
        </w:tabs>
        <w:ind w:left="2926" w:hanging="420"/>
      </w:pPr>
    </w:lvl>
    <w:lvl w:ilvl="5" w:tentative="0">
      <w:start w:val="1"/>
      <w:numFmt w:val="lowerRoman"/>
      <w:lvlText w:val="%6."/>
      <w:lvlJc w:val="right"/>
      <w:pPr>
        <w:tabs>
          <w:tab w:val="left" w:pos="3346"/>
        </w:tabs>
        <w:ind w:left="3346" w:hanging="420"/>
      </w:pPr>
    </w:lvl>
    <w:lvl w:ilvl="6" w:tentative="0">
      <w:start w:val="1"/>
      <w:numFmt w:val="decimal"/>
      <w:lvlText w:val="%7."/>
      <w:lvlJc w:val="left"/>
      <w:pPr>
        <w:tabs>
          <w:tab w:val="left" w:pos="3766"/>
        </w:tabs>
        <w:ind w:left="3766" w:hanging="420"/>
      </w:pPr>
    </w:lvl>
    <w:lvl w:ilvl="7" w:tentative="0">
      <w:start w:val="1"/>
      <w:numFmt w:val="lowerLetter"/>
      <w:lvlText w:val="%8)"/>
      <w:lvlJc w:val="left"/>
      <w:pPr>
        <w:tabs>
          <w:tab w:val="left" w:pos="4186"/>
        </w:tabs>
        <w:ind w:left="4186" w:hanging="420"/>
      </w:pPr>
    </w:lvl>
    <w:lvl w:ilvl="8" w:tentative="0">
      <w:start w:val="1"/>
      <w:numFmt w:val="lowerRoman"/>
      <w:lvlText w:val="%9."/>
      <w:lvlJc w:val="right"/>
      <w:pPr>
        <w:tabs>
          <w:tab w:val="left" w:pos="4606"/>
        </w:tabs>
        <w:ind w:left="4606" w:hanging="420"/>
      </w:pPr>
    </w:lvl>
  </w:abstractNum>
  <w:abstractNum w:abstractNumId="9">
    <w:nsid w:val="713972EC"/>
    <w:multiLevelType w:val="multilevel"/>
    <w:tmpl w:val="713972EC"/>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D056F52"/>
    <w:multiLevelType w:val="multilevel"/>
    <w:tmpl w:val="7D056F52"/>
    <w:lvl w:ilvl="0" w:tentative="0">
      <w:start w:val="1"/>
      <w:numFmt w:val="lowerLetter"/>
      <w:lvlText w:val="%1)"/>
      <w:lvlJc w:val="left"/>
      <w:pPr>
        <w:ind w:left="904" w:hanging="420"/>
      </w:pPr>
    </w:lvl>
    <w:lvl w:ilvl="1" w:tentative="0">
      <w:start w:val="1"/>
      <w:numFmt w:val="lowerLetter"/>
      <w:lvlText w:val="%2)"/>
      <w:lvlJc w:val="left"/>
      <w:pPr>
        <w:ind w:left="1324" w:hanging="420"/>
      </w:pPr>
    </w:lvl>
    <w:lvl w:ilvl="2" w:tentative="0">
      <w:start w:val="1"/>
      <w:numFmt w:val="lowerRoman"/>
      <w:lvlText w:val="%3."/>
      <w:lvlJc w:val="right"/>
      <w:pPr>
        <w:ind w:left="1744" w:hanging="420"/>
      </w:pPr>
    </w:lvl>
    <w:lvl w:ilvl="3" w:tentative="0">
      <w:start w:val="1"/>
      <w:numFmt w:val="decimal"/>
      <w:lvlText w:val="%4."/>
      <w:lvlJc w:val="left"/>
      <w:pPr>
        <w:ind w:left="2164" w:hanging="420"/>
      </w:pPr>
    </w:lvl>
    <w:lvl w:ilvl="4" w:tentative="0">
      <w:start w:val="1"/>
      <w:numFmt w:val="lowerLetter"/>
      <w:lvlText w:val="%5)"/>
      <w:lvlJc w:val="left"/>
      <w:pPr>
        <w:ind w:left="2584" w:hanging="420"/>
      </w:pPr>
    </w:lvl>
    <w:lvl w:ilvl="5" w:tentative="0">
      <w:start w:val="1"/>
      <w:numFmt w:val="lowerRoman"/>
      <w:lvlText w:val="%6."/>
      <w:lvlJc w:val="right"/>
      <w:pPr>
        <w:ind w:left="3004" w:hanging="420"/>
      </w:pPr>
    </w:lvl>
    <w:lvl w:ilvl="6" w:tentative="0">
      <w:start w:val="1"/>
      <w:numFmt w:val="decimal"/>
      <w:lvlText w:val="%7."/>
      <w:lvlJc w:val="left"/>
      <w:pPr>
        <w:ind w:left="3424" w:hanging="420"/>
      </w:pPr>
    </w:lvl>
    <w:lvl w:ilvl="7" w:tentative="0">
      <w:start w:val="1"/>
      <w:numFmt w:val="lowerLetter"/>
      <w:lvlText w:val="%8)"/>
      <w:lvlJc w:val="left"/>
      <w:pPr>
        <w:ind w:left="3844" w:hanging="420"/>
      </w:pPr>
    </w:lvl>
    <w:lvl w:ilvl="8" w:tentative="0">
      <w:start w:val="1"/>
      <w:numFmt w:val="lowerRoman"/>
      <w:lvlText w:val="%9."/>
      <w:lvlJc w:val="right"/>
      <w:pPr>
        <w:ind w:left="4264" w:hanging="420"/>
      </w:pPr>
    </w:lvl>
  </w:abstractNum>
  <w:abstractNum w:abstractNumId="11">
    <w:nsid w:val="7DFF68E9"/>
    <w:multiLevelType w:val="multilevel"/>
    <w:tmpl w:val="7DFF68E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E9408DA"/>
    <w:multiLevelType w:val="singleLevel"/>
    <w:tmpl w:val="7E9408DA"/>
    <w:lvl w:ilvl="0" w:tentative="0">
      <w:start w:val="1"/>
      <w:numFmt w:val="decimal"/>
      <w:suff w:val="nothing"/>
      <w:lvlText w:val="%1）"/>
      <w:lvlJc w:val="left"/>
    </w:lvl>
  </w:abstractNum>
  <w:num w:numId="1">
    <w:abstractNumId w:val="5"/>
  </w:num>
  <w:num w:numId="2">
    <w:abstractNumId w:val="8"/>
  </w:num>
  <w:num w:numId="3">
    <w:abstractNumId w:val="7"/>
  </w:num>
  <w:num w:numId="4">
    <w:abstractNumId w:val="2"/>
  </w:num>
  <w:num w:numId="5">
    <w:abstractNumId w:val="10"/>
  </w:num>
  <w:num w:numId="6">
    <w:abstractNumId w:val="1"/>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4"/>
  </w:num>
  <w:num w:numId="13">
    <w:abstractNumId w:val="12"/>
  </w:num>
  <w:num w:numId="14">
    <w:abstractNumId w:val="11"/>
  </w:num>
  <w:num w:numId="15">
    <w:abstractNumId w:val="6"/>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drawingGridHorizontalSpacing w:val="20"/>
  <w:drawingGridVerticalSpacing w:val="20"/>
  <w:displayHorizontalDrawingGridEvery w:val="1"/>
  <w:displayVerticalDrawingGridEvery w:val="1"/>
  <w:noPunctuationKerning w:val="1"/>
  <w:characterSpacingControl w:val="compressPunctuation"/>
  <w:noLineBreaksAfter w:lang="zh-CN" w:val="([{·‘“〈《「『【〔〖（．［｛￡￥"/>
  <w:noLineBreaksBefore w:lang="zh-CN" w:val="!),.:;?]}¨·ˇˉ―‖’”…∶、。〃々〉》」』】〕〗！＂＇），．：；？］｀｜｝～￠"/>
  <w:hdrShapeDefaults>
    <o:shapelayout v:ext="edit">
      <o:idmap v:ext="edit" data="2"/>
    </o:shapelayout>
  </w:hdrShapeDefaults>
  <w:footnotePr>
    <w:footnote w:id="6"/>
    <w:footnote w:id="7"/>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499A"/>
    <w:rsid w:val="00007E4E"/>
    <w:rsid w:val="000100B8"/>
    <w:rsid w:val="00011420"/>
    <w:rsid w:val="00013858"/>
    <w:rsid w:val="00017616"/>
    <w:rsid w:val="00017AD5"/>
    <w:rsid w:val="00024CF8"/>
    <w:rsid w:val="00026A2B"/>
    <w:rsid w:val="0002724D"/>
    <w:rsid w:val="000303E6"/>
    <w:rsid w:val="00031677"/>
    <w:rsid w:val="00031E94"/>
    <w:rsid w:val="0003331A"/>
    <w:rsid w:val="000336AE"/>
    <w:rsid w:val="000363A0"/>
    <w:rsid w:val="00036D03"/>
    <w:rsid w:val="0004264F"/>
    <w:rsid w:val="000459B8"/>
    <w:rsid w:val="000460EF"/>
    <w:rsid w:val="000532FF"/>
    <w:rsid w:val="00055232"/>
    <w:rsid w:val="0005651C"/>
    <w:rsid w:val="000573A8"/>
    <w:rsid w:val="00057C04"/>
    <w:rsid w:val="00057C2D"/>
    <w:rsid w:val="00060A95"/>
    <w:rsid w:val="000610FE"/>
    <w:rsid w:val="0006189B"/>
    <w:rsid w:val="000630E1"/>
    <w:rsid w:val="00063280"/>
    <w:rsid w:val="00063A8E"/>
    <w:rsid w:val="0006546F"/>
    <w:rsid w:val="00066159"/>
    <w:rsid w:val="0007050F"/>
    <w:rsid w:val="000706A6"/>
    <w:rsid w:val="00070BEC"/>
    <w:rsid w:val="000711FF"/>
    <w:rsid w:val="00073922"/>
    <w:rsid w:val="000740A2"/>
    <w:rsid w:val="000742C1"/>
    <w:rsid w:val="00075A0F"/>
    <w:rsid w:val="00077292"/>
    <w:rsid w:val="000807B5"/>
    <w:rsid w:val="00083539"/>
    <w:rsid w:val="0008548B"/>
    <w:rsid w:val="00085857"/>
    <w:rsid w:val="0008588F"/>
    <w:rsid w:val="00085F7D"/>
    <w:rsid w:val="00086D06"/>
    <w:rsid w:val="00087677"/>
    <w:rsid w:val="000911B2"/>
    <w:rsid w:val="00092ABA"/>
    <w:rsid w:val="000930E4"/>
    <w:rsid w:val="000975E7"/>
    <w:rsid w:val="00097C88"/>
    <w:rsid w:val="000A013E"/>
    <w:rsid w:val="000A014E"/>
    <w:rsid w:val="000A07FE"/>
    <w:rsid w:val="000A0F4F"/>
    <w:rsid w:val="000A2E80"/>
    <w:rsid w:val="000A3E41"/>
    <w:rsid w:val="000A442C"/>
    <w:rsid w:val="000A46DE"/>
    <w:rsid w:val="000A6D9A"/>
    <w:rsid w:val="000A7669"/>
    <w:rsid w:val="000B0BE9"/>
    <w:rsid w:val="000B11B4"/>
    <w:rsid w:val="000B23B2"/>
    <w:rsid w:val="000B2A1E"/>
    <w:rsid w:val="000B2A48"/>
    <w:rsid w:val="000B685D"/>
    <w:rsid w:val="000B7604"/>
    <w:rsid w:val="000C0818"/>
    <w:rsid w:val="000C1154"/>
    <w:rsid w:val="000C4A1B"/>
    <w:rsid w:val="000C72D2"/>
    <w:rsid w:val="000D12D7"/>
    <w:rsid w:val="000D3A11"/>
    <w:rsid w:val="000D40FE"/>
    <w:rsid w:val="000D7BFD"/>
    <w:rsid w:val="000D7D82"/>
    <w:rsid w:val="000E26D9"/>
    <w:rsid w:val="000E2B21"/>
    <w:rsid w:val="000E32FF"/>
    <w:rsid w:val="000E49EE"/>
    <w:rsid w:val="000E6FBD"/>
    <w:rsid w:val="000E7D10"/>
    <w:rsid w:val="000F12BB"/>
    <w:rsid w:val="000F1B29"/>
    <w:rsid w:val="000F2E64"/>
    <w:rsid w:val="000F2F51"/>
    <w:rsid w:val="000F579C"/>
    <w:rsid w:val="000F63FC"/>
    <w:rsid w:val="000F64FB"/>
    <w:rsid w:val="00104900"/>
    <w:rsid w:val="00105025"/>
    <w:rsid w:val="001055F0"/>
    <w:rsid w:val="00106FAE"/>
    <w:rsid w:val="0011040C"/>
    <w:rsid w:val="0011095F"/>
    <w:rsid w:val="001130BD"/>
    <w:rsid w:val="00113F0B"/>
    <w:rsid w:val="00117E8B"/>
    <w:rsid w:val="00120934"/>
    <w:rsid w:val="001222EE"/>
    <w:rsid w:val="00122D56"/>
    <w:rsid w:val="00123450"/>
    <w:rsid w:val="00125EDD"/>
    <w:rsid w:val="00127C90"/>
    <w:rsid w:val="0013015F"/>
    <w:rsid w:val="001307D8"/>
    <w:rsid w:val="001315F4"/>
    <w:rsid w:val="00131F71"/>
    <w:rsid w:val="00131F8A"/>
    <w:rsid w:val="00133A4D"/>
    <w:rsid w:val="00133D8D"/>
    <w:rsid w:val="001343AF"/>
    <w:rsid w:val="00134AF9"/>
    <w:rsid w:val="00134CC2"/>
    <w:rsid w:val="00134F56"/>
    <w:rsid w:val="00134FA2"/>
    <w:rsid w:val="00136D08"/>
    <w:rsid w:val="00137017"/>
    <w:rsid w:val="00137E5D"/>
    <w:rsid w:val="00140719"/>
    <w:rsid w:val="00140D72"/>
    <w:rsid w:val="0014283B"/>
    <w:rsid w:val="00143357"/>
    <w:rsid w:val="00143368"/>
    <w:rsid w:val="0014339C"/>
    <w:rsid w:val="00143E5F"/>
    <w:rsid w:val="0014402A"/>
    <w:rsid w:val="00144F12"/>
    <w:rsid w:val="00145000"/>
    <w:rsid w:val="00146A77"/>
    <w:rsid w:val="00146C1D"/>
    <w:rsid w:val="00147EF0"/>
    <w:rsid w:val="00150070"/>
    <w:rsid w:val="001515E3"/>
    <w:rsid w:val="0015207D"/>
    <w:rsid w:val="0015342E"/>
    <w:rsid w:val="00153678"/>
    <w:rsid w:val="0015399B"/>
    <w:rsid w:val="00153D78"/>
    <w:rsid w:val="0015416E"/>
    <w:rsid w:val="00154291"/>
    <w:rsid w:val="001547FD"/>
    <w:rsid w:val="0015513F"/>
    <w:rsid w:val="001614FD"/>
    <w:rsid w:val="001624C0"/>
    <w:rsid w:val="00162543"/>
    <w:rsid w:val="00163167"/>
    <w:rsid w:val="00164680"/>
    <w:rsid w:val="00164E3D"/>
    <w:rsid w:val="0016619B"/>
    <w:rsid w:val="0016758B"/>
    <w:rsid w:val="00170653"/>
    <w:rsid w:val="001725C9"/>
    <w:rsid w:val="00174A10"/>
    <w:rsid w:val="00176779"/>
    <w:rsid w:val="001767A1"/>
    <w:rsid w:val="00177499"/>
    <w:rsid w:val="0018197E"/>
    <w:rsid w:val="00181B8F"/>
    <w:rsid w:val="00181DC0"/>
    <w:rsid w:val="001822AF"/>
    <w:rsid w:val="00183B6D"/>
    <w:rsid w:val="00187C44"/>
    <w:rsid w:val="00190E6C"/>
    <w:rsid w:val="00191062"/>
    <w:rsid w:val="00197C66"/>
    <w:rsid w:val="001A0A61"/>
    <w:rsid w:val="001A0C12"/>
    <w:rsid w:val="001A2DAB"/>
    <w:rsid w:val="001A30F7"/>
    <w:rsid w:val="001A414F"/>
    <w:rsid w:val="001A5B96"/>
    <w:rsid w:val="001A5BE9"/>
    <w:rsid w:val="001A7A82"/>
    <w:rsid w:val="001B1358"/>
    <w:rsid w:val="001B1526"/>
    <w:rsid w:val="001B2E79"/>
    <w:rsid w:val="001B527F"/>
    <w:rsid w:val="001B63CB"/>
    <w:rsid w:val="001B67F9"/>
    <w:rsid w:val="001B77F9"/>
    <w:rsid w:val="001B78D3"/>
    <w:rsid w:val="001C050E"/>
    <w:rsid w:val="001C0D7F"/>
    <w:rsid w:val="001C27FC"/>
    <w:rsid w:val="001C4CB0"/>
    <w:rsid w:val="001C578B"/>
    <w:rsid w:val="001C73BC"/>
    <w:rsid w:val="001D1A4C"/>
    <w:rsid w:val="001D1B9B"/>
    <w:rsid w:val="001D726D"/>
    <w:rsid w:val="001D7BF4"/>
    <w:rsid w:val="001E0519"/>
    <w:rsid w:val="001E1285"/>
    <w:rsid w:val="001E2689"/>
    <w:rsid w:val="001E2EA6"/>
    <w:rsid w:val="001E4030"/>
    <w:rsid w:val="001E42D7"/>
    <w:rsid w:val="001E7234"/>
    <w:rsid w:val="001F383B"/>
    <w:rsid w:val="001F3B2B"/>
    <w:rsid w:val="001F4393"/>
    <w:rsid w:val="001F4FBF"/>
    <w:rsid w:val="001F5F08"/>
    <w:rsid w:val="001F5FEB"/>
    <w:rsid w:val="001F6942"/>
    <w:rsid w:val="001F699C"/>
    <w:rsid w:val="00200BCC"/>
    <w:rsid w:val="00201DD1"/>
    <w:rsid w:val="002043A9"/>
    <w:rsid w:val="00204568"/>
    <w:rsid w:val="002046AA"/>
    <w:rsid w:val="002072F5"/>
    <w:rsid w:val="00210BD3"/>
    <w:rsid w:val="0021291B"/>
    <w:rsid w:val="00212DD5"/>
    <w:rsid w:val="00216295"/>
    <w:rsid w:val="00217275"/>
    <w:rsid w:val="002207E1"/>
    <w:rsid w:val="00220C8F"/>
    <w:rsid w:val="002222BC"/>
    <w:rsid w:val="00222D0D"/>
    <w:rsid w:val="0022468F"/>
    <w:rsid w:val="00224BB6"/>
    <w:rsid w:val="0022694B"/>
    <w:rsid w:val="0023050D"/>
    <w:rsid w:val="0023242F"/>
    <w:rsid w:val="00234D69"/>
    <w:rsid w:val="00235F9D"/>
    <w:rsid w:val="00236C55"/>
    <w:rsid w:val="0024084E"/>
    <w:rsid w:val="002455ED"/>
    <w:rsid w:val="00245B42"/>
    <w:rsid w:val="002470D5"/>
    <w:rsid w:val="00247669"/>
    <w:rsid w:val="002537B5"/>
    <w:rsid w:val="0025588C"/>
    <w:rsid w:val="002567FC"/>
    <w:rsid w:val="00260782"/>
    <w:rsid w:val="00261A70"/>
    <w:rsid w:val="0026210E"/>
    <w:rsid w:val="00262304"/>
    <w:rsid w:val="0026435B"/>
    <w:rsid w:val="00264583"/>
    <w:rsid w:val="00264888"/>
    <w:rsid w:val="0026724C"/>
    <w:rsid w:val="00267ED2"/>
    <w:rsid w:val="002704CF"/>
    <w:rsid w:val="002707AC"/>
    <w:rsid w:val="002712AB"/>
    <w:rsid w:val="002712DD"/>
    <w:rsid w:val="0027463D"/>
    <w:rsid w:val="00274EED"/>
    <w:rsid w:val="00275655"/>
    <w:rsid w:val="0027760E"/>
    <w:rsid w:val="002808A5"/>
    <w:rsid w:val="002815A9"/>
    <w:rsid w:val="002850AD"/>
    <w:rsid w:val="002858C5"/>
    <w:rsid w:val="002865D3"/>
    <w:rsid w:val="002876BE"/>
    <w:rsid w:val="002903FD"/>
    <w:rsid w:val="00294C3E"/>
    <w:rsid w:val="0029552B"/>
    <w:rsid w:val="00295925"/>
    <w:rsid w:val="00295A2B"/>
    <w:rsid w:val="00297BD3"/>
    <w:rsid w:val="002A328E"/>
    <w:rsid w:val="002A3890"/>
    <w:rsid w:val="002A4121"/>
    <w:rsid w:val="002A43D9"/>
    <w:rsid w:val="002A7BB2"/>
    <w:rsid w:val="002B03CC"/>
    <w:rsid w:val="002B2165"/>
    <w:rsid w:val="002B21F3"/>
    <w:rsid w:val="002B31F5"/>
    <w:rsid w:val="002B528C"/>
    <w:rsid w:val="002B5723"/>
    <w:rsid w:val="002C0509"/>
    <w:rsid w:val="002C0C1D"/>
    <w:rsid w:val="002C1484"/>
    <w:rsid w:val="002C3221"/>
    <w:rsid w:val="002C56C7"/>
    <w:rsid w:val="002C735A"/>
    <w:rsid w:val="002C74C4"/>
    <w:rsid w:val="002C7BB3"/>
    <w:rsid w:val="002D040D"/>
    <w:rsid w:val="002D04A6"/>
    <w:rsid w:val="002D0E30"/>
    <w:rsid w:val="002D1E8E"/>
    <w:rsid w:val="002D222D"/>
    <w:rsid w:val="002D30E8"/>
    <w:rsid w:val="002D3D46"/>
    <w:rsid w:val="002D4EAE"/>
    <w:rsid w:val="002D4F28"/>
    <w:rsid w:val="002D4F68"/>
    <w:rsid w:val="002D6250"/>
    <w:rsid w:val="002E24BF"/>
    <w:rsid w:val="002E3C28"/>
    <w:rsid w:val="002E3C9C"/>
    <w:rsid w:val="002E3D28"/>
    <w:rsid w:val="002E6379"/>
    <w:rsid w:val="002E68A3"/>
    <w:rsid w:val="002E7A58"/>
    <w:rsid w:val="002F1410"/>
    <w:rsid w:val="002F193C"/>
    <w:rsid w:val="002F39C2"/>
    <w:rsid w:val="002F3D00"/>
    <w:rsid w:val="002F44EB"/>
    <w:rsid w:val="002F4BAB"/>
    <w:rsid w:val="002F5A9B"/>
    <w:rsid w:val="00301843"/>
    <w:rsid w:val="00302357"/>
    <w:rsid w:val="003060F1"/>
    <w:rsid w:val="00306B59"/>
    <w:rsid w:val="0030775B"/>
    <w:rsid w:val="0031062F"/>
    <w:rsid w:val="00310B16"/>
    <w:rsid w:val="0031124D"/>
    <w:rsid w:val="00311A22"/>
    <w:rsid w:val="0031203A"/>
    <w:rsid w:val="003133A0"/>
    <w:rsid w:val="00313FCB"/>
    <w:rsid w:val="0031449E"/>
    <w:rsid w:val="00320E95"/>
    <w:rsid w:val="003225FE"/>
    <w:rsid w:val="00322E8E"/>
    <w:rsid w:val="00323DE7"/>
    <w:rsid w:val="003240B0"/>
    <w:rsid w:val="00324409"/>
    <w:rsid w:val="00324BFB"/>
    <w:rsid w:val="00326F5E"/>
    <w:rsid w:val="00327E60"/>
    <w:rsid w:val="00333692"/>
    <w:rsid w:val="00334343"/>
    <w:rsid w:val="00337694"/>
    <w:rsid w:val="0034024C"/>
    <w:rsid w:val="00340EAB"/>
    <w:rsid w:val="00341FB2"/>
    <w:rsid w:val="003423C4"/>
    <w:rsid w:val="003454B8"/>
    <w:rsid w:val="00346972"/>
    <w:rsid w:val="00346E2B"/>
    <w:rsid w:val="003519CE"/>
    <w:rsid w:val="00351AC4"/>
    <w:rsid w:val="00353A8D"/>
    <w:rsid w:val="00357261"/>
    <w:rsid w:val="00357B23"/>
    <w:rsid w:val="003620AF"/>
    <w:rsid w:val="00362C8E"/>
    <w:rsid w:val="00363588"/>
    <w:rsid w:val="00365104"/>
    <w:rsid w:val="00367FE4"/>
    <w:rsid w:val="00370F7E"/>
    <w:rsid w:val="00372660"/>
    <w:rsid w:val="003763EA"/>
    <w:rsid w:val="00376C8A"/>
    <w:rsid w:val="00377800"/>
    <w:rsid w:val="00382009"/>
    <w:rsid w:val="003832AE"/>
    <w:rsid w:val="0038485C"/>
    <w:rsid w:val="00385C21"/>
    <w:rsid w:val="00385ECE"/>
    <w:rsid w:val="00386C28"/>
    <w:rsid w:val="00387884"/>
    <w:rsid w:val="00390192"/>
    <w:rsid w:val="00391C57"/>
    <w:rsid w:val="0039299E"/>
    <w:rsid w:val="00396CE4"/>
    <w:rsid w:val="00397349"/>
    <w:rsid w:val="003A1962"/>
    <w:rsid w:val="003A1B75"/>
    <w:rsid w:val="003A1E92"/>
    <w:rsid w:val="003A37F7"/>
    <w:rsid w:val="003A5B84"/>
    <w:rsid w:val="003A6974"/>
    <w:rsid w:val="003A6DA6"/>
    <w:rsid w:val="003A75C7"/>
    <w:rsid w:val="003A77A2"/>
    <w:rsid w:val="003B1369"/>
    <w:rsid w:val="003B1B9F"/>
    <w:rsid w:val="003B2658"/>
    <w:rsid w:val="003B3079"/>
    <w:rsid w:val="003B38DE"/>
    <w:rsid w:val="003B5242"/>
    <w:rsid w:val="003B6562"/>
    <w:rsid w:val="003B7763"/>
    <w:rsid w:val="003B7A65"/>
    <w:rsid w:val="003C0A9B"/>
    <w:rsid w:val="003C0B99"/>
    <w:rsid w:val="003C24F4"/>
    <w:rsid w:val="003C28C5"/>
    <w:rsid w:val="003C4533"/>
    <w:rsid w:val="003C5717"/>
    <w:rsid w:val="003C65F1"/>
    <w:rsid w:val="003C6C30"/>
    <w:rsid w:val="003C7F40"/>
    <w:rsid w:val="003D0161"/>
    <w:rsid w:val="003D2B0D"/>
    <w:rsid w:val="003D4826"/>
    <w:rsid w:val="003D53FB"/>
    <w:rsid w:val="003E1B87"/>
    <w:rsid w:val="003E3637"/>
    <w:rsid w:val="003E387B"/>
    <w:rsid w:val="003F00DB"/>
    <w:rsid w:val="003F0422"/>
    <w:rsid w:val="003F1381"/>
    <w:rsid w:val="003F173B"/>
    <w:rsid w:val="003F19AE"/>
    <w:rsid w:val="003F1FEA"/>
    <w:rsid w:val="003F242A"/>
    <w:rsid w:val="003F3E7D"/>
    <w:rsid w:val="003F55C1"/>
    <w:rsid w:val="003F7E96"/>
    <w:rsid w:val="00401276"/>
    <w:rsid w:val="004016BE"/>
    <w:rsid w:val="00403F13"/>
    <w:rsid w:val="0040468F"/>
    <w:rsid w:val="00405F6A"/>
    <w:rsid w:val="00406A37"/>
    <w:rsid w:val="0040751E"/>
    <w:rsid w:val="00407D38"/>
    <w:rsid w:val="00411848"/>
    <w:rsid w:val="00411DB7"/>
    <w:rsid w:val="00415844"/>
    <w:rsid w:val="00420870"/>
    <w:rsid w:val="00421A15"/>
    <w:rsid w:val="00421FF2"/>
    <w:rsid w:val="004227F1"/>
    <w:rsid w:val="0042658F"/>
    <w:rsid w:val="0042697B"/>
    <w:rsid w:val="00427999"/>
    <w:rsid w:val="00430135"/>
    <w:rsid w:val="00431C8A"/>
    <w:rsid w:val="0043301F"/>
    <w:rsid w:val="00434C84"/>
    <w:rsid w:val="0043742E"/>
    <w:rsid w:val="0044137E"/>
    <w:rsid w:val="00441F9A"/>
    <w:rsid w:val="004437B9"/>
    <w:rsid w:val="00444A1E"/>
    <w:rsid w:val="004458CA"/>
    <w:rsid w:val="0044615D"/>
    <w:rsid w:val="00446842"/>
    <w:rsid w:val="004475DD"/>
    <w:rsid w:val="00447688"/>
    <w:rsid w:val="004505A7"/>
    <w:rsid w:val="00450A90"/>
    <w:rsid w:val="00450C9A"/>
    <w:rsid w:val="00453265"/>
    <w:rsid w:val="00454C30"/>
    <w:rsid w:val="00454CCA"/>
    <w:rsid w:val="0045545E"/>
    <w:rsid w:val="00455482"/>
    <w:rsid w:val="004620E4"/>
    <w:rsid w:val="00462A81"/>
    <w:rsid w:val="00471080"/>
    <w:rsid w:val="00472C12"/>
    <w:rsid w:val="00475BB7"/>
    <w:rsid w:val="004778A5"/>
    <w:rsid w:val="00480429"/>
    <w:rsid w:val="00480A21"/>
    <w:rsid w:val="0048789B"/>
    <w:rsid w:val="004900B6"/>
    <w:rsid w:val="00490302"/>
    <w:rsid w:val="00490ADB"/>
    <w:rsid w:val="0049127A"/>
    <w:rsid w:val="00492C41"/>
    <w:rsid w:val="00493699"/>
    <w:rsid w:val="00493890"/>
    <w:rsid w:val="0049583B"/>
    <w:rsid w:val="00495FEF"/>
    <w:rsid w:val="0049645B"/>
    <w:rsid w:val="004B5197"/>
    <w:rsid w:val="004B75D8"/>
    <w:rsid w:val="004B7EE1"/>
    <w:rsid w:val="004C0775"/>
    <w:rsid w:val="004C15E8"/>
    <w:rsid w:val="004C188F"/>
    <w:rsid w:val="004C2A11"/>
    <w:rsid w:val="004C39C9"/>
    <w:rsid w:val="004C46FB"/>
    <w:rsid w:val="004C5B15"/>
    <w:rsid w:val="004C5D1B"/>
    <w:rsid w:val="004C5DEA"/>
    <w:rsid w:val="004C6236"/>
    <w:rsid w:val="004D2F23"/>
    <w:rsid w:val="004D3DCA"/>
    <w:rsid w:val="004D57F1"/>
    <w:rsid w:val="004D6BF3"/>
    <w:rsid w:val="004D7A1D"/>
    <w:rsid w:val="004E4178"/>
    <w:rsid w:val="004E5D23"/>
    <w:rsid w:val="004E6B81"/>
    <w:rsid w:val="004E7CE1"/>
    <w:rsid w:val="004F016B"/>
    <w:rsid w:val="004F0215"/>
    <w:rsid w:val="004F09E3"/>
    <w:rsid w:val="004F1A8F"/>
    <w:rsid w:val="004F7473"/>
    <w:rsid w:val="00501B53"/>
    <w:rsid w:val="005029E2"/>
    <w:rsid w:val="00502E44"/>
    <w:rsid w:val="00503016"/>
    <w:rsid w:val="005038DC"/>
    <w:rsid w:val="005049C8"/>
    <w:rsid w:val="00504B20"/>
    <w:rsid w:val="005052A5"/>
    <w:rsid w:val="00506C2E"/>
    <w:rsid w:val="00507191"/>
    <w:rsid w:val="00512829"/>
    <w:rsid w:val="00512CFE"/>
    <w:rsid w:val="00514D4F"/>
    <w:rsid w:val="00515E33"/>
    <w:rsid w:val="0051765E"/>
    <w:rsid w:val="0052266C"/>
    <w:rsid w:val="005226F4"/>
    <w:rsid w:val="00523F08"/>
    <w:rsid w:val="00525092"/>
    <w:rsid w:val="00525B92"/>
    <w:rsid w:val="00527402"/>
    <w:rsid w:val="00531F99"/>
    <w:rsid w:val="00532AF7"/>
    <w:rsid w:val="005336BD"/>
    <w:rsid w:val="005337BB"/>
    <w:rsid w:val="00534159"/>
    <w:rsid w:val="00534A4D"/>
    <w:rsid w:val="00534AAC"/>
    <w:rsid w:val="00534E05"/>
    <w:rsid w:val="0053514A"/>
    <w:rsid w:val="00535374"/>
    <w:rsid w:val="005353C0"/>
    <w:rsid w:val="00536C4D"/>
    <w:rsid w:val="00540D65"/>
    <w:rsid w:val="00543CCF"/>
    <w:rsid w:val="00543CFF"/>
    <w:rsid w:val="00545C31"/>
    <w:rsid w:val="00547903"/>
    <w:rsid w:val="00554354"/>
    <w:rsid w:val="00554BD5"/>
    <w:rsid w:val="00555196"/>
    <w:rsid w:val="00555585"/>
    <w:rsid w:val="005578D5"/>
    <w:rsid w:val="00560D43"/>
    <w:rsid w:val="00561083"/>
    <w:rsid w:val="00563D29"/>
    <w:rsid w:val="00563E71"/>
    <w:rsid w:val="005710D5"/>
    <w:rsid w:val="00571756"/>
    <w:rsid w:val="005719EE"/>
    <w:rsid w:val="00572112"/>
    <w:rsid w:val="005725AF"/>
    <w:rsid w:val="00573BD5"/>
    <w:rsid w:val="005742BE"/>
    <w:rsid w:val="005744C7"/>
    <w:rsid w:val="005749F3"/>
    <w:rsid w:val="00580BAA"/>
    <w:rsid w:val="00580CB9"/>
    <w:rsid w:val="00580F92"/>
    <w:rsid w:val="00583841"/>
    <w:rsid w:val="00585B50"/>
    <w:rsid w:val="0058732E"/>
    <w:rsid w:val="00590339"/>
    <w:rsid w:val="005918FA"/>
    <w:rsid w:val="00591D06"/>
    <w:rsid w:val="00591F42"/>
    <w:rsid w:val="005927E3"/>
    <w:rsid w:val="00593F21"/>
    <w:rsid w:val="00596186"/>
    <w:rsid w:val="0059670C"/>
    <w:rsid w:val="005979F7"/>
    <w:rsid w:val="005A1AC3"/>
    <w:rsid w:val="005A2B2E"/>
    <w:rsid w:val="005A31D0"/>
    <w:rsid w:val="005A3D55"/>
    <w:rsid w:val="005A4092"/>
    <w:rsid w:val="005A4879"/>
    <w:rsid w:val="005A5455"/>
    <w:rsid w:val="005A5ECE"/>
    <w:rsid w:val="005A62E1"/>
    <w:rsid w:val="005A6319"/>
    <w:rsid w:val="005A709A"/>
    <w:rsid w:val="005A75B9"/>
    <w:rsid w:val="005A7D27"/>
    <w:rsid w:val="005B01F8"/>
    <w:rsid w:val="005B0EFC"/>
    <w:rsid w:val="005B1C6A"/>
    <w:rsid w:val="005B4E51"/>
    <w:rsid w:val="005B5927"/>
    <w:rsid w:val="005C08F1"/>
    <w:rsid w:val="005C387B"/>
    <w:rsid w:val="005C3F87"/>
    <w:rsid w:val="005C5203"/>
    <w:rsid w:val="005C565D"/>
    <w:rsid w:val="005C6775"/>
    <w:rsid w:val="005C745D"/>
    <w:rsid w:val="005D0239"/>
    <w:rsid w:val="005D162F"/>
    <w:rsid w:val="005D2CFE"/>
    <w:rsid w:val="005D2F36"/>
    <w:rsid w:val="005D331F"/>
    <w:rsid w:val="005D565B"/>
    <w:rsid w:val="005D5C41"/>
    <w:rsid w:val="005D6E01"/>
    <w:rsid w:val="005E2F30"/>
    <w:rsid w:val="005E4BA4"/>
    <w:rsid w:val="005E56C1"/>
    <w:rsid w:val="005E6631"/>
    <w:rsid w:val="005E66EE"/>
    <w:rsid w:val="005E6C5A"/>
    <w:rsid w:val="005E7400"/>
    <w:rsid w:val="005F009B"/>
    <w:rsid w:val="005F0961"/>
    <w:rsid w:val="005F0CDC"/>
    <w:rsid w:val="005F1C1B"/>
    <w:rsid w:val="005F49CF"/>
    <w:rsid w:val="005F5CC4"/>
    <w:rsid w:val="005F631E"/>
    <w:rsid w:val="00600ADD"/>
    <w:rsid w:val="00602B28"/>
    <w:rsid w:val="006033FB"/>
    <w:rsid w:val="006034A8"/>
    <w:rsid w:val="0060391B"/>
    <w:rsid w:val="00605D9C"/>
    <w:rsid w:val="00606D04"/>
    <w:rsid w:val="0061008B"/>
    <w:rsid w:val="00610BBC"/>
    <w:rsid w:val="006120E5"/>
    <w:rsid w:val="006129CB"/>
    <w:rsid w:val="00613C3C"/>
    <w:rsid w:val="00616DA5"/>
    <w:rsid w:val="00617BD1"/>
    <w:rsid w:val="00622946"/>
    <w:rsid w:val="0062362F"/>
    <w:rsid w:val="00624710"/>
    <w:rsid w:val="00625121"/>
    <w:rsid w:val="00625E41"/>
    <w:rsid w:val="00627734"/>
    <w:rsid w:val="0063011A"/>
    <w:rsid w:val="00631C1C"/>
    <w:rsid w:val="006341C3"/>
    <w:rsid w:val="00637BC6"/>
    <w:rsid w:val="00641092"/>
    <w:rsid w:val="00642A7F"/>
    <w:rsid w:val="00645CD8"/>
    <w:rsid w:val="006460D9"/>
    <w:rsid w:val="00652CE5"/>
    <w:rsid w:val="006541A7"/>
    <w:rsid w:val="006625B1"/>
    <w:rsid w:val="00664063"/>
    <w:rsid w:val="006655AF"/>
    <w:rsid w:val="006656AD"/>
    <w:rsid w:val="00666C37"/>
    <w:rsid w:val="006735D9"/>
    <w:rsid w:val="00673853"/>
    <w:rsid w:val="00674D5B"/>
    <w:rsid w:val="00676A6A"/>
    <w:rsid w:val="006805B3"/>
    <w:rsid w:val="006809D7"/>
    <w:rsid w:val="00684AA1"/>
    <w:rsid w:val="00690323"/>
    <w:rsid w:val="00690807"/>
    <w:rsid w:val="00690B46"/>
    <w:rsid w:val="00690FD5"/>
    <w:rsid w:val="00695170"/>
    <w:rsid w:val="0069699D"/>
    <w:rsid w:val="00696FD3"/>
    <w:rsid w:val="006979D8"/>
    <w:rsid w:val="006A0C50"/>
    <w:rsid w:val="006A32D5"/>
    <w:rsid w:val="006A34D9"/>
    <w:rsid w:val="006A3B9F"/>
    <w:rsid w:val="006A71CC"/>
    <w:rsid w:val="006A769F"/>
    <w:rsid w:val="006A7728"/>
    <w:rsid w:val="006B03D7"/>
    <w:rsid w:val="006B0420"/>
    <w:rsid w:val="006B0D92"/>
    <w:rsid w:val="006B140C"/>
    <w:rsid w:val="006B6271"/>
    <w:rsid w:val="006B63F7"/>
    <w:rsid w:val="006B73EE"/>
    <w:rsid w:val="006B78CC"/>
    <w:rsid w:val="006C1DC7"/>
    <w:rsid w:val="006C2B73"/>
    <w:rsid w:val="006C2D7C"/>
    <w:rsid w:val="006C2DC7"/>
    <w:rsid w:val="006C2FCF"/>
    <w:rsid w:val="006C6B9E"/>
    <w:rsid w:val="006C72FE"/>
    <w:rsid w:val="006D3D4F"/>
    <w:rsid w:val="006D4C04"/>
    <w:rsid w:val="006E0480"/>
    <w:rsid w:val="006E04E2"/>
    <w:rsid w:val="006E2FAF"/>
    <w:rsid w:val="006E3057"/>
    <w:rsid w:val="006E3A22"/>
    <w:rsid w:val="006E3D11"/>
    <w:rsid w:val="006E66FF"/>
    <w:rsid w:val="006E7D97"/>
    <w:rsid w:val="006F1B52"/>
    <w:rsid w:val="006F1FE2"/>
    <w:rsid w:val="006F4102"/>
    <w:rsid w:val="0070035E"/>
    <w:rsid w:val="00700DEA"/>
    <w:rsid w:val="0070151C"/>
    <w:rsid w:val="007022EF"/>
    <w:rsid w:val="00705B05"/>
    <w:rsid w:val="007102C4"/>
    <w:rsid w:val="00710D3A"/>
    <w:rsid w:val="00711F04"/>
    <w:rsid w:val="007130A3"/>
    <w:rsid w:val="00713FCC"/>
    <w:rsid w:val="00714055"/>
    <w:rsid w:val="00714929"/>
    <w:rsid w:val="007150D3"/>
    <w:rsid w:val="00716F14"/>
    <w:rsid w:val="00720B56"/>
    <w:rsid w:val="00721C8D"/>
    <w:rsid w:val="00723E5E"/>
    <w:rsid w:val="00724413"/>
    <w:rsid w:val="007250D1"/>
    <w:rsid w:val="0072545C"/>
    <w:rsid w:val="0073005B"/>
    <w:rsid w:val="00730A85"/>
    <w:rsid w:val="0073329E"/>
    <w:rsid w:val="00734ADF"/>
    <w:rsid w:val="007359C0"/>
    <w:rsid w:val="00737319"/>
    <w:rsid w:val="00737C5D"/>
    <w:rsid w:val="00737E66"/>
    <w:rsid w:val="00743C2B"/>
    <w:rsid w:val="00746B2F"/>
    <w:rsid w:val="0075123B"/>
    <w:rsid w:val="007535CB"/>
    <w:rsid w:val="00754179"/>
    <w:rsid w:val="00754C28"/>
    <w:rsid w:val="00754C77"/>
    <w:rsid w:val="00754D79"/>
    <w:rsid w:val="00756C0A"/>
    <w:rsid w:val="007626B4"/>
    <w:rsid w:val="00762FEC"/>
    <w:rsid w:val="00763308"/>
    <w:rsid w:val="007644BA"/>
    <w:rsid w:val="007652C6"/>
    <w:rsid w:val="007666A4"/>
    <w:rsid w:val="007667E6"/>
    <w:rsid w:val="007676D7"/>
    <w:rsid w:val="00767E01"/>
    <w:rsid w:val="007713A6"/>
    <w:rsid w:val="0077181E"/>
    <w:rsid w:val="007744EA"/>
    <w:rsid w:val="00777BC5"/>
    <w:rsid w:val="00780261"/>
    <w:rsid w:val="00780BAD"/>
    <w:rsid w:val="00781CA1"/>
    <w:rsid w:val="007835F1"/>
    <w:rsid w:val="00784D25"/>
    <w:rsid w:val="00785344"/>
    <w:rsid w:val="007866DD"/>
    <w:rsid w:val="007903C9"/>
    <w:rsid w:val="00790BBB"/>
    <w:rsid w:val="007917A6"/>
    <w:rsid w:val="00794D07"/>
    <w:rsid w:val="00795435"/>
    <w:rsid w:val="00796671"/>
    <w:rsid w:val="007A03E1"/>
    <w:rsid w:val="007A2726"/>
    <w:rsid w:val="007A285B"/>
    <w:rsid w:val="007A4DBF"/>
    <w:rsid w:val="007A5CC4"/>
    <w:rsid w:val="007A62E2"/>
    <w:rsid w:val="007A64A3"/>
    <w:rsid w:val="007B0AC6"/>
    <w:rsid w:val="007B159B"/>
    <w:rsid w:val="007B1C08"/>
    <w:rsid w:val="007B21ED"/>
    <w:rsid w:val="007B4711"/>
    <w:rsid w:val="007B636C"/>
    <w:rsid w:val="007B7743"/>
    <w:rsid w:val="007C00B6"/>
    <w:rsid w:val="007C2FC7"/>
    <w:rsid w:val="007C7345"/>
    <w:rsid w:val="007D4F76"/>
    <w:rsid w:val="007D50BB"/>
    <w:rsid w:val="007D5222"/>
    <w:rsid w:val="007E2076"/>
    <w:rsid w:val="007E2526"/>
    <w:rsid w:val="007E59DB"/>
    <w:rsid w:val="007E6D4A"/>
    <w:rsid w:val="007E7038"/>
    <w:rsid w:val="007E72D2"/>
    <w:rsid w:val="007F118A"/>
    <w:rsid w:val="007F1ED0"/>
    <w:rsid w:val="007F2B91"/>
    <w:rsid w:val="007F4F01"/>
    <w:rsid w:val="008014BB"/>
    <w:rsid w:val="00802D62"/>
    <w:rsid w:val="00802FBD"/>
    <w:rsid w:val="008033C8"/>
    <w:rsid w:val="008036C5"/>
    <w:rsid w:val="0080442B"/>
    <w:rsid w:val="008045FA"/>
    <w:rsid w:val="008050B0"/>
    <w:rsid w:val="00805932"/>
    <w:rsid w:val="00806A5A"/>
    <w:rsid w:val="00810E14"/>
    <w:rsid w:val="008110B6"/>
    <w:rsid w:val="00812413"/>
    <w:rsid w:val="00816826"/>
    <w:rsid w:val="00822B71"/>
    <w:rsid w:val="0082459F"/>
    <w:rsid w:val="00825D2C"/>
    <w:rsid w:val="00826203"/>
    <w:rsid w:val="00826AB1"/>
    <w:rsid w:val="00826E18"/>
    <w:rsid w:val="00830772"/>
    <w:rsid w:val="00830C80"/>
    <w:rsid w:val="0083207A"/>
    <w:rsid w:val="00833A17"/>
    <w:rsid w:val="00833D67"/>
    <w:rsid w:val="008346D8"/>
    <w:rsid w:val="00836B2E"/>
    <w:rsid w:val="00836B58"/>
    <w:rsid w:val="00836C52"/>
    <w:rsid w:val="00836C70"/>
    <w:rsid w:val="00836EB5"/>
    <w:rsid w:val="00841057"/>
    <w:rsid w:val="00842171"/>
    <w:rsid w:val="00845437"/>
    <w:rsid w:val="00845467"/>
    <w:rsid w:val="008456C0"/>
    <w:rsid w:val="00847178"/>
    <w:rsid w:val="0084762A"/>
    <w:rsid w:val="00847E43"/>
    <w:rsid w:val="00850A31"/>
    <w:rsid w:val="00852D4B"/>
    <w:rsid w:val="008554D5"/>
    <w:rsid w:val="00856741"/>
    <w:rsid w:val="00856C44"/>
    <w:rsid w:val="0086063C"/>
    <w:rsid w:val="00860827"/>
    <w:rsid w:val="008620E1"/>
    <w:rsid w:val="00863A50"/>
    <w:rsid w:val="008649B7"/>
    <w:rsid w:val="00866A09"/>
    <w:rsid w:val="00866D1E"/>
    <w:rsid w:val="00867ACC"/>
    <w:rsid w:val="00867F9E"/>
    <w:rsid w:val="00870C46"/>
    <w:rsid w:val="008710D9"/>
    <w:rsid w:val="008716A8"/>
    <w:rsid w:val="0087440E"/>
    <w:rsid w:val="00874D8A"/>
    <w:rsid w:val="0087694A"/>
    <w:rsid w:val="00876A01"/>
    <w:rsid w:val="0087796D"/>
    <w:rsid w:val="00880632"/>
    <w:rsid w:val="00880F95"/>
    <w:rsid w:val="00881C4E"/>
    <w:rsid w:val="00882754"/>
    <w:rsid w:val="0088655A"/>
    <w:rsid w:val="00887D3C"/>
    <w:rsid w:val="008900E7"/>
    <w:rsid w:val="00892784"/>
    <w:rsid w:val="00895A6A"/>
    <w:rsid w:val="008A1B38"/>
    <w:rsid w:val="008A1EC8"/>
    <w:rsid w:val="008A2CDC"/>
    <w:rsid w:val="008A3C6C"/>
    <w:rsid w:val="008A4635"/>
    <w:rsid w:val="008A613C"/>
    <w:rsid w:val="008A7F0A"/>
    <w:rsid w:val="008B007A"/>
    <w:rsid w:val="008B2B28"/>
    <w:rsid w:val="008B2D30"/>
    <w:rsid w:val="008B2DC5"/>
    <w:rsid w:val="008B2F57"/>
    <w:rsid w:val="008B4588"/>
    <w:rsid w:val="008B6862"/>
    <w:rsid w:val="008B6F32"/>
    <w:rsid w:val="008B7B66"/>
    <w:rsid w:val="008C3E8E"/>
    <w:rsid w:val="008C75DE"/>
    <w:rsid w:val="008D2278"/>
    <w:rsid w:val="008D385F"/>
    <w:rsid w:val="008D6D8D"/>
    <w:rsid w:val="008D7151"/>
    <w:rsid w:val="008E002C"/>
    <w:rsid w:val="008E116D"/>
    <w:rsid w:val="008E2847"/>
    <w:rsid w:val="008E3D5C"/>
    <w:rsid w:val="008E4E51"/>
    <w:rsid w:val="008E62D2"/>
    <w:rsid w:val="008F02AA"/>
    <w:rsid w:val="008F1C32"/>
    <w:rsid w:val="008F23C5"/>
    <w:rsid w:val="008F2676"/>
    <w:rsid w:val="008F288D"/>
    <w:rsid w:val="008F360D"/>
    <w:rsid w:val="008F55A4"/>
    <w:rsid w:val="008F595B"/>
    <w:rsid w:val="008F7BD2"/>
    <w:rsid w:val="008F7DC0"/>
    <w:rsid w:val="00901BBF"/>
    <w:rsid w:val="00902AE3"/>
    <w:rsid w:val="00903A38"/>
    <w:rsid w:val="00904070"/>
    <w:rsid w:val="0090506D"/>
    <w:rsid w:val="00905343"/>
    <w:rsid w:val="0090777C"/>
    <w:rsid w:val="009107CB"/>
    <w:rsid w:val="00913DFF"/>
    <w:rsid w:val="009143ED"/>
    <w:rsid w:val="00916E6D"/>
    <w:rsid w:val="009216DD"/>
    <w:rsid w:val="00922735"/>
    <w:rsid w:val="00924042"/>
    <w:rsid w:val="009250C3"/>
    <w:rsid w:val="0092535B"/>
    <w:rsid w:val="00925DE1"/>
    <w:rsid w:val="00926B05"/>
    <w:rsid w:val="009300B0"/>
    <w:rsid w:val="00931720"/>
    <w:rsid w:val="009338FD"/>
    <w:rsid w:val="00936F38"/>
    <w:rsid w:val="00937944"/>
    <w:rsid w:val="00942781"/>
    <w:rsid w:val="009433BA"/>
    <w:rsid w:val="00945613"/>
    <w:rsid w:val="009457A9"/>
    <w:rsid w:val="00945B17"/>
    <w:rsid w:val="00947A80"/>
    <w:rsid w:val="0095104C"/>
    <w:rsid w:val="00953F30"/>
    <w:rsid w:val="00954F6F"/>
    <w:rsid w:val="00956A4E"/>
    <w:rsid w:val="0096148D"/>
    <w:rsid w:val="0097181F"/>
    <w:rsid w:val="00971CAB"/>
    <w:rsid w:val="00973C63"/>
    <w:rsid w:val="00973C69"/>
    <w:rsid w:val="00973ED2"/>
    <w:rsid w:val="00974542"/>
    <w:rsid w:val="0097586C"/>
    <w:rsid w:val="00976AA7"/>
    <w:rsid w:val="009778BF"/>
    <w:rsid w:val="00977A81"/>
    <w:rsid w:val="00980A28"/>
    <w:rsid w:val="00981970"/>
    <w:rsid w:val="00981CF4"/>
    <w:rsid w:val="00982251"/>
    <w:rsid w:val="0099656C"/>
    <w:rsid w:val="0099666E"/>
    <w:rsid w:val="009A16C1"/>
    <w:rsid w:val="009A3BAF"/>
    <w:rsid w:val="009A42C6"/>
    <w:rsid w:val="009A526A"/>
    <w:rsid w:val="009A550A"/>
    <w:rsid w:val="009A58CC"/>
    <w:rsid w:val="009A71DA"/>
    <w:rsid w:val="009B0427"/>
    <w:rsid w:val="009B3A73"/>
    <w:rsid w:val="009B4F05"/>
    <w:rsid w:val="009B4F26"/>
    <w:rsid w:val="009B7F4F"/>
    <w:rsid w:val="009C27FC"/>
    <w:rsid w:val="009C32DD"/>
    <w:rsid w:val="009C4415"/>
    <w:rsid w:val="009C5222"/>
    <w:rsid w:val="009C6538"/>
    <w:rsid w:val="009C7524"/>
    <w:rsid w:val="009D1403"/>
    <w:rsid w:val="009D1636"/>
    <w:rsid w:val="009D1FFB"/>
    <w:rsid w:val="009D34D7"/>
    <w:rsid w:val="009D5970"/>
    <w:rsid w:val="009D7A02"/>
    <w:rsid w:val="009E15E8"/>
    <w:rsid w:val="009E1B10"/>
    <w:rsid w:val="009E2994"/>
    <w:rsid w:val="009E5750"/>
    <w:rsid w:val="009E6048"/>
    <w:rsid w:val="009E7999"/>
    <w:rsid w:val="009F1043"/>
    <w:rsid w:val="009F1AF6"/>
    <w:rsid w:val="009F3C95"/>
    <w:rsid w:val="009F5C79"/>
    <w:rsid w:val="009F6248"/>
    <w:rsid w:val="009F67BF"/>
    <w:rsid w:val="00A0051D"/>
    <w:rsid w:val="00A015B3"/>
    <w:rsid w:val="00A01A54"/>
    <w:rsid w:val="00A03911"/>
    <w:rsid w:val="00A06E6C"/>
    <w:rsid w:val="00A10B03"/>
    <w:rsid w:val="00A11BB0"/>
    <w:rsid w:val="00A11EB9"/>
    <w:rsid w:val="00A127BA"/>
    <w:rsid w:val="00A15CC6"/>
    <w:rsid w:val="00A15F3D"/>
    <w:rsid w:val="00A200B7"/>
    <w:rsid w:val="00A20302"/>
    <w:rsid w:val="00A218E6"/>
    <w:rsid w:val="00A21C71"/>
    <w:rsid w:val="00A22615"/>
    <w:rsid w:val="00A22B6E"/>
    <w:rsid w:val="00A236C8"/>
    <w:rsid w:val="00A25125"/>
    <w:rsid w:val="00A26582"/>
    <w:rsid w:val="00A268CC"/>
    <w:rsid w:val="00A26FDA"/>
    <w:rsid w:val="00A30526"/>
    <w:rsid w:val="00A3358C"/>
    <w:rsid w:val="00A35366"/>
    <w:rsid w:val="00A424A8"/>
    <w:rsid w:val="00A46541"/>
    <w:rsid w:val="00A51B05"/>
    <w:rsid w:val="00A5512F"/>
    <w:rsid w:val="00A60E4D"/>
    <w:rsid w:val="00A6170E"/>
    <w:rsid w:val="00A61E4E"/>
    <w:rsid w:val="00A62667"/>
    <w:rsid w:val="00A62CD0"/>
    <w:rsid w:val="00A63C1B"/>
    <w:rsid w:val="00A647FB"/>
    <w:rsid w:val="00A64EFA"/>
    <w:rsid w:val="00A65130"/>
    <w:rsid w:val="00A662A2"/>
    <w:rsid w:val="00A67A8A"/>
    <w:rsid w:val="00A70E0B"/>
    <w:rsid w:val="00A71995"/>
    <w:rsid w:val="00A7709E"/>
    <w:rsid w:val="00A7795E"/>
    <w:rsid w:val="00A80510"/>
    <w:rsid w:val="00A81C3A"/>
    <w:rsid w:val="00A83073"/>
    <w:rsid w:val="00A8569A"/>
    <w:rsid w:val="00A8713F"/>
    <w:rsid w:val="00A90FA1"/>
    <w:rsid w:val="00A91792"/>
    <w:rsid w:val="00A94D8C"/>
    <w:rsid w:val="00AA00F8"/>
    <w:rsid w:val="00AA13ED"/>
    <w:rsid w:val="00AA2B66"/>
    <w:rsid w:val="00AA39F2"/>
    <w:rsid w:val="00AA675B"/>
    <w:rsid w:val="00AB3231"/>
    <w:rsid w:val="00AB4F2C"/>
    <w:rsid w:val="00AB5263"/>
    <w:rsid w:val="00AB68B4"/>
    <w:rsid w:val="00AB7972"/>
    <w:rsid w:val="00AB7EFD"/>
    <w:rsid w:val="00AB7FA3"/>
    <w:rsid w:val="00AC0AEB"/>
    <w:rsid w:val="00AC4C83"/>
    <w:rsid w:val="00AC65CE"/>
    <w:rsid w:val="00AC769C"/>
    <w:rsid w:val="00AD3390"/>
    <w:rsid w:val="00AD419E"/>
    <w:rsid w:val="00AD4B5F"/>
    <w:rsid w:val="00AD55D0"/>
    <w:rsid w:val="00AD604B"/>
    <w:rsid w:val="00AE2694"/>
    <w:rsid w:val="00AE58A4"/>
    <w:rsid w:val="00AE5BD6"/>
    <w:rsid w:val="00AF02C6"/>
    <w:rsid w:val="00AF04F2"/>
    <w:rsid w:val="00AF44D8"/>
    <w:rsid w:val="00AF6517"/>
    <w:rsid w:val="00B00EE8"/>
    <w:rsid w:val="00B0305C"/>
    <w:rsid w:val="00B03517"/>
    <w:rsid w:val="00B0386F"/>
    <w:rsid w:val="00B06020"/>
    <w:rsid w:val="00B06105"/>
    <w:rsid w:val="00B06DFB"/>
    <w:rsid w:val="00B0767D"/>
    <w:rsid w:val="00B102CC"/>
    <w:rsid w:val="00B112E6"/>
    <w:rsid w:val="00B131E0"/>
    <w:rsid w:val="00B133C7"/>
    <w:rsid w:val="00B156F8"/>
    <w:rsid w:val="00B2175F"/>
    <w:rsid w:val="00B21E9A"/>
    <w:rsid w:val="00B2288C"/>
    <w:rsid w:val="00B24DC8"/>
    <w:rsid w:val="00B25828"/>
    <w:rsid w:val="00B30AE0"/>
    <w:rsid w:val="00B30B55"/>
    <w:rsid w:val="00B31102"/>
    <w:rsid w:val="00B3131C"/>
    <w:rsid w:val="00B31534"/>
    <w:rsid w:val="00B32D3C"/>
    <w:rsid w:val="00B337D1"/>
    <w:rsid w:val="00B33B3E"/>
    <w:rsid w:val="00B35E44"/>
    <w:rsid w:val="00B36AFC"/>
    <w:rsid w:val="00B407E2"/>
    <w:rsid w:val="00B42544"/>
    <w:rsid w:val="00B43EBC"/>
    <w:rsid w:val="00B44994"/>
    <w:rsid w:val="00B45059"/>
    <w:rsid w:val="00B46452"/>
    <w:rsid w:val="00B50E35"/>
    <w:rsid w:val="00B5174D"/>
    <w:rsid w:val="00B51E93"/>
    <w:rsid w:val="00B53F05"/>
    <w:rsid w:val="00B5509E"/>
    <w:rsid w:val="00B60267"/>
    <w:rsid w:val="00B605D5"/>
    <w:rsid w:val="00B617C5"/>
    <w:rsid w:val="00B61A3F"/>
    <w:rsid w:val="00B6291B"/>
    <w:rsid w:val="00B65DDD"/>
    <w:rsid w:val="00B673E9"/>
    <w:rsid w:val="00B67C2C"/>
    <w:rsid w:val="00B67DC6"/>
    <w:rsid w:val="00B71FBB"/>
    <w:rsid w:val="00B745C1"/>
    <w:rsid w:val="00B7639E"/>
    <w:rsid w:val="00B768D4"/>
    <w:rsid w:val="00B776C3"/>
    <w:rsid w:val="00B80139"/>
    <w:rsid w:val="00B81742"/>
    <w:rsid w:val="00B8427B"/>
    <w:rsid w:val="00B843C9"/>
    <w:rsid w:val="00B87B9B"/>
    <w:rsid w:val="00B913C4"/>
    <w:rsid w:val="00B914D5"/>
    <w:rsid w:val="00B927F2"/>
    <w:rsid w:val="00B9377D"/>
    <w:rsid w:val="00B94540"/>
    <w:rsid w:val="00B963DF"/>
    <w:rsid w:val="00BA005F"/>
    <w:rsid w:val="00BA0920"/>
    <w:rsid w:val="00BA261F"/>
    <w:rsid w:val="00BA38D9"/>
    <w:rsid w:val="00BB1966"/>
    <w:rsid w:val="00BB20DC"/>
    <w:rsid w:val="00BB4AE3"/>
    <w:rsid w:val="00BC12B2"/>
    <w:rsid w:val="00BC12E5"/>
    <w:rsid w:val="00BC2BB8"/>
    <w:rsid w:val="00BC30E1"/>
    <w:rsid w:val="00BC3717"/>
    <w:rsid w:val="00BC6CDD"/>
    <w:rsid w:val="00BC6EDC"/>
    <w:rsid w:val="00BC7F33"/>
    <w:rsid w:val="00BD16EB"/>
    <w:rsid w:val="00BD1E7C"/>
    <w:rsid w:val="00BD379A"/>
    <w:rsid w:val="00BD41A9"/>
    <w:rsid w:val="00BE10A8"/>
    <w:rsid w:val="00BE1482"/>
    <w:rsid w:val="00BE2EB8"/>
    <w:rsid w:val="00BE5523"/>
    <w:rsid w:val="00BE56FE"/>
    <w:rsid w:val="00BE774E"/>
    <w:rsid w:val="00BF0BB5"/>
    <w:rsid w:val="00BF0D38"/>
    <w:rsid w:val="00BF18E4"/>
    <w:rsid w:val="00BF1A64"/>
    <w:rsid w:val="00BF3642"/>
    <w:rsid w:val="00BF440E"/>
    <w:rsid w:val="00BF45E2"/>
    <w:rsid w:val="00BF4BBA"/>
    <w:rsid w:val="00BF6B81"/>
    <w:rsid w:val="00C0130E"/>
    <w:rsid w:val="00C019DE"/>
    <w:rsid w:val="00C02584"/>
    <w:rsid w:val="00C02F32"/>
    <w:rsid w:val="00C044DC"/>
    <w:rsid w:val="00C05412"/>
    <w:rsid w:val="00C075AB"/>
    <w:rsid w:val="00C079F7"/>
    <w:rsid w:val="00C10F44"/>
    <w:rsid w:val="00C122F5"/>
    <w:rsid w:val="00C13532"/>
    <w:rsid w:val="00C147E1"/>
    <w:rsid w:val="00C14979"/>
    <w:rsid w:val="00C159AF"/>
    <w:rsid w:val="00C17333"/>
    <w:rsid w:val="00C22B14"/>
    <w:rsid w:val="00C22B63"/>
    <w:rsid w:val="00C23CFA"/>
    <w:rsid w:val="00C27E73"/>
    <w:rsid w:val="00C3152E"/>
    <w:rsid w:val="00C32B6B"/>
    <w:rsid w:val="00C33DA5"/>
    <w:rsid w:val="00C355C9"/>
    <w:rsid w:val="00C36995"/>
    <w:rsid w:val="00C405E8"/>
    <w:rsid w:val="00C41B8D"/>
    <w:rsid w:val="00C41F5D"/>
    <w:rsid w:val="00C43556"/>
    <w:rsid w:val="00C437A9"/>
    <w:rsid w:val="00C45D36"/>
    <w:rsid w:val="00C5076B"/>
    <w:rsid w:val="00C5097F"/>
    <w:rsid w:val="00C512B9"/>
    <w:rsid w:val="00C51BC2"/>
    <w:rsid w:val="00C52D1D"/>
    <w:rsid w:val="00C5342B"/>
    <w:rsid w:val="00C54C01"/>
    <w:rsid w:val="00C5679F"/>
    <w:rsid w:val="00C57EBC"/>
    <w:rsid w:val="00C6164B"/>
    <w:rsid w:val="00C628C1"/>
    <w:rsid w:val="00C70781"/>
    <w:rsid w:val="00C718C7"/>
    <w:rsid w:val="00C7620C"/>
    <w:rsid w:val="00C76348"/>
    <w:rsid w:val="00C76F3A"/>
    <w:rsid w:val="00C776EF"/>
    <w:rsid w:val="00C77ABF"/>
    <w:rsid w:val="00C8040E"/>
    <w:rsid w:val="00C82A62"/>
    <w:rsid w:val="00C8305F"/>
    <w:rsid w:val="00C83F8B"/>
    <w:rsid w:val="00C8492A"/>
    <w:rsid w:val="00C85DDF"/>
    <w:rsid w:val="00C9102C"/>
    <w:rsid w:val="00C92EED"/>
    <w:rsid w:val="00C93974"/>
    <w:rsid w:val="00C95975"/>
    <w:rsid w:val="00C966AA"/>
    <w:rsid w:val="00C9673D"/>
    <w:rsid w:val="00C9737D"/>
    <w:rsid w:val="00C976CE"/>
    <w:rsid w:val="00CA00DD"/>
    <w:rsid w:val="00CB1C2B"/>
    <w:rsid w:val="00CB23BF"/>
    <w:rsid w:val="00CB39F1"/>
    <w:rsid w:val="00CC2921"/>
    <w:rsid w:val="00CC5C9D"/>
    <w:rsid w:val="00CC6555"/>
    <w:rsid w:val="00CD2289"/>
    <w:rsid w:val="00CD335C"/>
    <w:rsid w:val="00CD33E2"/>
    <w:rsid w:val="00CD37C6"/>
    <w:rsid w:val="00CD5A4D"/>
    <w:rsid w:val="00CD5E4C"/>
    <w:rsid w:val="00CD6010"/>
    <w:rsid w:val="00CD6148"/>
    <w:rsid w:val="00CD6D1D"/>
    <w:rsid w:val="00CE1D5F"/>
    <w:rsid w:val="00CE1E5B"/>
    <w:rsid w:val="00CE1F92"/>
    <w:rsid w:val="00CE4BD3"/>
    <w:rsid w:val="00CE65C0"/>
    <w:rsid w:val="00CE76EB"/>
    <w:rsid w:val="00CE7D91"/>
    <w:rsid w:val="00CF0BF5"/>
    <w:rsid w:val="00CF11A5"/>
    <w:rsid w:val="00CF3E5E"/>
    <w:rsid w:val="00CF7DE5"/>
    <w:rsid w:val="00D05D22"/>
    <w:rsid w:val="00D060BA"/>
    <w:rsid w:val="00D064B3"/>
    <w:rsid w:val="00D11643"/>
    <w:rsid w:val="00D11973"/>
    <w:rsid w:val="00D120E1"/>
    <w:rsid w:val="00D13295"/>
    <w:rsid w:val="00D1386C"/>
    <w:rsid w:val="00D145E8"/>
    <w:rsid w:val="00D14AC2"/>
    <w:rsid w:val="00D14AC9"/>
    <w:rsid w:val="00D1545D"/>
    <w:rsid w:val="00D15FAC"/>
    <w:rsid w:val="00D17A38"/>
    <w:rsid w:val="00D200ED"/>
    <w:rsid w:val="00D20B00"/>
    <w:rsid w:val="00D21217"/>
    <w:rsid w:val="00D220E8"/>
    <w:rsid w:val="00D231F9"/>
    <w:rsid w:val="00D2342F"/>
    <w:rsid w:val="00D239D0"/>
    <w:rsid w:val="00D25082"/>
    <w:rsid w:val="00D25341"/>
    <w:rsid w:val="00D26CC1"/>
    <w:rsid w:val="00D27C5D"/>
    <w:rsid w:val="00D27E28"/>
    <w:rsid w:val="00D31E48"/>
    <w:rsid w:val="00D3200A"/>
    <w:rsid w:val="00D3356F"/>
    <w:rsid w:val="00D33789"/>
    <w:rsid w:val="00D34B60"/>
    <w:rsid w:val="00D36BFE"/>
    <w:rsid w:val="00D372B2"/>
    <w:rsid w:val="00D40AE6"/>
    <w:rsid w:val="00D40AF5"/>
    <w:rsid w:val="00D4109D"/>
    <w:rsid w:val="00D433E7"/>
    <w:rsid w:val="00D46AA3"/>
    <w:rsid w:val="00D47594"/>
    <w:rsid w:val="00D50576"/>
    <w:rsid w:val="00D514B7"/>
    <w:rsid w:val="00D550D5"/>
    <w:rsid w:val="00D567ED"/>
    <w:rsid w:val="00D63F89"/>
    <w:rsid w:val="00D657D3"/>
    <w:rsid w:val="00D65E40"/>
    <w:rsid w:val="00D67363"/>
    <w:rsid w:val="00D674B7"/>
    <w:rsid w:val="00D7047B"/>
    <w:rsid w:val="00D70E22"/>
    <w:rsid w:val="00D724BC"/>
    <w:rsid w:val="00D7309B"/>
    <w:rsid w:val="00D7316E"/>
    <w:rsid w:val="00D73188"/>
    <w:rsid w:val="00D769E3"/>
    <w:rsid w:val="00D83149"/>
    <w:rsid w:val="00D840BC"/>
    <w:rsid w:val="00D86B79"/>
    <w:rsid w:val="00D90660"/>
    <w:rsid w:val="00D906D1"/>
    <w:rsid w:val="00D9343E"/>
    <w:rsid w:val="00D96CA6"/>
    <w:rsid w:val="00D97EA6"/>
    <w:rsid w:val="00DA16EA"/>
    <w:rsid w:val="00DA3FD8"/>
    <w:rsid w:val="00DA5C53"/>
    <w:rsid w:val="00DA6465"/>
    <w:rsid w:val="00DB1D6F"/>
    <w:rsid w:val="00DB2B25"/>
    <w:rsid w:val="00DB47C4"/>
    <w:rsid w:val="00DB63A6"/>
    <w:rsid w:val="00DB7F4A"/>
    <w:rsid w:val="00DC0256"/>
    <w:rsid w:val="00DC07C0"/>
    <w:rsid w:val="00DC12AA"/>
    <w:rsid w:val="00DC13FB"/>
    <w:rsid w:val="00DC367A"/>
    <w:rsid w:val="00DC4823"/>
    <w:rsid w:val="00DC4898"/>
    <w:rsid w:val="00DC6E62"/>
    <w:rsid w:val="00DC73E1"/>
    <w:rsid w:val="00DC75B4"/>
    <w:rsid w:val="00DD02C1"/>
    <w:rsid w:val="00DD050D"/>
    <w:rsid w:val="00DD096A"/>
    <w:rsid w:val="00DD2920"/>
    <w:rsid w:val="00DD3761"/>
    <w:rsid w:val="00DD4669"/>
    <w:rsid w:val="00DE0FE7"/>
    <w:rsid w:val="00DE26ED"/>
    <w:rsid w:val="00DE2EB4"/>
    <w:rsid w:val="00DE2EC6"/>
    <w:rsid w:val="00DE536A"/>
    <w:rsid w:val="00DE5458"/>
    <w:rsid w:val="00DE6066"/>
    <w:rsid w:val="00DE60DA"/>
    <w:rsid w:val="00DE63E1"/>
    <w:rsid w:val="00DE70F1"/>
    <w:rsid w:val="00DF0A29"/>
    <w:rsid w:val="00DF268F"/>
    <w:rsid w:val="00DF7617"/>
    <w:rsid w:val="00DF76B4"/>
    <w:rsid w:val="00E00524"/>
    <w:rsid w:val="00E0170A"/>
    <w:rsid w:val="00E01D4C"/>
    <w:rsid w:val="00E06A50"/>
    <w:rsid w:val="00E06FB4"/>
    <w:rsid w:val="00E14FA1"/>
    <w:rsid w:val="00E15F2E"/>
    <w:rsid w:val="00E16978"/>
    <w:rsid w:val="00E174E9"/>
    <w:rsid w:val="00E1767D"/>
    <w:rsid w:val="00E207FF"/>
    <w:rsid w:val="00E210A7"/>
    <w:rsid w:val="00E22696"/>
    <w:rsid w:val="00E2673D"/>
    <w:rsid w:val="00E30C56"/>
    <w:rsid w:val="00E3102F"/>
    <w:rsid w:val="00E328FA"/>
    <w:rsid w:val="00E352D7"/>
    <w:rsid w:val="00E37512"/>
    <w:rsid w:val="00E41D39"/>
    <w:rsid w:val="00E42095"/>
    <w:rsid w:val="00E42250"/>
    <w:rsid w:val="00E443EE"/>
    <w:rsid w:val="00E57BCD"/>
    <w:rsid w:val="00E57F96"/>
    <w:rsid w:val="00E604BB"/>
    <w:rsid w:val="00E61A0E"/>
    <w:rsid w:val="00E64DFC"/>
    <w:rsid w:val="00E6510A"/>
    <w:rsid w:val="00E6684A"/>
    <w:rsid w:val="00E720CD"/>
    <w:rsid w:val="00E737C2"/>
    <w:rsid w:val="00E744D5"/>
    <w:rsid w:val="00E76BAF"/>
    <w:rsid w:val="00E80BF5"/>
    <w:rsid w:val="00E83FC6"/>
    <w:rsid w:val="00E854ED"/>
    <w:rsid w:val="00E8562C"/>
    <w:rsid w:val="00E858CB"/>
    <w:rsid w:val="00E85D98"/>
    <w:rsid w:val="00E9072E"/>
    <w:rsid w:val="00E9305B"/>
    <w:rsid w:val="00E9499B"/>
    <w:rsid w:val="00E95285"/>
    <w:rsid w:val="00E96122"/>
    <w:rsid w:val="00EA11A7"/>
    <w:rsid w:val="00EA3DA9"/>
    <w:rsid w:val="00EA403D"/>
    <w:rsid w:val="00EA4D9B"/>
    <w:rsid w:val="00EA4DC6"/>
    <w:rsid w:val="00EA5254"/>
    <w:rsid w:val="00EA5A1A"/>
    <w:rsid w:val="00EA7199"/>
    <w:rsid w:val="00EB0C61"/>
    <w:rsid w:val="00EB29BE"/>
    <w:rsid w:val="00EB2B95"/>
    <w:rsid w:val="00EB32D3"/>
    <w:rsid w:val="00EB67E5"/>
    <w:rsid w:val="00EB790F"/>
    <w:rsid w:val="00EC1095"/>
    <w:rsid w:val="00EC2079"/>
    <w:rsid w:val="00EC2672"/>
    <w:rsid w:val="00EC32D5"/>
    <w:rsid w:val="00EC38F4"/>
    <w:rsid w:val="00EC4636"/>
    <w:rsid w:val="00EC4F2B"/>
    <w:rsid w:val="00EC51F2"/>
    <w:rsid w:val="00EC6433"/>
    <w:rsid w:val="00EC7484"/>
    <w:rsid w:val="00EC7934"/>
    <w:rsid w:val="00EC7947"/>
    <w:rsid w:val="00EC7D93"/>
    <w:rsid w:val="00ED04C5"/>
    <w:rsid w:val="00ED2006"/>
    <w:rsid w:val="00ED6FB9"/>
    <w:rsid w:val="00EE00D9"/>
    <w:rsid w:val="00EE098B"/>
    <w:rsid w:val="00EE4FBB"/>
    <w:rsid w:val="00EE59FF"/>
    <w:rsid w:val="00EE6533"/>
    <w:rsid w:val="00EE65EC"/>
    <w:rsid w:val="00EF0EE1"/>
    <w:rsid w:val="00EF160C"/>
    <w:rsid w:val="00EF1AD5"/>
    <w:rsid w:val="00EF4CE7"/>
    <w:rsid w:val="00EF5822"/>
    <w:rsid w:val="00EF5D37"/>
    <w:rsid w:val="00EF6A72"/>
    <w:rsid w:val="00EF773F"/>
    <w:rsid w:val="00F00CD3"/>
    <w:rsid w:val="00F059B6"/>
    <w:rsid w:val="00F108F0"/>
    <w:rsid w:val="00F1098B"/>
    <w:rsid w:val="00F10C5F"/>
    <w:rsid w:val="00F12155"/>
    <w:rsid w:val="00F12F3E"/>
    <w:rsid w:val="00F13AD5"/>
    <w:rsid w:val="00F1449F"/>
    <w:rsid w:val="00F1708D"/>
    <w:rsid w:val="00F20BC9"/>
    <w:rsid w:val="00F20FA8"/>
    <w:rsid w:val="00F2219C"/>
    <w:rsid w:val="00F23020"/>
    <w:rsid w:val="00F24E96"/>
    <w:rsid w:val="00F261BE"/>
    <w:rsid w:val="00F26C35"/>
    <w:rsid w:val="00F306E9"/>
    <w:rsid w:val="00F314DE"/>
    <w:rsid w:val="00F340BC"/>
    <w:rsid w:val="00F34B7C"/>
    <w:rsid w:val="00F35898"/>
    <w:rsid w:val="00F36B14"/>
    <w:rsid w:val="00F37C18"/>
    <w:rsid w:val="00F40621"/>
    <w:rsid w:val="00F408E9"/>
    <w:rsid w:val="00F41005"/>
    <w:rsid w:val="00F432F5"/>
    <w:rsid w:val="00F43FD2"/>
    <w:rsid w:val="00F44FA2"/>
    <w:rsid w:val="00F450B7"/>
    <w:rsid w:val="00F4654C"/>
    <w:rsid w:val="00F46805"/>
    <w:rsid w:val="00F5024A"/>
    <w:rsid w:val="00F519ED"/>
    <w:rsid w:val="00F52112"/>
    <w:rsid w:val="00F54C2C"/>
    <w:rsid w:val="00F6055B"/>
    <w:rsid w:val="00F62FC0"/>
    <w:rsid w:val="00F631C8"/>
    <w:rsid w:val="00F63A40"/>
    <w:rsid w:val="00F66028"/>
    <w:rsid w:val="00F70E88"/>
    <w:rsid w:val="00F717D5"/>
    <w:rsid w:val="00F71AC6"/>
    <w:rsid w:val="00F73411"/>
    <w:rsid w:val="00F75C2C"/>
    <w:rsid w:val="00F76EE9"/>
    <w:rsid w:val="00F80263"/>
    <w:rsid w:val="00F808C9"/>
    <w:rsid w:val="00F80D6B"/>
    <w:rsid w:val="00F81F18"/>
    <w:rsid w:val="00F87033"/>
    <w:rsid w:val="00F87A5D"/>
    <w:rsid w:val="00F90471"/>
    <w:rsid w:val="00F908B3"/>
    <w:rsid w:val="00F915F2"/>
    <w:rsid w:val="00F91703"/>
    <w:rsid w:val="00F93956"/>
    <w:rsid w:val="00F93E45"/>
    <w:rsid w:val="00F945AD"/>
    <w:rsid w:val="00F94F06"/>
    <w:rsid w:val="00F9509C"/>
    <w:rsid w:val="00F955BC"/>
    <w:rsid w:val="00F96350"/>
    <w:rsid w:val="00F970DC"/>
    <w:rsid w:val="00FA2FEF"/>
    <w:rsid w:val="00FA48FB"/>
    <w:rsid w:val="00FA6423"/>
    <w:rsid w:val="00FA7264"/>
    <w:rsid w:val="00FB0185"/>
    <w:rsid w:val="00FB25B0"/>
    <w:rsid w:val="00FB2DBD"/>
    <w:rsid w:val="00FB4117"/>
    <w:rsid w:val="00FB729A"/>
    <w:rsid w:val="00FB7C61"/>
    <w:rsid w:val="00FC33EE"/>
    <w:rsid w:val="00FC3A41"/>
    <w:rsid w:val="00FC3D1F"/>
    <w:rsid w:val="00FC64E5"/>
    <w:rsid w:val="00FC7EB9"/>
    <w:rsid w:val="00FD0D86"/>
    <w:rsid w:val="00FD13A7"/>
    <w:rsid w:val="00FD17E3"/>
    <w:rsid w:val="00FD1CEF"/>
    <w:rsid w:val="00FD2CD3"/>
    <w:rsid w:val="00FD4713"/>
    <w:rsid w:val="00FD48D6"/>
    <w:rsid w:val="00FD6382"/>
    <w:rsid w:val="00FE118C"/>
    <w:rsid w:val="00FE2AA5"/>
    <w:rsid w:val="00FE32C6"/>
    <w:rsid w:val="00FE481E"/>
    <w:rsid w:val="00FE4ECA"/>
    <w:rsid w:val="00FE713F"/>
    <w:rsid w:val="00FF1797"/>
    <w:rsid w:val="00FF340C"/>
    <w:rsid w:val="00FF350D"/>
    <w:rsid w:val="00FF4F7B"/>
    <w:rsid w:val="00FF6157"/>
    <w:rsid w:val="00FF640C"/>
    <w:rsid w:val="00FF6B9E"/>
    <w:rsid w:val="00FF6E00"/>
    <w:rsid w:val="02484FF2"/>
    <w:rsid w:val="02621E9B"/>
    <w:rsid w:val="02BD7637"/>
    <w:rsid w:val="02D96425"/>
    <w:rsid w:val="030007F2"/>
    <w:rsid w:val="03B67511"/>
    <w:rsid w:val="03F72B22"/>
    <w:rsid w:val="04156D5B"/>
    <w:rsid w:val="05216D9A"/>
    <w:rsid w:val="06005EF9"/>
    <w:rsid w:val="076913C0"/>
    <w:rsid w:val="0A1E066B"/>
    <w:rsid w:val="0A6D62E4"/>
    <w:rsid w:val="0B5F71C6"/>
    <w:rsid w:val="0D0E3E81"/>
    <w:rsid w:val="0DA07101"/>
    <w:rsid w:val="0E2B7B72"/>
    <w:rsid w:val="10470384"/>
    <w:rsid w:val="10A00612"/>
    <w:rsid w:val="10BE4415"/>
    <w:rsid w:val="11B8283D"/>
    <w:rsid w:val="11FC114A"/>
    <w:rsid w:val="12664C74"/>
    <w:rsid w:val="13196789"/>
    <w:rsid w:val="142A3B2F"/>
    <w:rsid w:val="14BE2A4D"/>
    <w:rsid w:val="15365999"/>
    <w:rsid w:val="15395504"/>
    <w:rsid w:val="15B41358"/>
    <w:rsid w:val="16BE43BF"/>
    <w:rsid w:val="17E85B8D"/>
    <w:rsid w:val="17ED1060"/>
    <w:rsid w:val="17ED15BE"/>
    <w:rsid w:val="184A2C38"/>
    <w:rsid w:val="188F5E14"/>
    <w:rsid w:val="189E3677"/>
    <w:rsid w:val="19140003"/>
    <w:rsid w:val="198146C9"/>
    <w:rsid w:val="1A8B325C"/>
    <w:rsid w:val="1A9B00DC"/>
    <w:rsid w:val="1B5D0A1D"/>
    <w:rsid w:val="1B9B0EDA"/>
    <w:rsid w:val="1D3579D7"/>
    <w:rsid w:val="1D553C61"/>
    <w:rsid w:val="1E272922"/>
    <w:rsid w:val="21FD4FCA"/>
    <w:rsid w:val="22936C82"/>
    <w:rsid w:val="23CE3513"/>
    <w:rsid w:val="24342BC2"/>
    <w:rsid w:val="24461BD9"/>
    <w:rsid w:val="24493E6E"/>
    <w:rsid w:val="24DD14BA"/>
    <w:rsid w:val="254B4C66"/>
    <w:rsid w:val="25741F49"/>
    <w:rsid w:val="25787C9C"/>
    <w:rsid w:val="267F0CF1"/>
    <w:rsid w:val="26B61FAD"/>
    <w:rsid w:val="27973CA2"/>
    <w:rsid w:val="27BB0863"/>
    <w:rsid w:val="27BE47CD"/>
    <w:rsid w:val="281F3F3A"/>
    <w:rsid w:val="28A175E1"/>
    <w:rsid w:val="29E63F61"/>
    <w:rsid w:val="29EF577D"/>
    <w:rsid w:val="2A021BF5"/>
    <w:rsid w:val="2A2162A4"/>
    <w:rsid w:val="2A835487"/>
    <w:rsid w:val="2A9F19FC"/>
    <w:rsid w:val="2AFA0856"/>
    <w:rsid w:val="2B303883"/>
    <w:rsid w:val="2B632192"/>
    <w:rsid w:val="2B6C4862"/>
    <w:rsid w:val="2C795C1F"/>
    <w:rsid w:val="2CE564E9"/>
    <w:rsid w:val="2CE85412"/>
    <w:rsid w:val="2D2249D9"/>
    <w:rsid w:val="2E116480"/>
    <w:rsid w:val="2E6A76C9"/>
    <w:rsid w:val="2F313BA5"/>
    <w:rsid w:val="313259A6"/>
    <w:rsid w:val="31F06C83"/>
    <w:rsid w:val="32010025"/>
    <w:rsid w:val="334B372E"/>
    <w:rsid w:val="344150A9"/>
    <w:rsid w:val="34B1284C"/>
    <w:rsid w:val="34E27BDD"/>
    <w:rsid w:val="354D5B0D"/>
    <w:rsid w:val="35BC7F1A"/>
    <w:rsid w:val="363A4356"/>
    <w:rsid w:val="3662503B"/>
    <w:rsid w:val="36E71807"/>
    <w:rsid w:val="370F4516"/>
    <w:rsid w:val="37B129C6"/>
    <w:rsid w:val="381D4462"/>
    <w:rsid w:val="38880C89"/>
    <w:rsid w:val="39494D72"/>
    <w:rsid w:val="39BA0040"/>
    <w:rsid w:val="39C32690"/>
    <w:rsid w:val="39D3650C"/>
    <w:rsid w:val="3A0A4B81"/>
    <w:rsid w:val="3A1A30AE"/>
    <w:rsid w:val="3A2B546B"/>
    <w:rsid w:val="3A3163C9"/>
    <w:rsid w:val="3B015F75"/>
    <w:rsid w:val="3B616199"/>
    <w:rsid w:val="3BEA760A"/>
    <w:rsid w:val="3C3075CB"/>
    <w:rsid w:val="3E012366"/>
    <w:rsid w:val="3E1E11CE"/>
    <w:rsid w:val="3EEC6B10"/>
    <w:rsid w:val="414B7807"/>
    <w:rsid w:val="419B3732"/>
    <w:rsid w:val="41A64F80"/>
    <w:rsid w:val="422243D9"/>
    <w:rsid w:val="42824064"/>
    <w:rsid w:val="42BF3B29"/>
    <w:rsid w:val="43917556"/>
    <w:rsid w:val="44C9359D"/>
    <w:rsid w:val="45213052"/>
    <w:rsid w:val="458D123F"/>
    <w:rsid w:val="46493DD3"/>
    <w:rsid w:val="46494732"/>
    <w:rsid w:val="46584758"/>
    <w:rsid w:val="46A02E1A"/>
    <w:rsid w:val="48447111"/>
    <w:rsid w:val="48906BAE"/>
    <w:rsid w:val="48C31662"/>
    <w:rsid w:val="49053D92"/>
    <w:rsid w:val="491D34FD"/>
    <w:rsid w:val="4958024E"/>
    <w:rsid w:val="495C0481"/>
    <w:rsid w:val="49706E27"/>
    <w:rsid w:val="4A150F51"/>
    <w:rsid w:val="4BFD4F7F"/>
    <w:rsid w:val="4DB43665"/>
    <w:rsid w:val="4DE93925"/>
    <w:rsid w:val="4EDC07BC"/>
    <w:rsid w:val="4F9914C3"/>
    <w:rsid w:val="509440CF"/>
    <w:rsid w:val="50A71E1E"/>
    <w:rsid w:val="54C81010"/>
    <w:rsid w:val="54FD2AD8"/>
    <w:rsid w:val="5522059F"/>
    <w:rsid w:val="55560A9A"/>
    <w:rsid w:val="556756C4"/>
    <w:rsid w:val="56074C84"/>
    <w:rsid w:val="56B01B6F"/>
    <w:rsid w:val="578B1E2B"/>
    <w:rsid w:val="57FB2F3D"/>
    <w:rsid w:val="58A71C94"/>
    <w:rsid w:val="59D1751E"/>
    <w:rsid w:val="5A1C6553"/>
    <w:rsid w:val="5A2F17F5"/>
    <w:rsid w:val="5AC90EA7"/>
    <w:rsid w:val="5AD82D61"/>
    <w:rsid w:val="5B9252F3"/>
    <w:rsid w:val="5B97030C"/>
    <w:rsid w:val="5BDF3FDC"/>
    <w:rsid w:val="5CBB6816"/>
    <w:rsid w:val="5DBA5374"/>
    <w:rsid w:val="5DDC6138"/>
    <w:rsid w:val="5E752CCC"/>
    <w:rsid w:val="5F230584"/>
    <w:rsid w:val="5F427B54"/>
    <w:rsid w:val="602D2482"/>
    <w:rsid w:val="60752CF1"/>
    <w:rsid w:val="60FF1CB7"/>
    <w:rsid w:val="617577AF"/>
    <w:rsid w:val="617E4D1E"/>
    <w:rsid w:val="646E3FE1"/>
    <w:rsid w:val="65175DFF"/>
    <w:rsid w:val="66DA7ADE"/>
    <w:rsid w:val="679F12B7"/>
    <w:rsid w:val="67F9597E"/>
    <w:rsid w:val="682E4666"/>
    <w:rsid w:val="68BF7085"/>
    <w:rsid w:val="691F0C75"/>
    <w:rsid w:val="69B41655"/>
    <w:rsid w:val="6BCC3953"/>
    <w:rsid w:val="6BF748A8"/>
    <w:rsid w:val="6C6966E2"/>
    <w:rsid w:val="6D1F14CB"/>
    <w:rsid w:val="6D3327A0"/>
    <w:rsid w:val="6DAD20ED"/>
    <w:rsid w:val="6F7B4C11"/>
    <w:rsid w:val="6F846DDE"/>
    <w:rsid w:val="701A624A"/>
    <w:rsid w:val="702406D2"/>
    <w:rsid w:val="70EA46B2"/>
    <w:rsid w:val="72E675B1"/>
    <w:rsid w:val="73D54442"/>
    <w:rsid w:val="74457590"/>
    <w:rsid w:val="75F907F6"/>
    <w:rsid w:val="762316EA"/>
    <w:rsid w:val="76731A2A"/>
    <w:rsid w:val="76C94646"/>
    <w:rsid w:val="76E95488"/>
    <w:rsid w:val="782C518C"/>
    <w:rsid w:val="78543E3C"/>
    <w:rsid w:val="78B67515"/>
    <w:rsid w:val="78D45D1D"/>
    <w:rsid w:val="790F1A33"/>
    <w:rsid w:val="798A6008"/>
    <w:rsid w:val="79EE3B12"/>
    <w:rsid w:val="7A59621E"/>
    <w:rsid w:val="7BA54E89"/>
    <w:rsid w:val="7BD644A9"/>
    <w:rsid w:val="7D1F0202"/>
    <w:rsid w:val="7E1A7EE0"/>
    <w:rsid w:val="7E2E11B3"/>
    <w:rsid w:val="7EA16E56"/>
    <w:rsid w:val="7EE673C1"/>
    <w:rsid w:val="7F4D07E7"/>
    <w:rsid w:val="7FB0514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jc w:val="both"/>
      <w:textAlignment w:val="baseline"/>
    </w:pPr>
    <w:rPr>
      <w:sz w:val="24"/>
      <w:lang w:val="en-US" w:eastAsia="zh-CN" w:bidi="ar-SA"/>
    </w:rPr>
  </w:style>
  <w:style w:type="paragraph" w:styleId="2">
    <w:name w:val="heading 1"/>
    <w:basedOn w:val="1"/>
    <w:next w:val="1"/>
    <w:link w:val="41"/>
    <w:qFormat/>
    <w:uiPriority w:val="0"/>
    <w:pPr>
      <w:numPr>
        <w:ilvl w:val="0"/>
        <w:numId w:val="1"/>
      </w:numPr>
      <w:spacing w:before="200" w:after="180"/>
      <w:outlineLvl w:val="0"/>
    </w:pPr>
    <w:rPr>
      <w:rFonts w:ascii="Arial" w:eastAsia="黑体"/>
      <w:kern w:val="44"/>
    </w:rPr>
  </w:style>
  <w:style w:type="paragraph" w:styleId="3">
    <w:name w:val="heading 2"/>
    <w:basedOn w:val="1"/>
    <w:next w:val="1"/>
    <w:link w:val="42"/>
    <w:qFormat/>
    <w:uiPriority w:val="0"/>
    <w:pPr>
      <w:numPr>
        <w:ilvl w:val="1"/>
        <w:numId w:val="1"/>
      </w:numPr>
      <w:outlineLvl w:val="1"/>
    </w:pPr>
  </w:style>
  <w:style w:type="paragraph" w:styleId="4">
    <w:name w:val="heading 3"/>
    <w:basedOn w:val="1"/>
    <w:next w:val="1"/>
    <w:qFormat/>
    <w:uiPriority w:val="0"/>
    <w:pPr>
      <w:numPr>
        <w:ilvl w:val="2"/>
        <w:numId w:val="1"/>
      </w:numPr>
      <w:outlineLvl w:val="2"/>
    </w:pPr>
  </w:style>
  <w:style w:type="paragraph" w:styleId="5">
    <w:name w:val="heading 4"/>
    <w:basedOn w:val="4"/>
    <w:next w:val="1"/>
    <w:qFormat/>
    <w:uiPriority w:val="0"/>
    <w:pPr>
      <w:numPr>
        <w:ilvl w:val="3"/>
        <w:numId w:val="1"/>
      </w:numPr>
      <w:outlineLvl w:val="3"/>
    </w:pPr>
  </w:style>
  <w:style w:type="paragraph" w:styleId="6">
    <w:name w:val="heading 5"/>
    <w:basedOn w:val="1"/>
    <w:next w:val="1"/>
    <w:qFormat/>
    <w:uiPriority w:val="0"/>
    <w:pPr>
      <w:numPr>
        <w:ilvl w:val="4"/>
        <w:numId w:val="1"/>
      </w:numPr>
      <w:outlineLvl w:val="4"/>
    </w:pPr>
  </w:style>
  <w:style w:type="paragraph" w:styleId="7">
    <w:name w:val="heading 6"/>
    <w:basedOn w:val="1"/>
    <w:next w:val="1"/>
    <w:qFormat/>
    <w:uiPriority w:val="0"/>
    <w:pPr>
      <w:numPr>
        <w:ilvl w:val="5"/>
        <w:numId w:val="1"/>
      </w:numPr>
      <w:outlineLvl w:val="5"/>
    </w:pPr>
  </w:style>
  <w:style w:type="paragraph" w:styleId="8">
    <w:name w:val="heading 7"/>
    <w:basedOn w:val="1"/>
    <w:next w:val="1"/>
    <w:link w:val="43"/>
    <w:qFormat/>
    <w:uiPriority w:val="0"/>
    <w:pPr>
      <w:numPr>
        <w:ilvl w:val="6"/>
        <w:numId w:val="1"/>
      </w:numPr>
      <w:outlineLvl w:val="6"/>
    </w:pPr>
  </w:style>
  <w:style w:type="paragraph" w:styleId="9">
    <w:name w:val="heading 8"/>
    <w:basedOn w:val="1"/>
    <w:next w:val="1"/>
    <w:qFormat/>
    <w:uiPriority w:val="0"/>
    <w:pPr>
      <w:numPr>
        <w:ilvl w:val="7"/>
        <w:numId w:val="1"/>
      </w:numPr>
      <w:outlineLvl w:val="7"/>
    </w:pPr>
  </w:style>
  <w:style w:type="paragraph" w:styleId="10">
    <w:name w:val="heading 9"/>
    <w:basedOn w:val="1"/>
    <w:next w:val="1"/>
    <w:qFormat/>
    <w:uiPriority w:val="0"/>
    <w:pPr>
      <w:numPr>
        <w:ilvl w:val="8"/>
        <w:numId w:val="1"/>
      </w:numPr>
      <w:outlineLvl w:val="8"/>
    </w:pPr>
  </w:style>
  <w:style w:type="character" w:default="1" w:styleId="35">
    <w:name w:val="Default Paragraph Font"/>
    <w:semiHidden/>
    <w:uiPriority w:val="0"/>
  </w:style>
  <w:style w:type="table" w:default="1" w:styleId="33">
    <w:name w:val="Normal Table"/>
    <w:semiHidden/>
    <w:uiPriority w:val="0"/>
    <w:tblPr>
      <w:tblStyle w:val="33"/>
      <w:tblCellMar>
        <w:top w:w="0" w:type="dxa"/>
        <w:left w:w="108" w:type="dxa"/>
        <w:bottom w:w="0" w:type="dxa"/>
        <w:right w:w="108" w:type="dxa"/>
      </w:tblCellMar>
    </w:tblPr>
  </w:style>
  <w:style w:type="paragraph" w:styleId="11">
    <w:name w:val="toc 7"/>
    <w:basedOn w:val="1"/>
    <w:next w:val="1"/>
    <w:semiHidden/>
    <w:uiPriority w:val="0"/>
    <w:pPr>
      <w:tabs>
        <w:tab w:val="right" w:leader="dot" w:pos="9525"/>
      </w:tabs>
      <w:ind w:left="1260"/>
    </w:pPr>
  </w:style>
  <w:style w:type="paragraph" w:styleId="12">
    <w:name w:val="Normal Indent"/>
    <w:basedOn w:val="1"/>
    <w:link w:val="44"/>
    <w:qFormat/>
    <w:uiPriority w:val="0"/>
    <w:pPr>
      <w:ind w:firstLine="482"/>
    </w:pPr>
  </w:style>
  <w:style w:type="paragraph" w:styleId="13">
    <w:name w:val="caption"/>
    <w:basedOn w:val="1"/>
    <w:next w:val="1"/>
    <w:qFormat/>
    <w:uiPriority w:val="0"/>
    <w:pPr>
      <w:spacing w:before="152" w:after="160"/>
    </w:pPr>
    <w:rPr>
      <w:rFonts w:ascii="Arial" w:hAnsi="Arial" w:eastAsia="黑体"/>
    </w:rPr>
  </w:style>
  <w:style w:type="paragraph" w:styleId="14">
    <w:name w:val="toa heading"/>
    <w:basedOn w:val="1"/>
    <w:next w:val="1"/>
    <w:semiHidden/>
    <w:uiPriority w:val="0"/>
    <w:pPr>
      <w:spacing w:before="200"/>
      <w:jc w:val="center"/>
    </w:pPr>
    <w:rPr>
      <w:rFonts w:ascii="Arial" w:hAnsi="Arial" w:eastAsia="黑体"/>
      <w:sz w:val="44"/>
    </w:rPr>
  </w:style>
  <w:style w:type="paragraph" w:styleId="15">
    <w:name w:val="annotation text"/>
    <w:basedOn w:val="1"/>
    <w:link w:val="45"/>
    <w:uiPriority w:val="0"/>
    <w:pPr>
      <w:jc w:val="left"/>
    </w:pPr>
  </w:style>
  <w:style w:type="paragraph" w:styleId="16">
    <w:name w:val="Body Text"/>
    <w:basedOn w:val="1"/>
    <w:link w:val="46"/>
    <w:uiPriority w:val="0"/>
    <w:pPr>
      <w:spacing w:after="60"/>
      <w:ind w:left="72" w:leftChars="30" w:right="72" w:rightChars="30"/>
      <w:jc w:val="center"/>
    </w:pPr>
    <w:rPr>
      <w:sz w:val="21"/>
    </w:rPr>
  </w:style>
  <w:style w:type="paragraph" w:styleId="17">
    <w:name w:val="Body Text Indent"/>
    <w:basedOn w:val="1"/>
    <w:link w:val="47"/>
    <w:uiPriority w:val="0"/>
    <w:pPr>
      <w:spacing w:after="60"/>
      <w:ind w:left="30" w:leftChars="30" w:right="30" w:rightChars="30"/>
      <w:jc w:val="center"/>
    </w:pPr>
    <w:rPr>
      <w:rFonts w:ascii="Arial" w:hAnsi="Arial" w:eastAsia="黑体"/>
      <w:sz w:val="21"/>
    </w:rPr>
  </w:style>
  <w:style w:type="paragraph" w:styleId="18">
    <w:name w:val="toc 5"/>
    <w:basedOn w:val="1"/>
    <w:next w:val="1"/>
    <w:semiHidden/>
    <w:uiPriority w:val="0"/>
    <w:pPr>
      <w:tabs>
        <w:tab w:val="right" w:leader="dot" w:pos="9525"/>
      </w:tabs>
      <w:ind w:left="840"/>
    </w:pPr>
  </w:style>
  <w:style w:type="paragraph" w:styleId="19">
    <w:name w:val="toc 3"/>
    <w:basedOn w:val="1"/>
    <w:next w:val="1"/>
    <w:semiHidden/>
    <w:uiPriority w:val="0"/>
    <w:pPr>
      <w:tabs>
        <w:tab w:val="right" w:leader="dot" w:pos="9525"/>
      </w:tabs>
    </w:pPr>
  </w:style>
  <w:style w:type="paragraph" w:styleId="20">
    <w:name w:val="toc 8"/>
    <w:basedOn w:val="1"/>
    <w:next w:val="1"/>
    <w:semiHidden/>
    <w:uiPriority w:val="0"/>
    <w:pPr>
      <w:tabs>
        <w:tab w:val="right" w:leader="dot" w:pos="9525"/>
      </w:tabs>
      <w:ind w:left="1470"/>
    </w:pPr>
  </w:style>
  <w:style w:type="paragraph" w:styleId="21">
    <w:name w:val="Balloon Text"/>
    <w:basedOn w:val="1"/>
    <w:link w:val="48"/>
    <w:uiPriority w:val="0"/>
    <w:pPr>
      <w:spacing w:line="240" w:lineRule="auto"/>
    </w:pPr>
    <w:rPr>
      <w:sz w:val="18"/>
      <w:szCs w:val="18"/>
    </w:rPr>
  </w:style>
  <w:style w:type="paragraph" w:styleId="22">
    <w:name w:val="footer"/>
    <w:basedOn w:val="1"/>
    <w:uiPriority w:val="0"/>
    <w:pPr>
      <w:spacing w:line="240" w:lineRule="atLeast"/>
      <w:ind w:left="255" w:right="255"/>
      <w:jc w:val="left"/>
    </w:pPr>
  </w:style>
  <w:style w:type="paragraph" w:styleId="23">
    <w:name w:val="header"/>
    <w:basedOn w:val="1"/>
    <w:uiPriority w:val="0"/>
    <w:pPr>
      <w:pBdr>
        <w:bottom w:val="double" w:color="auto" w:sz="6" w:space="2"/>
      </w:pBdr>
      <w:spacing w:line="240" w:lineRule="atLeast"/>
      <w:jc w:val="center"/>
    </w:pPr>
    <w:rPr>
      <w:b/>
      <w:sz w:val="21"/>
    </w:rPr>
  </w:style>
  <w:style w:type="paragraph" w:styleId="24">
    <w:name w:val="toc 1"/>
    <w:basedOn w:val="1"/>
    <w:next w:val="1"/>
    <w:uiPriority w:val="39"/>
    <w:pPr>
      <w:tabs>
        <w:tab w:val="right" w:leader="dot" w:pos="9525"/>
      </w:tabs>
      <w:spacing w:before="160"/>
    </w:pPr>
    <w:rPr>
      <w:rFonts w:ascii="Arial" w:eastAsia="黑体"/>
    </w:rPr>
  </w:style>
  <w:style w:type="paragraph" w:styleId="25">
    <w:name w:val="toc 4"/>
    <w:basedOn w:val="1"/>
    <w:next w:val="1"/>
    <w:semiHidden/>
    <w:uiPriority w:val="0"/>
    <w:pPr>
      <w:tabs>
        <w:tab w:val="right" w:leader="dot" w:pos="9525"/>
      </w:tabs>
      <w:ind w:left="630"/>
    </w:pPr>
  </w:style>
  <w:style w:type="paragraph" w:styleId="26">
    <w:name w:val="Subtitle"/>
    <w:basedOn w:val="1"/>
    <w:qFormat/>
    <w:uiPriority w:val="0"/>
    <w:pPr>
      <w:spacing w:after="60"/>
      <w:jc w:val="center"/>
    </w:pPr>
    <w:rPr>
      <w:rFonts w:ascii="Arial" w:hAnsi="Arial" w:eastAsia="黑体"/>
      <w:i/>
    </w:rPr>
  </w:style>
  <w:style w:type="paragraph" w:styleId="27">
    <w:name w:val="footnote text"/>
    <w:basedOn w:val="1"/>
    <w:uiPriority w:val="0"/>
    <w:pPr>
      <w:snapToGrid w:val="0"/>
      <w:jc w:val="left"/>
    </w:pPr>
    <w:rPr>
      <w:sz w:val="18"/>
    </w:rPr>
  </w:style>
  <w:style w:type="paragraph" w:styleId="28">
    <w:name w:val="toc 6"/>
    <w:basedOn w:val="1"/>
    <w:next w:val="1"/>
    <w:semiHidden/>
    <w:uiPriority w:val="0"/>
    <w:pPr>
      <w:tabs>
        <w:tab w:val="right" w:leader="dot" w:pos="9525"/>
      </w:tabs>
      <w:ind w:left="1050"/>
    </w:pPr>
  </w:style>
  <w:style w:type="paragraph" w:styleId="29">
    <w:name w:val="toc 2"/>
    <w:basedOn w:val="1"/>
    <w:next w:val="1"/>
    <w:uiPriority w:val="39"/>
    <w:pPr>
      <w:tabs>
        <w:tab w:val="right" w:leader="dot" w:pos="9525"/>
      </w:tabs>
    </w:pPr>
  </w:style>
  <w:style w:type="paragraph" w:styleId="30">
    <w:name w:val="toc 9"/>
    <w:basedOn w:val="1"/>
    <w:next w:val="1"/>
    <w:semiHidden/>
    <w:uiPriority w:val="0"/>
    <w:pPr>
      <w:tabs>
        <w:tab w:val="right" w:leader="dot" w:pos="9525"/>
      </w:tabs>
      <w:ind w:left="1680"/>
    </w:pPr>
  </w:style>
  <w:style w:type="paragraph" w:styleId="31">
    <w:name w:val="annotation subject"/>
    <w:basedOn w:val="15"/>
    <w:next w:val="15"/>
    <w:link w:val="49"/>
    <w:uiPriority w:val="0"/>
    <w:rPr>
      <w:b/>
      <w:bCs/>
    </w:rPr>
  </w:style>
  <w:style w:type="paragraph" w:styleId="32">
    <w:name w:val="Body Text First Indent 2"/>
    <w:uiPriority w:val="0"/>
    <w:pPr>
      <w:tabs>
        <w:tab w:val="left" w:pos="8640"/>
      </w:tabs>
      <w:spacing w:after="120" w:line="360" w:lineRule="auto"/>
      <w:ind w:left="420" w:leftChars="200" w:firstLine="420" w:firstLineChars="200"/>
      <w:jc w:val="both"/>
    </w:pPr>
    <w:rPr>
      <w:rFonts w:hint="eastAsia" w:ascii="宋体" w:hAnsi="宋体" w:cs="宋体"/>
      <w:lang w:val="en-US" w:eastAsia="zh-CN" w:bidi="ar-SA"/>
    </w:rPr>
  </w:style>
  <w:style w:type="table" w:styleId="34">
    <w:name w:val="Table Grid"/>
    <w:basedOn w:val="33"/>
    <w:uiPriority w:val="0"/>
    <w:pPr>
      <w:widowControl w:val="0"/>
      <w:adjustRightInd w:val="0"/>
      <w:spacing w:line="360" w:lineRule="atLeast"/>
      <w:jc w:val="both"/>
      <w:textAlignment w:val="baseline"/>
    </w:pPr>
    <w:tblPr>
      <w:tblStyle w:val="3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page number"/>
    <w:uiPriority w:val="0"/>
  </w:style>
  <w:style w:type="character" w:styleId="37">
    <w:name w:val="line number"/>
    <w:uiPriority w:val="0"/>
  </w:style>
  <w:style w:type="character" w:styleId="38">
    <w:name w:val="Hyperlink"/>
    <w:uiPriority w:val="0"/>
    <w:rPr>
      <w:color w:val="0000FF"/>
      <w:u w:val="single"/>
    </w:rPr>
  </w:style>
  <w:style w:type="character" w:styleId="39">
    <w:name w:val="annotation reference"/>
    <w:uiPriority w:val="0"/>
    <w:rPr>
      <w:sz w:val="21"/>
      <w:szCs w:val="21"/>
    </w:rPr>
  </w:style>
  <w:style w:type="character" w:styleId="40">
    <w:name w:val="footnote reference"/>
    <w:uiPriority w:val="0"/>
    <w:rPr>
      <w:vertAlign w:val="superscript"/>
    </w:rPr>
  </w:style>
  <w:style w:type="character" w:customStyle="1" w:styleId="41">
    <w:name w:val="标题 1 Char"/>
    <w:link w:val="2"/>
    <w:qFormat/>
    <w:uiPriority w:val="0"/>
    <w:rPr>
      <w:rFonts w:ascii="Arial" w:eastAsia="黑体"/>
      <w:kern w:val="44"/>
      <w:sz w:val="24"/>
    </w:rPr>
  </w:style>
  <w:style w:type="character" w:customStyle="1" w:styleId="42">
    <w:name w:val="标题 2 Char"/>
    <w:link w:val="3"/>
    <w:qFormat/>
    <w:uiPriority w:val="0"/>
    <w:rPr>
      <w:sz w:val="24"/>
    </w:rPr>
  </w:style>
  <w:style w:type="character" w:customStyle="1" w:styleId="43">
    <w:name w:val="标题 7 Char"/>
    <w:link w:val="8"/>
    <w:uiPriority w:val="0"/>
    <w:rPr>
      <w:sz w:val="24"/>
    </w:rPr>
  </w:style>
  <w:style w:type="character" w:customStyle="1" w:styleId="44">
    <w:name w:val="正文缩进 Char"/>
    <w:link w:val="12"/>
    <w:uiPriority w:val="0"/>
    <w:rPr>
      <w:rFonts w:eastAsia="宋体"/>
      <w:sz w:val="24"/>
      <w:lang w:val="en-US" w:eastAsia="zh-CN" w:bidi="ar-SA"/>
    </w:rPr>
  </w:style>
  <w:style w:type="character" w:customStyle="1" w:styleId="45">
    <w:name w:val="批注文字 Char"/>
    <w:link w:val="15"/>
    <w:uiPriority w:val="0"/>
    <w:rPr>
      <w:sz w:val="24"/>
    </w:rPr>
  </w:style>
  <w:style w:type="character" w:customStyle="1" w:styleId="46">
    <w:name w:val="正文文本 Char"/>
    <w:link w:val="16"/>
    <w:uiPriority w:val="0"/>
    <w:rPr>
      <w:rFonts w:eastAsia="宋体"/>
      <w:sz w:val="21"/>
      <w:lang w:val="en-US" w:eastAsia="zh-CN" w:bidi="ar-SA"/>
    </w:rPr>
  </w:style>
  <w:style w:type="character" w:customStyle="1" w:styleId="47">
    <w:name w:val="正文文本缩进 Char"/>
    <w:link w:val="17"/>
    <w:uiPriority w:val="0"/>
    <w:rPr>
      <w:rFonts w:ascii="Arial" w:hAnsi="Arial" w:eastAsia="黑体"/>
      <w:sz w:val="21"/>
    </w:rPr>
  </w:style>
  <w:style w:type="character" w:customStyle="1" w:styleId="48">
    <w:name w:val="批注框文本 Char"/>
    <w:link w:val="21"/>
    <w:uiPriority w:val="0"/>
    <w:rPr>
      <w:sz w:val="18"/>
      <w:szCs w:val="18"/>
    </w:rPr>
  </w:style>
  <w:style w:type="character" w:customStyle="1" w:styleId="49">
    <w:name w:val="批注主题 Char"/>
    <w:link w:val="31"/>
    <w:uiPriority w:val="0"/>
    <w:rPr>
      <w:b/>
      <w:bCs/>
      <w:sz w:val="24"/>
    </w:rPr>
  </w:style>
  <w:style w:type="character" w:customStyle="1" w:styleId="50">
    <w:name w:val="列出段落 Char"/>
    <w:link w:val="51"/>
    <w:qFormat/>
    <w:uiPriority w:val="34"/>
    <w:rPr>
      <w:rFonts w:ascii="Calibri" w:hAnsi="Calibri"/>
      <w:kern w:val="2"/>
      <w:sz w:val="21"/>
      <w:szCs w:val="22"/>
    </w:rPr>
  </w:style>
  <w:style w:type="paragraph" w:styleId="51">
    <w:name w:val="List Paragraph"/>
    <w:basedOn w:val="1"/>
    <w:link w:val="50"/>
    <w:qFormat/>
    <w:uiPriority w:val="34"/>
    <w:pPr>
      <w:adjustRightInd/>
      <w:spacing w:line="240" w:lineRule="auto"/>
      <w:ind w:firstLine="420" w:firstLineChars="200"/>
      <w:textAlignment w:val="auto"/>
    </w:pPr>
    <w:rPr>
      <w:rFonts w:ascii="Calibri" w:hAnsi="Calibri"/>
      <w:kern w:val="2"/>
      <w:sz w:val="21"/>
      <w:szCs w:val="22"/>
    </w:rPr>
  </w:style>
  <w:style w:type="character" w:customStyle="1" w:styleId="52">
    <w:name w:val="表格1 Char"/>
    <w:link w:val="53"/>
    <w:uiPriority w:val="0"/>
    <w:rPr>
      <w:sz w:val="21"/>
    </w:rPr>
  </w:style>
  <w:style w:type="paragraph" w:customStyle="1" w:styleId="53">
    <w:name w:val="表格1"/>
    <w:basedOn w:val="1"/>
    <w:link w:val="52"/>
    <w:uiPriority w:val="0"/>
    <w:pPr>
      <w:spacing w:after="60"/>
      <w:ind w:left="72" w:leftChars="30" w:right="72" w:rightChars="30"/>
      <w:jc w:val="center"/>
    </w:pPr>
    <w:rPr>
      <w:sz w:val="21"/>
    </w:rPr>
  </w:style>
  <w:style w:type="character" w:customStyle="1" w:styleId="54">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uiPriority w:val="0"/>
    <w:rPr>
      <w:rFonts w:ascii="Calibri" w:hAnsi="Calibri" w:eastAsia="宋体"/>
      <w:sz w:val="24"/>
      <w:lang w:bidi="ar-SA"/>
    </w:rPr>
  </w:style>
  <w:style w:type="character" w:customStyle="1" w:styleId="55">
    <w:name w:val="表格3 Char"/>
    <w:link w:val="56"/>
    <w:uiPriority w:val="0"/>
    <w:rPr>
      <w:rFonts w:eastAsia="宋体"/>
      <w:sz w:val="21"/>
      <w:lang w:val="en-US" w:eastAsia="zh-CN" w:bidi="ar-SA"/>
    </w:rPr>
  </w:style>
  <w:style w:type="paragraph" w:customStyle="1" w:styleId="56">
    <w:name w:val="表格3"/>
    <w:basedOn w:val="1"/>
    <w:link w:val="55"/>
    <w:uiPriority w:val="0"/>
    <w:pPr>
      <w:ind w:left="72" w:leftChars="30" w:right="72" w:rightChars="30"/>
    </w:pPr>
    <w:rPr>
      <w:sz w:val="21"/>
    </w:rPr>
  </w:style>
  <w:style w:type="character" w:customStyle="1" w:styleId="57">
    <w:name w:val="正文文本 字符"/>
    <w:uiPriority w:val="0"/>
    <w:rPr>
      <w:rFonts w:eastAsia="宋体"/>
      <w:sz w:val="21"/>
      <w:lang w:val="en-US" w:eastAsia="zh-CN" w:bidi="ar-SA"/>
    </w:rPr>
  </w:style>
  <w:style w:type="character" w:customStyle="1" w:styleId="58">
    <w:name w:val="注1 Char"/>
    <w:link w:val="59"/>
    <w:uiPriority w:val="0"/>
    <w:rPr>
      <w:lang w:val="en-US" w:eastAsia="zh-CN" w:bidi="ar-SA"/>
    </w:rPr>
  </w:style>
  <w:style w:type="paragraph" w:customStyle="1" w:styleId="59">
    <w:name w:val="注1"/>
    <w:basedOn w:val="60"/>
    <w:link w:val="58"/>
    <w:uiPriority w:val="0"/>
    <w:pPr>
      <w:numPr>
        <w:ilvl w:val="0"/>
        <w:numId w:val="2"/>
      </w:numPr>
      <w:tabs>
        <w:tab w:val="left" w:pos="1112"/>
        <w:tab w:val="clear" w:pos="1186"/>
      </w:tabs>
      <w:ind w:left="1112" w:hanging="286"/>
    </w:pPr>
  </w:style>
  <w:style w:type="paragraph" w:customStyle="1" w:styleId="60">
    <w:name w:val="注"/>
    <w:basedOn w:val="1"/>
    <w:link w:val="61"/>
    <w:uiPriority w:val="0"/>
    <w:pPr>
      <w:ind w:left="840" w:hanging="420"/>
    </w:pPr>
    <w:rPr>
      <w:sz w:val="21"/>
    </w:rPr>
  </w:style>
  <w:style w:type="character" w:customStyle="1" w:styleId="61">
    <w:name w:val="注 Char"/>
    <w:link w:val="60"/>
    <w:uiPriority w:val="0"/>
    <w:rPr>
      <w:rFonts w:eastAsia="宋体"/>
      <w:sz w:val="21"/>
      <w:lang w:val="en-US" w:eastAsia="zh-CN" w:bidi="ar-SA"/>
    </w:rPr>
  </w:style>
  <w:style w:type="character" w:customStyle="1" w:styleId="62">
    <w:name w:val="standdate1"/>
    <w:uiPriority w:val="0"/>
    <w:rPr>
      <w:rFonts w:ascii="黑体" w:hAnsi="Times New Roman" w:eastAsia="黑体"/>
      <w:color w:val="auto"/>
      <w:sz w:val="24"/>
      <w:u w:val="none"/>
    </w:rPr>
  </w:style>
  <w:style w:type="character" w:customStyle="1" w:styleId="63">
    <w:name w:val="批注文字 字符"/>
    <w:uiPriority w:val="0"/>
    <w:rPr>
      <w:sz w:val="24"/>
    </w:rPr>
  </w:style>
  <w:style w:type="character" w:customStyle="1" w:styleId="64">
    <w:name w:val="标题 2 字符"/>
    <w:uiPriority w:val="0"/>
    <w:rPr>
      <w:sz w:val="24"/>
    </w:rPr>
  </w:style>
  <w:style w:type="character" w:customStyle="1" w:styleId="65">
    <w:name w:val="正文缩进 字符"/>
    <w:qFormat/>
    <w:uiPriority w:val="0"/>
    <w:rPr>
      <w:sz w:val="24"/>
    </w:rPr>
  </w:style>
  <w:style w:type="character" w:customStyle="1" w:styleId="66">
    <w:name w:val="表格2 Char"/>
    <w:link w:val="67"/>
    <w:uiPriority w:val="0"/>
    <w:rPr>
      <w:rFonts w:ascii="Arial" w:eastAsia="黑体"/>
      <w:sz w:val="21"/>
      <w:lang w:val="en-US" w:eastAsia="zh-CN" w:bidi="ar-SA"/>
    </w:rPr>
  </w:style>
  <w:style w:type="paragraph" w:customStyle="1" w:styleId="67">
    <w:name w:val="表格2"/>
    <w:basedOn w:val="1"/>
    <w:link w:val="66"/>
    <w:uiPriority w:val="0"/>
    <w:pPr>
      <w:spacing w:after="60"/>
      <w:ind w:left="72" w:leftChars="30" w:right="72" w:rightChars="30"/>
      <w:jc w:val="center"/>
    </w:pPr>
    <w:rPr>
      <w:rFonts w:ascii="Arial" w:eastAsia="黑体"/>
      <w:sz w:val="21"/>
    </w:rPr>
  </w:style>
  <w:style w:type="character" w:customStyle="1" w:styleId="68">
    <w:name w:val="未处理的提及"/>
    <w:unhideWhenUsed/>
    <w:uiPriority w:val="99"/>
    <w:rPr>
      <w:color w:val="605E5C"/>
      <w:shd w:val="clear" w:color="auto" w:fill="E1DFDD"/>
    </w:rPr>
  </w:style>
  <w:style w:type="paragraph" w:customStyle="1" w:styleId="69">
    <w:name w:val="样式 (中文) 楷体_GB2312 三号 首行缩进:  4.02 厘米1"/>
    <w:basedOn w:val="1"/>
    <w:uiPriority w:val="0"/>
    <w:pPr>
      <w:ind w:firstLine="2278"/>
    </w:pPr>
    <w:rPr>
      <w:rFonts w:eastAsia="楷体" w:cs="宋体"/>
      <w:sz w:val="32"/>
    </w:rPr>
  </w:style>
  <w:style w:type="paragraph" w:customStyle="1" w:styleId="70">
    <w:name w:val="注2"/>
    <w:basedOn w:val="60"/>
    <w:uiPriority w:val="0"/>
    <w:pPr>
      <w:ind w:left="1103" w:leftChars="174" w:hanging="685" w:hangingChars="326"/>
    </w:pPr>
    <w:rPr>
      <w:rFonts w:cs="宋体"/>
    </w:rPr>
  </w:style>
  <w:style w:type="paragraph" w:customStyle="1" w:styleId="71">
    <w:name w:val="样式 (中文) 楷体_GB2312 二号 加粗 居中 行距: 最小值 15.6 磅"/>
    <w:basedOn w:val="1"/>
    <w:uiPriority w:val="0"/>
    <w:pPr>
      <w:spacing w:line="312" w:lineRule="atLeast"/>
      <w:jc w:val="center"/>
    </w:pPr>
    <w:rPr>
      <w:rFonts w:eastAsia="楷体" w:cs="宋体"/>
      <w:b/>
      <w:bCs/>
      <w:sz w:val="44"/>
    </w:rPr>
  </w:style>
  <w:style w:type="paragraph" w:customStyle="1" w:styleId="72">
    <w:name w:val="样式 (中文) 楷体_GB2312 三号 首行缩进:  4.02 厘米 段前: 6 磅"/>
    <w:basedOn w:val="1"/>
    <w:uiPriority w:val="0"/>
    <w:pPr>
      <w:spacing w:before="120"/>
      <w:ind w:firstLine="2278"/>
    </w:pPr>
    <w:rPr>
      <w:rFonts w:eastAsia="楷体" w:cs="宋体"/>
      <w:sz w:val="32"/>
    </w:rPr>
  </w:style>
  <w:style w:type="paragraph" w:customStyle="1" w:styleId="73">
    <w:name w:val="flNote"/>
    <w:basedOn w:val="1"/>
    <w:uiPriority w:val="0"/>
    <w:pPr>
      <w:spacing w:before="320" w:after="160"/>
      <w:jc w:val="center"/>
    </w:pPr>
    <w:rPr>
      <w:rFonts w:ascii="Arial" w:eastAsia="黑体"/>
      <w:sz w:val="30"/>
    </w:rPr>
  </w:style>
  <w:style w:type="paragraph" w:customStyle="1" w:styleId="74">
    <w:name w:val="正文文字2"/>
    <w:basedOn w:val="16"/>
    <w:uiPriority w:val="0"/>
    <w:rPr>
      <w:rFonts w:ascii="Arial" w:eastAsia="黑体"/>
    </w:rPr>
  </w:style>
  <w:style w:type="paragraph" w:customStyle="1" w:styleId="75">
    <w:name w:val="样式 flNote + (西文) Times New Roman (中文) 楷体_GB2312 段前: 0 磅 段后: 0..."/>
    <w:basedOn w:val="73"/>
    <w:uiPriority w:val="0"/>
    <w:pPr>
      <w:spacing w:before="0" w:after="0" w:line="240" w:lineRule="atLeast"/>
    </w:pPr>
    <w:rPr>
      <w:rFonts w:ascii="Times New Roman" w:eastAsia="楷体" w:cs="宋体"/>
    </w:rPr>
  </w:style>
  <w:style w:type="paragraph" w:customStyle="1" w:styleId="76">
    <w:name w:val="正文文字1"/>
    <w:basedOn w:val="16"/>
    <w:uiPriority w:val="0"/>
    <w:pPr>
      <w:spacing w:after="0"/>
      <w:jc w:val="both"/>
    </w:pPr>
  </w:style>
  <w:style w:type="paragraph" w:customStyle="1" w:styleId="77">
    <w:name w:val="图样编号"/>
    <w:basedOn w:val="1"/>
    <w:uiPriority w:val="0"/>
    <w:pPr>
      <w:numPr>
        <w:ilvl w:val="0"/>
        <w:numId w:val="3"/>
      </w:numPr>
      <w:spacing w:after="120"/>
      <w:jc w:val="center"/>
    </w:pPr>
    <w:rPr>
      <w:szCs w:val="24"/>
    </w:rPr>
  </w:style>
  <w:style w:type="paragraph" w:customStyle="1" w:styleId="78">
    <w:name w:val="空半行"/>
    <w:basedOn w:val="1"/>
    <w:uiPriority w:val="0"/>
    <w:pPr>
      <w:spacing w:line="120" w:lineRule="exact"/>
    </w:pPr>
    <w:rPr>
      <w:rFonts w:eastAsia="仿宋_GB2312"/>
      <w:color w:val="FFFFFF"/>
      <w:sz w:val="30"/>
    </w:rPr>
  </w:style>
  <w:style w:type="paragraph" w:customStyle="1" w:styleId="79">
    <w:name w:val="standdate"/>
    <w:basedOn w:val="22"/>
    <w:uiPriority w:val="0"/>
    <w:pPr>
      <w:numPr>
        <w:ilvl w:val="0"/>
        <w:numId w:val="0"/>
      </w:numPr>
      <w:spacing w:line="340" w:lineRule="atLeast"/>
      <w:jc w:val="center"/>
      <w:textAlignment w:val="center"/>
    </w:pPr>
    <w:rPr>
      <w:rFonts w:eastAsia="华文中宋"/>
      <w:b/>
      <w:color w:val="FF0000"/>
      <w:spacing w:val="-4"/>
      <w:sz w:val="36"/>
    </w:rPr>
  </w:style>
  <w:style w:type="paragraph" w:customStyle="1" w:styleId="80">
    <w:name w:val="样式 (中文) 楷体_GB2312 三号 首行缩进:  4.02 厘米"/>
    <w:basedOn w:val="1"/>
    <w:uiPriority w:val="0"/>
    <w:pPr>
      <w:ind w:firstLine="2278"/>
    </w:pPr>
    <w:rPr>
      <w:rFonts w:eastAsia="楷体" w:cs="宋体"/>
      <w:sz w:val="32"/>
    </w:rPr>
  </w:style>
  <w:style w:type="paragraph" w:customStyle="1" w:styleId="81">
    <w:name w:val="表格编号"/>
    <w:basedOn w:val="1"/>
    <w:uiPriority w:val="0"/>
    <w:pPr>
      <w:numPr>
        <w:ilvl w:val="0"/>
        <w:numId w:val="4"/>
      </w:numPr>
      <w:spacing w:before="120"/>
      <w:jc w:val="center"/>
    </w:pPr>
  </w:style>
  <w:style w:type="paragraph" w:customStyle="1" w:styleId="82">
    <w:name w:val="flName"/>
    <w:basedOn w:val="73"/>
    <w:uiPriority w:val="0"/>
    <w:rPr>
      <w:sz w:val="32"/>
    </w:rPr>
  </w:style>
  <w:style w:type="paragraph" w:customStyle="1" w:styleId="83">
    <w:name w:val="flType"/>
    <w:basedOn w:val="82"/>
    <w:uiPriority w:val="0"/>
    <w:pPr>
      <w:spacing w:before="560" w:after="120"/>
    </w:pPr>
    <w:rPr>
      <w:sz w:val="28"/>
    </w:rPr>
  </w:style>
  <w:style w:type="paragraph" w:customStyle="1" w:styleId="84">
    <w:name w:val="正文文字3"/>
    <w:basedOn w:val="16"/>
    <w:uiPriority w:val="0"/>
    <w:pPr>
      <w:spacing w:after="0"/>
      <w:jc w:val="both"/>
    </w:pPr>
  </w:style>
  <w:style w:type="paragraph" w:customStyle="1" w:styleId="85">
    <w:name w:val="样式 (中文) 楷体_GB2312 小三 居中 行距: 最小值 12 磅"/>
    <w:basedOn w:val="1"/>
    <w:uiPriority w:val="0"/>
    <w:pPr>
      <w:spacing w:line="240" w:lineRule="atLeast"/>
      <w:jc w:val="center"/>
    </w:pPr>
    <w:rPr>
      <w:rFonts w:eastAsia="楷体" w:cs="宋体"/>
      <w:sz w:val="30"/>
    </w:rPr>
  </w:style>
  <w:style w:type="paragraph" w:customStyle="1" w:styleId="86">
    <w:name w:val="样式 (中文) 楷体_GB2312 三号 居中 段前: 8 磅"/>
    <w:basedOn w:val="1"/>
    <w:uiPriority w:val="0"/>
    <w:pPr>
      <w:spacing w:before="160"/>
      <w:jc w:val="center"/>
    </w:pPr>
    <w:rPr>
      <w:rFonts w:eastAsia="楷体" w:cs="宋体"/>
      <w:sz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4" Type="http://schemas.openxmlformats.org/officeDocument/2006/relationships/fontTable" Target="fontTable.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16.png"/><Relationship Id="rId50" Type="http://schemas.openxmlformats.org/officeDocument/2006/relationships/image" Target="media/image15.png"/><Relationship Id="rId5" Type="http://schemas.openxmlformats.org/officeDocument/2006/relationships/header" Target="header1.xml"/><Relationship Id="rId49" Type="http://schemas.openxmlformats.org/officeDocument/2006/relationships/image" Target="media/image14.png"/><Relationship Id="rId48" Type="http://schemas.openxmlformats.org/officeDocument/2006/relationships/image" Target="media/image13.png"/><Relationship Id="rId47" Type="http://schemas.openxmlformats.org/officeDocument/2006/relationships/image" Target="media/image12.png"/><Relationship Id="rId46" Type="http://schemas.openxmlformats.org/officeDocument/2006/relationships/image" Target="media/image11.png"/><Relationship Id="rId45" Type="http://schemas.openxmlformats.org/officeDocument/2006/relationships/image" Target="media/image10.png"/><Relationship Id="rId44" Type="http://schemas.openxmlformats.org/officeDocument/2006/relationships/image" Target="media/image9.png"/><Relationship Id="rId43" Type="http://schemas.openxmlformats.org/officeDocument/2006/relationships/image" Target="media/image8.png"/><Relationship Id="rId42" Type="http://schemas.openxmlformats.org/officeDocument/2006/relationships/image" Target="media/image7.png"/><Relationship Id="rId41" Type="http://schemas.openxmlformats.org/officeDocument/2006/relationships/image" Target="media/image6.png"/><Relationship Id="rId40" Type="http://schemas.openxmlformats.org/officeDocument/2006/relationships/image" Target="media/image5.png"/><Relationship Id="rId4" Type="http://schemas.openxmlformats.org/officeDocument/2006/relationships/endnotes" Target="endnotes.xml"/><Relationship Id="rId39" Type="http://schemas.openxmlformats.org/officeDocument/2006/relationships/image" Target="media/image4.png"/><Relationship Id="rId38" Type="http://schemas.openxmlformats.org/officeDocument/2006/relationships/image" Target="media/image3.jpeg"/><Relationship Id="rId37" Type="http://schemas.openxmlformats.org/officeDocument/2006/relationships/image" Target="media/image2.png"/><Relationship Id="rId36" Type="http://schemas.openxmlformats.org/officeDocument/2006/relationships/image" Target="media/image1.jpeg"/><Relationship Id="rId35" Type="http://schemas.openxmlformats.org/officeDocument/2006/relationships/theme" Target="theme/theme1.xml"/><Relationship Id="rId34" Type="http://schemas.openxmlformats.org/officeDocument/2006/relationships/footer" Target="footer20.xml"/><Relationship Id="rId33" Type="http://schemas.openxmlformats.org/officeDocument/2006/relationships/footer" Target="footer19.xml"/><Relationship Id="rId32" Type="http://schemas.openxmlformats.org/officeDocument/2006/relationships/header" Target="header10.xml"/><Relationship Id="rId31" Type="http://schemas.openxmlformats.org/officeDocument/2006/relationships/footer" Target="footer18.xml"/><Relationship Id="rId30" Type="http://schemas.openxmlformats.org/officeDocument/2006/relationships/footer" Target="footer17.xml"/><Relationship Id="rId3" Type="http://schemas.openxmlformats.org/officeDocument/2006/relationships/footnotes" Target="footnotes.xml"/><Relationship Id="rId29" Type="http://schemas.openxmlformats.org/officeDocument/2006/relationships/footer" Target="footer16.xml"/><Relationship Id="rId28" Type="http://schemas.openxmlformats.org/officeDocument/2006/relationships/header" Target="header9.xml"/><Relationship Id="rId27" Type="http://schemas.openxmlformats.org/officeDocument/2006/relationships/header" Target="header8.xml"/><Relationship Id="rId26" Type="http://schemas.openxmlformats.org/officeDocument/2006/relationships/footer" Target="footer15.xml"/><Relationship Id="rId25" Type="http://schemas.openxmlformats.org/officeDocument/2006/relationships/footer" Target="footer14.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PCB1.DOT</Template>
  <Company>SITC</Company>
  <Pages>102</Pages>
  <Words>9729</Words>
  <Characters>55457</Characters>
  <Lines>462</Lines>
  <Paragraphs>130</Paragraphs>
  <TotalTime>707</TotalTime>
  <ScaleCrop>false</ScaleCrop>
  <LinksUpToDate>false</LinksUpToDate>
  <CharactersWithSpaces>65056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2021-07-26T07:43:00Z</dcterms:created>
  <dc:creator>JX</dc:creator>
  <cp:lastModifiedBy>A.wu</cp:lastModifiedBy>
  <cp:lastPrinted>2021-04-26T04:22:00Z</cp:lastPrinted>
  <dcterms:modified xsi:type="dcterms:W3CDTF">2021-09-02T07:04:46Z</dcterms:modified>
  <dc:subject>货物采购招标文件1(报人民币货到现场)</dc:subject>
  <dc:title>货物采购国内招标文件中文版</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F93E436605D848F899AF79D4A8A65AE6</vt:lpwstr>
  </property>
</Properties>
</file>