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Ref56088942"/>
      <w:bookmarkEnd w:id="0"/>
      <w:bookmarkStart w:id="1" w:name="_Toc301765377"/>
      <w:bookmarkStart w:id="2" w:name="_Toc2063548"/>
      <w:bookmarkStart w:id="3" w:name="_Toc2063679"/>
      <w:bookmarkStart w:id="4" w:name="_Toc2063804"/>
      <w:bookmarkStart w:id="5" w:name="_Toc2063935"/>
      <w:bookmarkStart w:id="6" w:name="_Toc2063967"/>
      <w:bookmarkStart w:id="7" w:name="_Toc8343681"/>
      <w:bookmarkStart w:id="8" w:name="_Toc302374121"/>
      <w:bookmarkStart w:id="9" w:name="_Toc389457432"/>
      <w:bookmarkStart w:id="10" w:name="_Toc389465146"/>
      <w:bookmarkStart w:id="11" w:name="_Toc389632838"/>
      <w:bookmarkStart w:id="12" w:name="_Toc389653345"/>
      <w:bookmarkStart w:id="13" w:name="_Toc450211905"/>
      <w:bookmarkStart w:id="14" w:name="_Toc497502282"/>
      <w:bookmarkStart w:id="15" w:name="_Toc502734285"/>
      <w:bookmarkStart w:id="16" w:name="_Toc503506174"/>
      <w:r>
        <w:object>
          <v:shape id="_x0000_i1025" o:spt="75" type="#_x0000_t75" style="height:81.35pt;width:112.2pt;" o:ole="t" filled="f" o:preferrelative="t" stroked="f" coordsize="21600,21600">
            <v:path/>
            <v:fill on="f" focussize="0,0"/>
            <v:stroke on="f" joinstyle="miter"/>
            <v:imagedata r:id="rId11" o:title=""/>
            <o:lock v:ext="edit" aspectratio="t"/>
            <w10:wrap type="none"/>
            <w10:anchorlock/>
          </v:shape>
          <o:OLEObject Type="Embed" ProgID="MSDraw" ShapeID="_x0000_i1025" DrawAspect="Content" ObjectID="_1468075725" r:id="rId10">
            <o:LockedField>false</o:LockedField>
          </o:OLEObject>
        </w:object>
      </w:r>
    </w:p>
    <w:p>
      <w:pPr>
        <w:rPr>
          <w:sz w:val="28"/>
          <w:szCs w:val="28"/>
        </w:rPr>
      </w:pPr>
      <w:r>
        <w:rPr>
          <w:sz w:val="28"/>
          <w:szCs w:val="28"/>
        </w:rPr>
        <w:t>FW2020071501</w:t>
      </w:r>
    </w:p>
    <w:p/>
    <w:p/>
    <w:p/>
    <w:p>
      <w:pPr>
        <w:spacing w:line="312" w:lineRule="atLeast"/>
        <w:jc w:val="center"/>
        <w:rPr>
          <w:rFonts w:eastAsia="黑体"/>
          <w:sz w:val="48"/>
          <w:szCs w:val="48"/>
        </w:rPr>
      </w:pPr>
      <w:r>
        <w:rPr>
          <w:rFonts w:hint="eastAsia" w:eastAsia="黑体"/>
          <w:color w:val="FF0000"/>
          <w:sz w:val="48"/>
          <w:szCs w:val="48"/>
          <w:highlight w:val="yellow"/>
        </w:rPr>
        <w:t>65nm工艺“多项目晶圆”（MPW）流片服务</w:t>
      </w:r>
      <w:r>
        <w:rPr>
          <w:rFonts w:hint="eastAsia" w:eastAsia="黑体"/>
          <w:sz w:val="48"/>
          <w:szCs w:val="48"/>
        </w:rPr>
        <w:t>采购</w:t>
      </w:r>
    </w:p>
    <w:p>
      <w:pPr>
        <w:pStyle w:val="52"/>
        <w:rPr>
          <w:color w:val="auto"/>
        </w:rPr>
      </w:pPr>
    </w:p>
    <w:p>
      <w:pPr>
        <w:pStyle w:val="52"/>
        <w:rPr>
          <w:color w:val="auto"/>
        </w:rPr>
      </w:pPr>
    </w:p>
    <w:p>
      <w:pPr>
        <w:pStyle w:val="52"/>
        <w:rPr>
          <w:color w:val="auto"/>
        </w:rPr>
      </w:pPr>
    </w:p>
    <w:p>
      <w:pPr>
        <w:pStyle w:val="52"/>
        <w:rPr>
          <w:color w:val="auto"/>
        </w:rPr>
      </w:pPr>
    </w:p>
    <w:p>
      <w:pPr>
        <w:pStyle w:val="52"/>
        <w:rPr>
          <w:color w:val="auto"/>
        </w:rPr>
      </w:pPr>
    </w:p>
    <w:p>
      <w:pPr>
        <w:pStyle w:val="52"/>
        <w:rPr>
          <w:color w:val="auto"/>
        </w:rPr>
      </w:pPr>
    </w:p>
    <w:p>
      <w:pPr>
        <w:jc w:val="center"/>
        <w:rPr>
          <w:rFonts w:eastAsia="华文中宋"/>
          <w:b/>
          <w:spacing w:val="440"/>
          <w:sz w:val="60"/>
        </w:rPr>
      </w:pPr>
      <w:r>
        <w:rPr>
          <w:rFonts w:hint="eastAsia" w:eastAsia="华文中宋"/>
          <w:b/>
          <w:spacing w:val="600"/>
          <w:sz w:val="70"/>
        </w:rPr>
        <w:t>采购文</w:t>
      </w:r>
      <w:r>
        <w:rPr>
          <w:rFonts w:hint="eastAsia" w:eastAsia="华文中宋"/>
          <w:b/>
          <w:sz w:val="70"/>
        </w:rPr>
        <w:t>件</w:t>
      </w:r>
    </w:p>
    <w:p>
      <w:pPr>
        <w:pStyle w:val="52"/>
        <w:rPr>
          <w:color w:val="auto"/>
        </w:rPr>
      </w:pPr>
    </w:p>
    <w:p>
      <w:pPr>
        <w:pStyle w:val="52"/>
        <w:rPr>
          <w:color w:val="auto"/>
        </w:rPr>
      </w:pPr>
    </w:p>
    <w:p>
      <w:pPr>
        <w:pStyle w:val="52"/>
        <w:rPr>
          <w:color w:val="auto"/>
        </w:rPr>
      </w:pPr>
    </w:p>
    <w:p>
      <w:pPr>
        <w:pStyle w:val="52"/>
        <w:rPr>
          <w:color w:val="auto"/>
        </w:rPr>
      </w:pPr>
    </w:p>
    <w:p>
      <w:pPr>
        <w:pStyle w:val="52"/>
        <w:rPr>
          <w:color w:val="auto"/>
        </w:rPr>
      </w:pPr>
    </w:p>
    <w:p>
      <w:pPr>
        <w:jc w:val="center"/>
        <w:rPr>
          <w:rFonts w:hAnsi="楷体" w:eastAsia="楷体"/>
          <w:sz w:val="32"/>
        </w:rPr>
      </w:pPr>
      <w:r>
        <w:rPr>
          <w:rFonts w:hint="eastAsia" w:hAnsi="楷体" w:eastAsia="楷体"/>
          <w:sz w:val="32"/>
        </w:rPr>
        <w:t>项目</w:t>
      </w:r>
      <w:r>
        <w:rPr>
          <w:rFonts w:hAnsi="楷体" w:eastAsia="楷体"/>
          <w:sz w:val="32"/>
        </w:rPr>
        <w:t>编号：</w:t>
      </w:r>
      <w:r>
        <w:rPr>
          <w:rFonts w:hint="eastAsia" w:hAnsi="楷体" w:eastAsia="楷体"/>
          <w:color w:val="FF0000"/>
          <w:sz w:val="32"/>
        </w:rPr>
        <w:t>182008R3</w:t>
      </w:r>
    </w:p>
    <w:p>
      <w:pPr>
        <w:spacing w:line="360" w:lineRule="exact"/>
      </w:pPr>
    </w:p>
    <w:p>
      <w:pPr>
        <w:spacing w:line="360" w:lineRule="exact"/>
      </w:pPr>
    </w:p>
    <w:p>
      <w:pPr>
        <w:spacing w:line="360" w:lineRule="exact"/>
      </w:pPr>
    </w:p>
    <w:p>
      <w:pPr>
        <w:spacing w:line="360" w:lineRule="exact"/>
      </w:pPr>
    </w:p>
    <w:p>
      <w:pPr>
        <w:spacing w:line="360" w:lineRule="exact"/>
      </w:pPr>
    </w:p>
    <w:p>
      <w:pPr>
        <w:spacing w:line="360" w:lineRule="exact"/>
      </w:pPr>
    </w:p>
    <w:p>
      <w:pPr>
        <w:spacing w:line="360" w:lineRule="exact"/>
      </w:pPr>
    </w:p>
    <w:p>
      <w:pPr>
        <w:spacing w:line="360" w:lineRule="exact"/>
      </w:pPr>
    </w:p>
    <w:p>
      <w:pPr>
        <w:spacing w:line="360" w:lineRule="exact"/>
      </w:pPr>
    </w:p>
    <w:tbl>
      <w:tblPr>
        <w:tblStyle w:val="21"/>
        <w:tblW w:w="0" w:type="auto"/>
        <w:jc w:val="center"/>
        <w:tblLayout w:type="autofit"/>
        <w:tblCellMar>
          <w:top w:w="0" w:type="dxa"/>
          <w:left w:w="108" w:type="dxa"/>
          <w:bottom w:w="0" w:type="dxa"/>
          <w:right w:w="108" w:type="dxa"/>
        </w:tblCellMar>
      </w:tblPr>
      <w:tblGrid>
        <w:gridCol w:w="2019"/>
        <w:gridCol w:w="5762"/>
      </w:tblGrid>
      <w:tr>
        <w:trPr>
          <w:trHeight w:val="628" w:hRule="atLeast"/>
          <w:jc w:val="center"/>
        </w:trPr>
        <w:tc>
          <w:tcPr>
            <w:tcW w:w="2019" w:type="dxa"/>
            <w:vAlign w:val="bottom"/>
          </w:tcPr>
          <w:p>
            <w:pPr>
              <w:jc w:val="distribute"/>
            </w:pPr>
            <w:r>
              <w:rPr>
                <w:rFonts w:eastAsia="楷体_GB2312"/>
                <w:sz w:val="30"/>
              </w:rPr>
              <w:t>项目名称：</w:t>
            </w:r>
          </w:p>
        </w:tc>
        <w:tc>
          <w:tcPr>
            <w:tcW w:w="5762" w:type="dxa"/>
            <w:tcBorders>
              <w:bottom w:val="single" w:color="auto" w:sz="4" w:space="0"/>
            </w:tcBorders>
            <w:vAlign w:val="bottom"/>
          </w:tcPr>
          <w:p>
            <w:pPr>
              <w:jc w:val="center"/>
              <w:rPr>
                <w:rFonts w:eastAsia="楷体_GB2312"/>
                <w:color w:val="FF0000"/>
                <w:sz w:val="30"/>
                <w:szCs w:val="30"/>
              </w:rPr>
            </w:pPr>
            <w:r>
              <w:rPr>
                <w:rFonts w:hint="eastAsia" w:eastAsia="楷体_GB2312"/>
                <w:color w:val="FF0000"/>
                <w:sz w:val="30"/>
                <w:szCs w:val="30"/>
              </w:rPr>
              <w:t>65nm工艺“多项目晶圆”（MPW）流片服务采购</w:t>
            </w:r>
          </w:p>
        </w:tc>
      </w:tr>
      <w:tr>
        <w:tblPrEx>
          <w:tblCellMar>
            <w:top w:w="0" w:type="dxa"/>
            <w:left w:w="108" w:type="dxa"/>
            <w:bottom w:w="0" w:type="dxa"/>
            <w:right w:w="108" w:type="dxa"/>
          </w:tblCellMar>
        </w:tblPrEx>
        <w:trPr>
          <w:trHeight w:val="624" w:hRule="atLeast"/>
          <w:jc w:val="center"/>
        </w:trPr>
        <w:tc>
          <w:tcPr>
            <w:tcW w:w="2019" w:type="dxa"/>
            <w:vAlign w:val="bottom"/>
          </w:tcPr>
          <w:p>
            <w:pPr>
              <w:jc w:val="distribute"/>
              <w:rPr>
                <w:rFonts w:eastAsia="楷体_GB2312"/>
                <w:sz w:val="30"/>
              </w:rPr>
            </w:pPr>
            <w:r>
              <w:rPr>
                <w:rFonts w:hint="eastAsia" w:eastAsia="楷体_GB2312"/>
                <w:sz w:val="30"/>
              </w:rPr>
              <w:t>采 购</w:t>
            </w:r>
            <w:r>
              <w:rPr>
                <w:rFonts w:eastAsia="楷体_GB2312"/>
                <w:sz w:val="30"/>
              </w:rPr>
              <w:t xml:space="preserve"> 人：</w:t>
            </w:r>
          </w:p>
        </w:tc>
        <w:tc>
          <w:tcPr>
            <w:tcW w:w="5762" w:type="dxa"/>
            <w:tcBorders>
              <w:top w:val="single" w:color="auto" w:sz="4" w:space="0"/>
              <w:bottom w:val="single" w:color="auto" w:sz="4" w:space="0"/>
            </w:tcBorders>
            <w:vAlign w:val="bottom"/>
          </w:tcPr>
          <w:p>
            <w:pPr>
              <w:jc w:val="center"/>
              <w:rPr>
                <w:rFonts w:eastAsia="楷体_GB2312"/>
                <w:color w:val="FF0000"/>
                <w:sz w:val="30"/>
                <w:szCs w:val="30"/>
              </w:rPr>
            </w:pPr>
            <w:r>
              <w:rPr>
                <w:rFonts w:eastAsia="楷体_GB2312"/>
                <w:color w:val="FF0000"/>
                <w:sz w:val="30"/>
                <w:szCs w:val="30"/>
              </w:rPr>
              <w:t>复旦大学</w:t>
            </w:r>
          </w:p>
        </w:tc>
      </w:tr>
      <w:tr>
        <w:tblPrEx>
          <w:tblCellMar>
            <w:top w:w="0" w:type="dxa"/>
            <w:left w:w="108" w:type="dxa"/>
            <w:bottom w:w="0" w:type="dxa"/>
            <w:right w:w="108" w:type="dxa"/>
          </w:tblCellMar>
        </w:tblPrEx>
        <w:trPr>
          <w:trHeight w:val="624" w:hRule="atLeast"/>
          <w:jc w:val="center"/>
        </w:trPr>
        <w:tc>
          <w:tcPr>
            <w:tcW w:w="2019" w:type="dxa"/>
            <w:vAlign w:val="bottom"/>
          </w:tcPr>
          <w:p>
            <w:pPr>
              <w:jc w:val="distribute"/>
              <w:rPr>
                <w:rFonts w:eastAsia="楷体_GB2312"/>
                <w:spacing w:val="-20"/>
                <w:sz w:val="30"/>
              </w:rPr>
            </w:pPr>
            <w:r>
              <w:rPr>
                <w:rFonts w:eastAsia="楷体_GB2312"/>
                <w:spacing w:val="-20"/>
                <w:sz w:val="30"/>
              </w:rPr>
              <w:t>招标代理机构：</w:t>
            </w:r>
          </w:p>
        </w:tc>
        <w:tc>
          <w:tcPr>
            <w:tcW w:w="5762" w:type="dxa"/>
            <w:tcBorders>
              <w:top w:val="single" w:color="auto" w:sz="4" w:space="0"/>
              <w:bottom w:val="single" w:color="auto" w:sz="4" w:space="0"/>
            </w:tcBorders>
            <w:vAlign w:val="bottom"/>
          </w:tcPr>
          <w:p>
            <w:pPr>
              <w:jc w:val="center"/>
              <w:rPr>
                <w:rFonts w:eastAsia="楷体_GB2312"/>
                <w:color w:val="FF0000"/>
                <w:sz w:val="30"/>
                <w:szCs w:val="30"/>
              </w:rPr>
            </w:pPr>
            <w:r>
              <w:rPr>
                <w:rFonts w:eastAsia="楷体_GB2312"/>
                <w:color w:val="FF0000"/>
                <w:sz w:val="30"/>
                <w:szCs w:val="30"/>
              </w:rPr>
              <w:t>上海国际招标有限公司</w:t>
            </w:r>
          </w:p>
        </w:tc>
      </w:tr>
    </w:tbl>
    <w:p>
      <w:pPr>
        <w:spacing w:before="360"/>
        <w:jc w:val="center"/>
        <w:rPr>
          <w:rFonts w:eastAsia="楷体_GB2312"/>
          <w:sz w:val="30"/>
          <w:szCs w:val="30"/>
        </w:rPr>
      </w:pPr>
    </w:p>
    <w:p>
      <w:pPr>
        <w:spacing w:before="160"/>
        <w:jc w:val="center"/>
        <w:rPr>
          <w:color w:val="FF0000"/>
        </w:rPr>
      </w:pPr>
      <w:r>
        <w:rPr>
          <w:rFonts w:hint="eastAsia" w:eastAsia="楷体_GB2312"/>
          <w:color w:val="FF0000"/>
          <w:sz w:val="30"/>
          <w:szCs w:val="30"/>
        </w:rPr>
        <w:t>2020年8月</w:t>
      </w:r>
    </w:p>
    <w:p>
      <w:pPr>
        <w:sectPr>
          <w:headerReference r:id="rId5" w:type="first"/>
          <w:footerReference r:id="rId8" w:type="first"/>
          <w:headerReference r:id="rId3" w:type="default"/>
          <w:footerReference r:id="rId6" w:type="default"/>
          <w:headerReference r:id="rId4" w:type="even"/>
          <w:footerReference r:id="rId7" w:type="even"/>
          <w:pgSz w:w="11907" w:h="16840"/>
          <w:pgMar w:top="1588" w:right="1021" w:bottom="1474" w:left="1021" w:header="1021" w:footer="992" w:gutter="340"/>
          <w:pgNumType w:start="1"/>
          <w:cols w:space="425" w:num="1"/>
          <w:titlePg/>
          <w:docGrid w:linePitch="286" w:charSpace="0"/>
        </w:sectPr>
      </w:pPr>
    </w:p>
    <w:p>
      <w:pPr>
        <w:pStyle w:val="30"/>
      </w:pPr>
      <w:r>
        <w:rPr>
          <w:rFonts w:hint="eastAsia"/>
        </w:rPr>
        <w:t>单一来源协商会邀请</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r>
        <w:rPr>
          <w:rFonts w:hint="eastAsia"/>
        </w:rPr>
        <w:t>函</w:t>
      </w:r>
    </w:p>
    <w:p>
      <w:pPr>
        <w:pStyle w:val="12"/>
        <w:rPr>
          <w:color w:val="FF0000"/>
        </w:rPr>
      </w:pPr>
      <w:r>
        <w:rPr>
          <w:rFonts w:hint="eastAsia"/>
        </w:rPr>
        <w:t>日期：</w:t>
      </w:r>
      <w:r>
        <w:rPr>
          <w:rFonts w:hint="eastAsia"/>
          <w:color w:val="FF0000"/>
        </w:rPr>
        <w:t>2020年  月  日</w:t>
      </w:r>
    </w:p>
    <w:p>
      <w:pPr>
        <w:pStyle w:val="12"/>
      </w:pPr>
      <w:r>
        <w:rPr>
          <w:rFonts w:hint="eastAsia"/>
        </w:rPr>
        <w:t>复旦大学（以下简称采购人）和上海国际招标有限公司（以下简称招标代理）兹邀请贵方就以下项目提交报价文件并参与协商会议，详情如下：</w:t>
      </w:r>
    </w:p>
    <w:tbl>
      <w:tblPr>
        <w:tblStyle w:val="21"/>
        <w:tblW w:w="951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704"/>
        <w:gridCol w:w="880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blHeader/>
          <w:jc w:val="center"/>
        </w:trPr>
        <w:tc>
          <w:tcPr>
            <w:tcW w:w="704" w:type="dxa"/>
            <w:tcBorders>
              <w:top w:val="single" w:color="auto" w:sz="12" w:space="0"/>
              <w:bottom w:val="double" w:color="auto" w:sz="6" w:space="0"/>
            </w:tcBorders>
            <w:shd w:val="clear" w:color="auto" w:fill="auto"/>
          </w:tcPr>
          <w:p>
            <w:pPr>
              <w:pStyle w:val="15"/>
              <w:rPr>
                <w:rFonts w:ascii="Arial" w:eastAsia="黑体"/>
              </w:rPr>
            </w:pPr>
            <w:r>
              <w:rPr>
                <w:rFonts w:hint="eastAsia" w:ascii="Arial" w:eastAsia="黑体"/>
              </w:rPr>
              <w:t>序号</w:t>
            </w:r>
          </w:p>
        </w:tc>
        <w:tc>
          <w:tcPr>
            <w:tcW w:w="8809" w:type="dxa"/>
            <w:tcBorders>
              <w:top w:val="single" w:color="auto" w:sz="12" w:space="0"/>
              <w:bottom w:val="double" w:color="auto" w:sz="6" w:space="0"/>
            </w:tcBorders>
            <w:shd w:val="clear" w:color="auto" w:fill="auto"/>
          </w:tcPr>
          <w:p>
            <w:pPr>
              <w:pStyle w:val="15"/>
              <w:rPr>
                <w:rFonts w:ascii="Arial" w:eastAsia="黑体"/>
              </w:rPr>
            </w:pPr>
            <w:r>
              <w:rPr>
                <w:rFonts w:hint="eastAsia" w:ascii="Arial" w:eastAsia="黑体"/>
              </w:rPr>
              <w:t>内</w:t>
            </w:r>
            <w:r>
              <w:rPr>
                <w:rFonts w:ascii="Arial" w:eastAsia="黑体"/>
              </w:rPr>
              <w:t xml:space="preserve">                </w:t>
            </w:r>
            <w:r>
              <w:rPr>
                <w:rFonts w:hint="eastAsia" w:ascii="Arial" w:eastAsia="黑体"/>
              </w:rPr>
              <w:t>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704" w:type="dxa"/>
            <w:tcBorders>
              <w:top w:val="nil"/>
            </w:tcBorders>
          </w:tcPr>
          <w:p>
            <w:pPr>
              <w:pStyle w:val="15"/>
              <w:numPr>
                <w:ilvl w:val="0"/>
                <w:numId w:val="3"/>
              </w:numPr>
            </w:pPr>
            <w:bookmarkStart w:id="17" w:name="_Ref389721466"/>
          </w:p>
          <w:bookmarkEnd w:id="17"/>
        </w:tc>
        <w:tc>
          <w:tcPr>
            <w:tcW w:w="8809" w:type="dxa"/>
            <w:tcBorders>
              <w:top w:val="nil"/>
            </w:tcBorders>
          </w:tcPr>
          <w:p>
            <w:pPr>
              <w:pStyle w:val="34"/>
              <w:rPr>
                <w:b/>
                <w:color w:val="FF0000"/>
              </w:rPr>
            </w:pPr>
            <w:r>
              <w:rPr>
                <w:rFonts w:hint="eastAsia"/>
                <w:b/>
              </w:rPr>
              <w:t>项目名称：</w:t>
            </w:r>
            <w:r>
              <w:rPr>
                <w:rFonts w:hint="eastAsia"/>
                <w:color w:val="FF0000"/>
              </w:rPr>
              <w:t>复旦大学65nm工艺“多项目晶圆”（MPW）流片服务采购单一来源项目</w:t>
            </w:r>
          </w:p>
          <w:p>
            <w:pPr>
              <w:pStyle w:val="15"/>
              <w:jc w:val="both"/>
              <w:rPr>
                <w:b/>
                <w:color w:val="FF0000"/>
              </w:rPr>
            </w:pPr>
            <w:r>
              <w:rPr>
                <w:rFonts w:hint="eastAsia"/>
                <w:b/>
              </w:rPr>
              <w:t>项目编号：</w:t>
            </w:r>
            <w:r>
              <w:rPr>
                <w:rFonts w:hint="eastAsia"/>
                <w:color w:val="FF0000"/>
              </w:rPr>
              <w:t>182008R3</w:t>
            </w:r>
          </w:p>
          <w:p>
            <w:pPr>
              <w:pStyle w:val="15"/>
              <w:jc w:val="both"/>
              <w:rPr>
                <w:b/>
              </w:rPr>
            </w:pPr>
            <w:r>
              <w:rPr>
                <w:rFonts w:hint="eastAsia"/>
                <w:b/>
              </w:rPr>
              <w:t>产品名称：</w:t>
            </w:r>
            <w:r>
              <w:rPr>
                <w:rFonts w:hint="eastAsia"/>
                <w:color w:val="FF0000"/>
              </w:rPr>
              <w:t>65nm工艺“多项目晶圆”（MPW）流片服务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704" w:type="dxa"/>
          </w:tcPr>
          <w:p>
            <w:pPr>
              <w:pStyle w:val="15"/>
              <w:numPr>
                <w:ilvl w:val="0"/>
                <w:numId w:val="3"/>
              </w:numPr>
            </w:pPr>
            <w:bookmarkStart w:id="18" w:name="_Ref389721473"/>
          </w:p>
          <w:bookmarkEnd w:id="18"/>
        </w:tc>
        <w:tc>
          <w:tcPr>
            <w:tcW w:w="8809" w:type="dxa"/>
          </w:tcPr>
          <w:p>
            <w:pPr>
              <w:pStyle w:val="34"/>
            </w:pPr>
            <w:r>
              <w:rPr>
                <w:rFonts w:hint="eastAsia"/>
                <w:b/>
              </w:rPr>
              <w:t>采购人名称：</w:t>
            </w:r>
            <w:r>
              <w:t>复旦大学</w:t>
            </w:r>
          </w:p>
          <w:p>
            <w:pPr>
              <w:pStyle w:val="34"/>
              <w:rPr>
                <w:b/>
              </w:rPr>
            </w:pPr>
            <w:r>
              <w:rPr>
                <w:rFonts w:hint="eastAsia"/>
                <w:b/>
              </w:rPr>
              <w:t>地址：</w:t>
            </w:r>
            <w:r>
              <w:t>上海市邯郸路220号</w:t>
            </w:r>
          </w:p>
          <w:p>
            <w:pPr>
              <w:pStyle w:val="34"/>
            </w:pPr>
            <w:r>
              <w:rPr>
                <w:rFonts w:hint="eastAsia"/>
                <w:b/>
              </w:rPr>
              <w:t>邮编：</w:t>
            </w:r>
            <w:r>
              <w:rPr>
                <w:rFonts w:hint="eastAsia"/>
              </w:rPr>
              <w:t>200433</w:t>
            </w:r>
          </w:p>
          <w:p>
            <w:pPr>
              <w:pStyle w:val="34"/>
            </w:pPr>
            <w:r>
              <w:rPr>
                <w:rFonts w:hint="eastAsia"/>
                <w:b/>
              </w:rPr>
              <w:t>联系人：</w:t>
            </w:r>
            <w:r>
              <w:rPr>
                <w:rFonts w:hint="eastAsia"/>
                <w:color w:val="FF0000"/>
              </w:rPr>
              <w:t>陈老师</w:t>
            </w:r>
          </w:p>
          <w:p>
            <w:pPr>
              <w:pStyle w:val="34"/>
              <w:rPr>
                <w:b/>
              </w:rPr>
            </w:pPr>
            <w:r>
              <w:rPr>
                <w:rFonts w:hint="eastAsia"/>
                <w:b/>
              </w:rPr>
              <w:t>电话：</w:t>
            </w:r>
            <w:r>
              <w:rPr>
                <w:rFonts w:hint="eastAsia"/>
                <w:color w:val="FF0000"/>
              </w:rPr>
              <w:t>65645621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704" w:type="dxa"/>
          </w:tcPr>
          <w:p>
            <w:pPr>
              <w:pStyle w:val="15"/>
              <w:numPr>
                <w:ilvl w:val="0"/>
                <w:numId w:val="3"/>
              </w:numPr>
            </w:pPr>
            <w:bookmarkStart w:id="19" w:name="_Ref389721479"/>
          </w:p>
          <w:bookmarkEnd w:id="19"/>
        </w:tc>
        <w:tc>
          <w:tcPr>
            <w:tcW w:w="8809" w:type="dxa"/>
          </w:tcPr>
          <w:p>
            <w:pPr>
              <w:pStyle w:val="34"/>
            </w:pPr>
            <w:r>
              <w:rPr>
                <w:rFonts w:hint="eastAsia"/>
                <w:b/>
              </w:rPr>
              <w:t>招标代理名称：</w:t>
            </w:r>
            <w:r>
              <w:rPr>
                <w:rFonts w:hint="eastAsia"/>
              </w:rPr>
              <w:t>上海国际招标有限公司</w:t>
            </w:r>
          </w:p>
          <w:p>
            <w:pPr>
              <w:pStyle w:val="34"/>
            </w:pPr>
            <w:r>
              <w:rPr>
                <w:rFonts w:hint="eastAsia"/>
                <w:b/>
              </w:rPr>
              <w:t>地址：</w:t>
            </w:r>
            <w:r>
              <w:rPr>
                <w:rFonts w:hint="eastAsia"/>
              </w:rPr>
              <w:t>中国上海延安西路</w:t>
            </w:r>
            <w:r>
              <w:t>358</w:t>
            </w:r>
            <w:r>
              <w:rPr>
                <w:rFonts w:hint="eastAsia"/>
              </w:rPr>
              <w:t>号美丽园大厦</w:t>
            </w:r>
            <w:r>
              <w:t>14</w:t>
            </w:r>
            <w:r>
              <w:rPr>
                <w:rFonts w:hint="eastAsia"/>
              </w:rPr>
              <w:t>楼</w:t>
            </w:r>
          </w:p>
          <w:p>
            <w:pPr>
              <w:pStyle w:val="34"/>
            </w:pPr>
            <w:r>
              <w:rPr>
                <w:rFonts w:hint="eastAsia"/>
                <w:b/>
              </w:rPr>
              <w:t>邮编：</w:t>
            </w:r>
            <w:r>
              <w:t>200040</w:t>
            </w:r>
          </w:p>
          <w:p>
            <w:pPr>
              <w:pStyle w:val="34"/>
              <w:rPr>
                <w:rFonts w:hint="eastAsia"/>
                <w:color w:val="FF0000"/>
              </w:rPr>
            </w:pPr>
            <w:r>
              <w:rPr>
                <w:rFonts w:hint="eastAsia"/>
                <w:color w:val="FF0000"/>
              </w:rPr>
              <w:t>联系人：冯璐燕、王晓</w:t>
            </w:r>
          </w:p>
          <w:p>
            <w:pPr>
              <w:pStyle w:val="34"/>
              <w:rPr>
                <w:rFonts w:hint="eastAsia"/>
                <w:color w:val="FF0000"/>
              </w:rPr>
            </w:pPr>
            <w:r>
              <w:rPr>
                <w:rFonts w:hint="eastAsia"/>
                <w:color w:val="FF0000"/>
              </w:rPr>
              <w:t>电话：86-21-32173704、32173692</w:t>
            </w:r>
          </w:p>
          <w:p>
            <w:pPr>
              <w:pStyle w:val="34"/>
              <w:rPr>
                <w:rFonts w:hint="eastAsia"/>
                <w:color w:val="FF0000"/>
              </w:rPr>
            </w:pPr>
            <w:r>
              <w:rPr>
                <w:rFonts w:hint="eastAsia"/>
                <w:color w:val="FF0000"/>
              </w:rPr>
              <w:t>传真：86-21-62791616</w:t>
            </w:r>
          </w:p>
          <w:p>
            <w:pPr>
              <w:pStyle w:val="15"/>
              <w:jc w:val="both"/>
              <w:rPr>
                <w:b/>
              </w:rPr>
            </w:pPr>
            <w:r>
              <w:rPr>
                <w:rFonts w:hint="eastAsia"/>
                <w:color w:val="FF0000"/>
              </w:rPr>
              <w:t>邮箱：fengluyan@shabidding.com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704" w:type="dxa"/>
          </w:tcPr>
          <w:p>
            <w:pPr>
              <w:pStyle w:val="15"/>
              <w:numPr>
                <w:ilvl w:val="0"/>
                <w:numId w:val="3"/>
              </w:numPr>
            </w:pPr>
            <w:bookmarkStart w:id="20" w:name="_Ref389721507"/>
          </w:p>
          <w:bookmarkEnd w:id="20"/>
        </w:tc>
        <w:tc>
          <w:tcPr>
            <w:tcW w:w="8809" w:type="dxa"/>
          </w:tcPr>
          <w:p>
            <w:pPr>
              <w:pStyle w:val="34"/>
              <w:rPr>
                <w:b/>
              </w:rPr>
            </w:pPr>
            <w:r>
              <w:rPr>
                <w:rFonts w:hint="eastAsia"/>
                <w:b/>
              </w:rPr>
              <w:t>保证金：</w:t>
            </w:r>
            <w:r>
              <w:rPr>
                <w:rFonts w:hint="eastAsia"/>
              </w:rPr>
              <w:t>供应商应提交一笔保证金作为其报价文件的一部分，保证金的金额不低于供应商报价的1.5%；其有效期不短于召开协商会后60天；其收退规定见附件1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704" w:type="dxa"/>
          </w:tcPr>
          <w:p>
            <w:pPr>
              <w:pStyle w:val="15"/>
              <w:numPr>
                <w:ilvl w:val="0"/>
                <w:numId w:val="3"/>
              </w:numPr>
            </w:pPr>
            <w:bookmarkStart w:id="21" w:name="_Ref389721528"/>
          </w:p>
          <w:bookmarkEnd w:id="21"/>
        </w:tc>
        <w:tc>
          <w:tcPr>
            <w:tcW w:w="8809" w:type="dxa"/>
          </w:tcPr>
          <w:p>
            <w:pPr>
              <w:pStyle w:val="34"/>
            </w:pPr>
            <w:r>
              <w:rPr>
                <w:rFonts w:hint="eastAsia"/>
                <w:b/>
              </w:rPr>
              <w:t>报价文件的套数：</w:t>
            </w:r>
            <w:r>
              <w:t>正本1套，副本</w:t>
            </w:r>
            <w:r>
              <w:rPr>
                <w:rFonts w:hint="eastAsia"/>
              </w:rPr>
              <w:t>2</w:t>
            </w:r>
            <w:r>
              <w:t>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704" w:type="dxa"/>
          </w:tcPr>
          <w:p>
            <w:pPr>
              <w:pStyle w:val="15"/>
              <w:numPr>
                <w:ilvl w:val="0"/>
                <w:numId w:val="3"/>
              </w:numPr>
            </w:pPr>
            <w:bookmarkStart w:id="22" w:name="_Ref389721598"/>
          </w:p>
          <w:bookmarkEnd w:id="22"/>
        </w:tc>
        <w:tc>
          <w:tcPr>
            <w:tcW w:w="8809" w:type="dxa"/>
          </w:tcPr>
          <w:p>
            <w:pPr>
              <w:pStyle w:val="34"/>
              <w:rPr>
                <w:b/>
              </w:rPr>
            </w:pPr>
            <w:bookmarkStart w:id="23" w:name="_Ref434456304"/>
            <w:bookmarkStart w:id="24" w:name="_Toc434462181"/>
            <w:bookmarkStart w:id="25" w:name="_Toc434462792"/>
            <w:bookmarkStart w:id="26" w:name="_Toc434897295"/>
            <w:bookmarkStart w:id="27" w:name="_Toc452306099"/>
            <w:bookmarkStart w:id="28" w:name="_Toc452726941"/>
            <w:bookmarkStart w:id="29" w:name="_Toc452727301"/>
            <w:bookmarkStart w:id="30" w:name="_Toc452800686"/>
            <w:bookmarkStart w:id="31" w:name="_Toc2063689"/>
            <w:bookmarkStart w:id="32" w:name="_Toc2063817"/>
            <w:bookmarkStart w:id="33" w:name="_Toc8343694"/>
            <w:bookmarkStart w:id="34" w:name="_Toc302374131"/>
            <w:bookmarkStart w:id="35" w:name="_Toc512602403"/>
            <w:r>
              <w:rPr>
                <w:rFonts w:hint="eastAsia"/>
                <w:b/>
              </w:rPr>
              <w:t>报价</w:t>
            </w:r>
            <w:r>
              <w:rPr>
                <w:b/>
              </w:rPr>
              <w:t>文件的构成</w:t>
            </w:r>
            <w:bookmarkEnd w:id="23"/>
            <w:bookmarkEnd w:id="24"/>
            <w:bookmarkEnd w:id="25"/>
            <w:bookmarkEnd w:id="26"/>
            <w:bookmarkEnd w:id="27"/>
            <w:bookmarkEnd w:id="28"/>
            <w:bookmarkEnd w:id="29"/>
            <w:bookmarkEnd w:id="30"/>
            <w:bookmarkEnd w:id="31"/>
            <w:bookmarkEnd w:id="32"/>
            <w:bookmarkEnd w:id="33"/>
            <w:bookmarkEnd w:id="34"/>
            <w:bookmarkEnd w:id="35"/>
            <w:r>
              <w:rPr>
                <w:rFonts w:hint="eastAsia"/>
                <w:b/>
              </w:rPr>
              <w:t>：</w:t>
            </w:r>
          </w:p>
          <w:p>
            <w:pPr>
              <w:pStyle w:val="34"/>
            </w:pPr>
            <w:r>
              <w:rPr>
                <w:rFonts w:hint="eastAsia"/>
              </w:rPr>
              <w:t>报价</w:t>
            </w:r>
            <w:r>
              <w:t>文件</w:t>
            </w:r>
            <w:r>
              <w:rPr>
                <w:rFonts w:hint="eastAsia"/>
              </w:rPr>
              <w:t>应</w:t>
            </w:r>
            <w:r>
              <w:t>包括</w:t>
            </w:r>
            <w:r>
              <w:rPr>
                <w:rFonts w:hint="eastAsia"/>
              </w:rPr>
              <w:t>但不限于以下内容：</w:t>
            </w:r>
          </w:p>
          <w:p>
            <w:pPr>
              <w:pStyle w:val="34"/>
              <w:numPr>
                <w:ilvl w:val="0"/>
                <w:numId w:val="4"/>
              </w:numPr>
              <w:ind w:leftChars="0"/>
            </w:pPr>
            <w:r>
              <w:rPr>
                <w:rFonts w:hint="eastAsia"/>
              </w:rPr>
              <w:t>报价表（格式见附件2）</w:t>
            </w:r>
          </w:p>
          <w:p>
            <w:pPr>
              <w:pStyle w:val="34"/>
              <w:numPr>
                <w:ilvl w:val="0"/>
                <w:numId w:val="4"/>
              </w:numPr>
              <w:ind w:leftChars="0"/>
            </w:pPr>
            <w:r>
              <w:rPr>
                <w:rFonts w:hint="eastAsia"/>
              </w:rPr>
              <w:t>商务文件（格式见附件2）：</w:t>
            </w:r>
          </w:p>
          <w:p>
            <w:pPr>
              <w:pStyle w:val="34"/>
              <w:numPr>
                <w:ilvl w:val="0"/>
                <w:numId w:val="5"/>
              </w:numPr>
              <w:ind w:leftChars="0"/>
            </w:pPr>
            <w:r>
              <w:t>营业执照、基本账户开户许可证</w:t>
            </w:r>
          </w:p>
          <w:p>
            <w:pPr>
              <w:pStyle w:val="34"/>
              <w:numPr>
                <w:ilvl w:val="0"/>
                <w:numId w:val="5"/>
              </w:numPr>
              <w:ind w:leftChars="0"/>
            </w:pPr>
            <w:r>
              <w:t>保证金递交凭证</w:t>
            </w:r>
          </w:p>
          <w:p>
            <w:pPr>
              <w:pStyle w:val="34"/>
              <w:numPr>
                <w:ilvl w:val="0"/>
                <w:numId w:val="5"/>
              </w:numPr>
              <w:ind w:leftChars="0"/>
            </w:pPr>
            <w:r>
              <w:t>法定代表人授权书</w:t>
            </w:r>
          </w:p>
          <w:p>
            <w:pPr>
              <w:pStyle w:val="34"/>
              <w:numPr>
                <w:ilvl w:val="0"/>
                <w:numId w:val="5"/>
              </w:numPr>
              <w:ind w:leftChars="0"/>
            </w:pPr>
            <w:r>
              <w:t>财务状况报告，依法缴纳税收和社会保障资金的相关材料</w:t>
            </w:r>
          </w:p>
          <w:p>
            <w:pPr>
              <w:pStyle w:val="34"/>
              <w:numPr>
                <w:ilvl w:val="0"/>
                <w:numId w:val="5"/>
              </w:numPr>
              <w:ind w:leftChars="0"/>
            </w:pPr>
            <w:r>
              <w:t>信用查询记录的相关材料</w:t>
            </w:r>
          </w:p>
          <w:p>
            <w:pPr>
              <w:pStyle w:val="34"/>
              <w:numPr>
                <w:ilvl w:val="0"/>
                <w:numId w:val="5"/>
              </w:numPr>
              <w:ind w:leftChars="0"/>
            </w:pPr>
            <w:r>
              <w:t>具备履行合同所必需的设备和专业技术能力的证明</w:t>
            </w:r>
          </w:p>
          <w:p>
            <w:pPr>
              <w:pStyle w:val="34"/>
              <w:numPr>
                <w:ilvl w:val="0"/>
                <w:numId w:val="5"/>
              </w:numPr>
              <w:ind w:leftChars="0"/>
            </w:pPr>
            <w:r>
              <w:t>无违法记录声明函</w:t>
            </w:r>
          </w:p>
          <w:p>
            <w:pPr>
              <w:pStyle w:val="34"/>
              <w:numPr>
                <w:ilvl w:val="0"/>
                <w:numId w:val="4"/>
              </w:numPr>
              <w:ind w:leftChars="0"/>
            </w:pPr>
            <w:r>
              <w:rPr>
                <w:rFonts w:hint="eastAsia"/>
              </w:rPr>
              <w:t>技术文件（格式自拟）：</w:t>
            </w:r>
          </w:p>
          <w:p>
            <w:pPr>
              <w:pStyle w:val="34"/>
              <w:numPr>
                <w:ilvl w:val="0"/>
                <w:numId w:val="6"/>
              </w:numPr>
              <w:ind w:leftChars="0"/>
            </w:pPr>
            <w:r>
              <w:rPr>
                <w:rFonts w:hint="eastAsia"/>
              </w:rPr>
              <w:t>产品说明、交货期（或完成期限）、售后服务、付款方式等说明</w:t>
            </w:r>
          </w:p>
          <w:p>
            <w:pPr>
              <w:pStyle w:val="34"/>
              <w:numPr>
                <w:ilvl w:val="0"/>
                <w:numId w:val="6"/>
              </w:numPr>
              <w:ind w:leftChars="0"/>
              <w:rPr>
                <w:b/>
              </w:rPr>
            </w:pPr>
            <w:r>
              <w:rPr>
                <w:rFonts w:hint="eastAsia"/>
              </w:rPr>
              <w:t>产品的成本、同类项目合同价格以及相关专利、专有技术等情况说明</w:t>
            </w:r>
          </w:p>
          <w:p>
            <w:pPr>
              <w:pStyle w:val="34"/>
              <w:numPr>
                <w:ilvl w:val="0"/>
                <w:numId w:val="6"/>
              </w:numPr>
              <w:ind w:leftChars="0"/>
              <w:rPr>
                <w:b/>
              </w:rPr>
            </w:pPr>
            <w:r>
              <w:rPr>
                <w:rFonts w:hint="eastAsia"/>
              </w:rPr>
              <w:t>其他资料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704" w:type="dxa"/>
          </w:tcPr>
          <w:p>
            <w:pPr>
              <w:pStyle w:val="15"/>
              <w:numPr>
                <w:ilvl w:val="0"/>
                <w:numId w:val="3"/>
              </w:numPr>
            </w:pPr>
            <w:bookmarkStart w:id="36" w:name="_Ref389721562"/>
          </w:p>
          <w:bookmarkEnd w:id="36"/>
        </w:tc>
        <w:tc>
          <w:tcPr>
            <w:tcW w:w="8809" w:type="dxa"/>
          </w:tcPr>
          <w:p>
            <w:pPr>
              <w:pStyle w:val="34"/>
              <w:rPr>
                <w:color w:val="FF0000"/>
              </w:rPr>
            </w:pPr>
            <w:r>
              <w:rPr>
                <w:rFonts w:hint="eastAsia"/>
                <w:b/>
                <w:color w:val="FF0000"/>
              </w:rPr>
              <w:t>协商</w:t>
            </w:r>
            <w:r>
              <w:rPr>
                <w:b/>
                <w:color w:val="FF0000"/>
              </w:rPr>
              <w:t>时间：</w:t>
            </w:r>
            <w:r>
              <w:rPr>
                <w:color w:val="FF0000"/>
              </w:rPr>
              <w:t>2020年</w:t>
            </w:r>
            <w:r>
              <w:rPr>
                <w:rFonts w:hint="eastAsia"/>
                <w:color w:val="FF0000"/>
              </w:rPr>
              <w:t xml:space="preserve">  月  日</w:t>
            </w:r>
            <w:r>
              <w:rPr>
                <w:color w:val="FF0000"/>
              </w:rPr>
              <w:t>16:00时</w:t>
            </w:r>
          </w:p>
          <w:p>
            <w:pPr>
              <w:pStyle w:val="34"/>
              <w:rPr>
                <w:color w:val="FF0000"/>
              </w:rPr>
            </w:pPr>
            <w:r>
              <w:rPr>
                <w:rFonts w:hint="eastAsia"/>
                <w:b/>
                <w:color w:val="FF0000"/>
              </w:rPr>
              <w:t>协商</w:t>
            </w:r>
            <w:r>
              <w:rPr>
                <w:b/>
                <w:color w:val="FF0000"/>
              </w:rPr>
              <w:t>地点：</w:t>
            </w:r>
            <w:r>
              <w:rPr>
                <w:rFonts w:hint="eastAsia"/>
                <w:color w:val="FF0000"/>
              </w:rPr>
              <w:t>邯郸路220号逸夫科技楼3楼会议室</w:t>
            </w:r>
          </w:p>
          <w:p>
            <w:pPr>
              <w:pStyle w:val="34"/>
              <w:rPr>
                <w:b/>
              </w:rPr>
            </w:pPr>
            <w:r>
              <w:rPr>
                <w:rFonts w:hint="eastAsia"/>
              </w:rPr>
              <w:t>注：供应商应在上述规定的时间和地点参加协商会议并提交报价文件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704" w:type="dxa"/>
          </w:tcPr>
          <w:p>
            <w:pPr>
              <w:pStyle w:val="15"/>
              <w:numPr>
                <w:ilvl w:val="0"/>
                <w:numId w:val="3"/>
              </w:numPr>
            </w:pPr>
            <w:bookmarkStart w:id="37" w:name="_Ref389721580"/>
          </w:p>
          <w:bookmarkEnd w:id="37"/>
        </w:tc>
        <w:tc>
          <w:tcPr>
            <w:tcW w:w="8809" w:type="dxa"/>
          </w:tcPr>
          <w:p>
            <w:pPr>
              <w:pStyle w:val="34"/>
              <w:rPr>
                <w:b/>
              </w:rPr>
            </w:pPr>
            <w:r>
              <w:rPr>
                <w:rFonts w:hint="eastAsia"/>
                <w:b/>
              </w:rPr>
              <w:t>协商程序：</w:t>
            </w:r>
          </w:p>
          <w:p>
            <w:pPr>
              <w:pStyle w:val="34"/>
            </w:pPr>
            <w:r>
              <w:rPr>
                <w:rFonts w:hint="eastAsia"/>
              </w:rPr>
              <w:t>由评审小组负责主持协商，整个协商程序如下所述：</w:t>
            </w:r>
          </w:p>
          <w:p>
            <w:pPr>
              <w:pStyle w:val="34"/>
              <w:numPr>
                <w:ilvl w:val="0"/>
                <w:numId w:val="7"/>
              </w:numPr>
              <w:ind w:leftChars="0"/>
            </w:pPr>
            <w:r>
              <w:rPr>
                <w:rFonts w:hint="eastAsia"/>
              </w:rPr>
              <w:t>评审小组对参加协商的供应商进行确认。</w:t>
            </w:r>
          </w:p>
          <w:p>
            <w:pPr>
              <w:pStyle w:val="34"/>
              <w:numPr>
                <w:ilvl w:val="0"/>
                <w:numId w:val="7"/>
              </w:numPr>
              <w:ind w:leftChars="0"/>
            </w:pPr>
            <w:r>
              <w:rPr>
                <w:rFonts w:hint="eastAsia"/>
              </w:rPr>
              <w:t>评审小组对供应商提交的报价文件进行初步评审。</w:t>
            </w:r>
          </w:p>
          <w:p>
            <w:pPr>
              <w:pStyle w:val="34"/>
              <w:numPr>
                <w:ilvl w:val="0"/>
                <w:numId w:val="7"/>
              </w:numPr>
              <w:ind w:leftChars="0"/>
            </w:pPr>
            <w:r>
              <w:rPr>
                <w:rFonts w:hint="eastAsia"/>
              </w:rPr>
              <w:t>评审小组所有成员与供应商进行协商。</w:t>
            </w:r>
          </w:p>
          <w:p>
            <w:pPr>
              <w:pStyle w:val="34"/>
              <w:numPr>
                <w:ilvl w:val="0"/>
                <w:numId w:val="7"/>
              </w:numPr>
              <w:ind w:leftChars="0"/>
            </w:pPr>
            <w:r>
              <w:rPr>
                <w:rFonts w:hint="eastAsia"/>
              </w:rPr>
              <w:t>评审小组要求参加协商的供应商在规定的截止时间前提交最后报价。</w:t>
            </w:r>
          </w:p>
          <w:p>
            <w:pPr>
              <w:pStyle w:val="34"/>
              <w:numPr>
                <w:ilvl w:val="0"/>
                <w:numId w:val="7"/>
              </w:numPr>
              <w:ind w:leftChars="0"/>
              <w:rPr>
                <w:b/>
              </w:rPr>
            </w:pPr>
            <w:r>
              <w:rPr>
                <w:rFonts w:hint="eastAsia"/>
              </w:rPr>
              <w:t>评审小组对提交最后报价的供应商进行详细评审，并最终确定向采购人推荐的成交候选人。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704" w:type="dxa"/>
          </w:tcPr>
          <w:p>
            <w:pPr>
              <w:pStyle w:val="15"/>
              <w:numPr>
                <w:ilvl w:val="0"/>
                <w:numId w:val="3"/>
              </w:numPr>
              <w:ind w:left="63" w:leftChars="0"/>
              <w:rPr>
                <w:color w:val="FF0000"/>
              </w:rPr>
            </w:pPr>
          </w:p>
        </w:tc>
        <w:tc>
          <w:tcPr>
            <w:tcW w:w="8809" w:type="dxa"/>
          </w:tcPr>
          <w:p>
            <w:pPr>
              <w:pStyle w:val="34"/>
              <w:rPr>
                <w:b/>
                <w:color w:val="FF0000"/>
              </w:rPr>
            </w:pPr>
            <w:r>
              <w:rPr>
                <w:rFonts w:hint="eastAsia"/>
                <w:b/>
                <w:color w:val="FF0000"/>
                <w:highlight w:val="yellow"/>
              </w:rPr>
              <w:t>最高限价（人民币）：</w:t>
            </w:r>
            <w:r>
              <w:rPr>
                <w:b/>
                <w:color w:val="FF0000"/>
              </w:rPr>
              <w:t>160</w:t>
            </w:r>
            <w:r>
              <w:rPr>
                <w:rFonts w:hint="eastAsia"/>
                <w:b/>
                <w:color w:val="FF0000"/>
                <w:highlight w:val="yellow"/>
              </w:rPr>
              <w:t>万元</w:t>
            </w:r>
          </w:p>
          <w:p>
            <w:pPr>
              <w:pStyle w:val="34"/>
              <w:rPr>
                <w:color w:val="FF0000"/>
              </w:rPr>
            </w:pPr>
            <w:r>
              <w:rPr>
                <w:rFonts w:hint="eastAsia"/>
                <w:color w:val="FF0000"/>
              </w:rPr>
              <w:t>注：当供应商报价超过相应的最高限价时，将对其报价响应直接作否决处理。如供应商报价由多种货币构成，评审小组将以协商时间当日中国银行总行首次发布的报价外币相对于人民币的现汇卖出价计算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704" w:type="dxa"/>
            <w:tcBorders>
              <w:bottom w:val="single" w:color="auto" w:sz="6" w:space="0"/>
            </w:tcBorders>
          </w:tcPr>
          <w:p>
            <w:pPr>
              <w:pStyle w:val="15"/>
              <w:numPr>
                <w:ilvl w:val="0"/>
                <w:numId w:val="3"/>
              </w:numPr>
              <w:rPr>
                <w:color w:val="FF0000"/>
              </w:rPr>
            </w:pPr>
          </w:p>
        </w:tc>
        <w:tc>
          <w:tcPr>
            <w:tcW w:w="8809" w:type="dxa"/>
            <w:tcBorders>
              <w:bottom w:val="single" w:color="auto" w:sz="6" w:space="0"/>
            </w:tcBorders>
          </w:tcPr>
          <w:p>
            <w:pPr>
              <w:pStyle w:val="34"/>
              <w:rPr>
                <w:b/>
                <w:color w:val="FF0000"/>
              </w:rPr>
            </w:pPr>
            <w:r>
              <w:rPr>
                <w:rFonts w:hint="eastAsia"/>
                <w:b/>
                <w:color w:val="FF0000"/>
              </w:rPr>
              <w:t>采购需求：</w:t>
            </w:r>
            <w:r>
              <w:rPr>
                <w:rFonts w:hint="eastAsia"/>
                <w:color w:val="FF0000"/>
              </w:rPr>
              <w:t>见附件3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704" w:type="dxa"/>
            <w:tcBorders>
              <w:top w:val="single" w:color="auto" w:sz="6" w:space="0"/>
              <w:left w:val="single" w:color="auto" w:sz="12" w:space="0"/>
              <w:bottom w:val="single" w:color="auto" w:sz="6" w:space="0"/>
              <w:right w:val="single" w:color="auto" w:sz="6" w:space="0"/>
            </w:tcBorders>
          </w:tcPr>
          <w:p>
            <w:pPr>
              <w:pStyle w:val="15"/>
              <w:numPr>
                <w:ilvl w:val="0"/>
                <w:numId w:val="3"/>
              </w:numPr>
              <w:ind w:left="63" w:leftChars="0"/>
            </w:pPr>
          </w:p>
        </w:tc>
        <w:tc>
          <w:tcPr>
            <w:tcW w:w="8809" w:type="dxa"/>
            <w:tcBorders>
              <w:top w:val="single" w:color="auto" w:sz="6" w:space="0"/>
              <w:left w:val="single" w:color="auto" w:sz="6" w:space="0"/>
              <w:bottom w:val="single" w:color="auto" w:sz="6" w:space="0"/>
              <w:right w:val="single" w:color="auto" w:sz="12" w:space="0"/>
            </w:tcBorders>
          </w:tcPr>
          <w:p>
            <w:pPr>
              <w:pStyle w:val="34"/>
              <w:rPr>
                <w:b/>
              </w:rPr>
            </w:pPr>
            <w:r>
              <w:rPr>
                <w:rFonts w:hint="eastAsia"/>
                <w:b/>
              </w:rPr>
              <w:t>代理服务费：</w:t>
            </w:r>
            <w:r>
              <w:rPr>
                <w:rFonts w:hint="eastAsia"/>
              </w:rPr>
              <w:t>本项目的代理服务费由成交人支付，支付标准以成交通知书中列明的成交金额为准（如成交金额的币种为外币，则以协商时间当日中国银行总行首次发布的报价外币相对于人民币的现汇卖出价换算为人民币），按《招标代理服务收费管理暂行办法》（计价格〔2002〕1980号、发改办价格〔2003〕857号）所规定的招标收费标准</w:t>
            </w:r>
            <w:r>
              <w:t>下浮</w:t>
            </w:r>
            <w:r>
              <w:rPr>
                <w:rFonts w:hint="eastAsia"/>
              </w:rPr>
              <w:t>33.27</w:t>
            </w:r>
            <w:r>
              <w:t>%</w:t>
            </w:r>
            <w:r>
              <w:rPr>
                <w:rFonts w:hint="eastAsia"/>
              </w:rPr>
              <w:t>计算。支付时间为收到成交通知书后十四（14）天内。如果成交人未按上述规定向招标代理支付代理服务费，招标代理有权不退还其保证金。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704" w:type="dxa"/>
            <w:tcBorders>
              <w:top w:val="single" w:color="auto" w:sz="6" w:space="0"/>
              <w:left w:val="single" w:color="auto" w:sz="12" w:space="0"/>
              <w:bottom w:val="single" w:color="auto" w:sz="12" w:space="0"/>
              <w:right w:val="single" w:color="auto" w:sz="6" w:space="0"/>
            </w:tcBorders>
          </w:tcPr>
          <w:p>
            <w:pPr>
              <w:pStyle w:val="15"/>
              <w:numPr>
                <w:ilvl w:val="0"/>
                <w:numId w:val="3"/>
              </w:numPr>
            </w:pPr>
          </w:p>
        </w:tc>
        <w:tc>
          <w:tcPr>
            <w:tcW w:w="8809" w:type="dxa"/>
            <w:tcBorders>
              <w:top w:val="single" w:color="auto" w:sz="6" w:space="0"/>
              <w:left w:val="single" w:color="auto" w:sz="6" w:space="0"/>
              <w:bottom w:val="single" w:color="auto" w:sz="12" w:space="0"/>
              <w:right w:val="single" w:color="auto" w:sz="12" w:space="0"/>
            </w:tcBorders>
          </w:tcPr>
          <w:p>
            <w:pPr>
              <w:pStyle w:val="34"/>
              <w:rPr>
                <w:b/>
              </w:rPr>
            </w:pPr>
            <w:r>
              <w:rPr>
                <w:rFonts w:hint="eastAsia"/>
                <w:b/>
              </w:rPr>
              <w:t>其他要求：</w:t>
            </w:r>
          </w:p>
          <w:p>
            <w:pPr>
              <w:pStyle w:val="34"/>
              <w:numPr>
                <w:ilvl w:val="0"/>
                <w:numId w:val="8"/>
              </w:numPr>
              <w:ind w:leftChars="0"/>
            </w:pPr>
            <w:r>
              <w:rPr>
                <w:rFonts w:hint="eastAsia"/>
              </w:rPr>
              <w:t>报价文件应采用胶装方式装订成册，装订应牢固、不易拆散和换页，不采用活页装订，不出现纸质材料以外的装订材料（如金属材质及塑料材质等）。报价文件应编制目录及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tc>
      </w:tr>
    </w:tbl>
    <w:p/>
    <w:p>
      <w:r>
        <w:br w:type="page"/>
      </w:r>
    </w:p>
    <w:p>
      <w:r>
        <w:t>附件1：</w:t>
      </w:r>
    </w:p>
    <w:p>
      <w:pPr>
        <w:pStyle w:val="30"/>
        <w:rPr>
          <w:rFonts w:ascii="Times New Roman"/>
        </w:rPr>
      </w:pPr>
      <w:bookmarkStart w:id="38" w:name="_Toc512602432"/>
      <w:bookmarkStart w:id="39" w:name="_Toc503130788"/>
      <w:bookmarkStart w:id="40" w:name="_Toc503130727"/>
      <w:bookmarkStart w:id="41" w:name="_Toc495406857"/>
      <w:bookmarkStart w:id="42" w:name="_Toc495398054"/>
      <w:bookmarkStart w:id="43" w:name="_Toc495398004"/>
      <w:bookmarkStart w:id="44" w:name="_Toc491700924"/>
      <w:r>
        <w:rPr>
          <w:rFonts w:ascii="Times New Roman"/>
        </w:rPr>
        <w:t>上海国际招标有限公司投标保证金提交和退还操作须知</w:t>
      </w:r>
      <w:bookmarkEnd w:id="38"/>
      <w:bookmarkEnd w:id="39"/>
      <w:bookmarkEnd w:id="40"/>
      <w:bookmarkEnd w:id="41"/>
      <w:bookmarkEnd w:id="42"/>
      <w:bookmarkEnd w:id="43"/>
      <w:bookmarkEnd w:id="44"/>
    </w:p>
    <w:p>
      <w:pPr>
        <w:jc w:val="center"/>
      </w:pPr>
      <w:r>
        <w:rPr>
          <w:rFonts w:hint="eastAsia"/>
        </w:rPr>
        <w:t>（2020版）</w:t>
      </w:r>
    </w:p>
    <w:p>
      <w:r>
        <w:rPr>
          <w:rFonts w:hint="eastAsia"/>
        </w:rPr>
        <w:t>1</w:t>
      </w:r>
      <w:r>
        <w:rPr>
          <w:rFonts w:hint="eastAsia"/>
        </w:rPr>
        <w:tab/>
      </w:r>
      <w:r>
        <w:rPr>
          <w:rFonts w:hint="eastAsia"/>
        </w:rPr>
        <w:t>接收投标保证金的银行账户信息</w:t>
      </w:r>
    </w:p>
    <w:p>
      <w:r>
        <w:rPr>
          <w:rFonts w:hint="eastAsia"/>
        </w:rPr>
        <w:t>1.1</w:t>
      </w:r>
      <w:r>
        <w:rPr>
          <w:rFonts w:hint="eastAsia"/>
        </w:rPr>
        <w:tab/>
      </w:r>
      <w:r>
        <w:rPr>
          <w:rFonts w:hint="eastAsia"/>
        </w:rPr>
        <w:t>通过境内账户用人民币形式提交投标保证金银行账户信息</w:t>
      </w:r>
    </w:p>
    <w:p>
      <w:r>
        <w:rPr>
          <w:rFonts w:hint="eastAsia"/>
        </w:rPr>
        <w:t>（1）</w:t>
      </w:r>
      <w:r>
        <w:rPr>
          <w:rFonts w:hint="eastAsia"/>
        </w:rPr>
        <w:tab/>
      </w:r>
      <w:r>
        <w:rPr>
          <w:rFonts w:hint="eastAsia"/>
        </w:rPr>
        <w:t>开户银行：招商银行股份有限公司上海曹家渡支行</w:t>
      </w:r>
    </w:p>
    <w:p>
      <w:r>
        <w:rPr>
          <w:rFonts w:hint="eastAsia"/>
        </w:rPr>
        <w:t>（2）</w:t>
      </w:r>
      <w:r>
        <w:rPr>
          <w:rFonts w:hint="eastAsia"/>
        </w:rPr>
        <w:tab/>
      </w:r>
      <w:r>
        <w:rPr>
          <w:rFonts w:hint="eastAsia"/>
        </w:rPr>
        <w:t>户名：上海国际招标有限公司</w:t>
      </w:r>
    </w:p>
    <w:p>
      <w:r>
        <w:rPr>
          <w:rFonts w:hint="eastAsia"/>
        </w:rPr>
        <w:t>（3）</w:t>
      </w:r>
      <w:r>
        <w:rPr>
          <w:rFonts w:hint="eastAsia"/>
        </w:rPr>
        <w:tab/>
      </w:r>
      <w:r>
        <w:rPr>
          <w:rFonts w:hint="eastAsia"/>
        </w:rPr>
        <w:t>账号：215080920510001</w:t>
      </w:r>
    </w:p>
    <w:p>
      <w:r>
        <w:rPr>
          <w:rFonts w:hint="eastAsia"/>
        </w:rPr>
        <w:t>1.2</w:t>
      </w:r>
      <w:r>
        <w:rPr>
          <w:rFonts w:hint="eastAsia"/>
        </w:rPr>
        <w:tab/>
      </w:r>
      <w:r>
        <w:rPr>
          <w:rFonts w:hint="eastAsia"/>
        </w:rPr>
        <w:t>通过境外账户用外币或人民币形式提交投标保证金的银行账户信息</w:t>
      </w:r>
    </w:p>
    <w:p>
      <w:r>
        <w:rPr>
          <w:rFonts w:hint="eastAsia"/>
        </w:rPr>
        <w:t>（1）</w:t>
      </w:r>
      <w:r>
        <w:rPr>
          <w:rFonts w:hint="eastAsia"/>
        </w:rPr>
        <w:tab/>
      </w:r>
      <w:r>
        <w:rPr>
          <w:rFonts w:hint="eastAsia"/>
        </w:rPr>
        <w:t>收款人开户银行：(ACCOUNT WITH INSTITUTION)</w:t>
      </w:r>
    </w:p>
    <w:p>
      <w:r>
        <w:rPr>
          <w:rFonts w:hint="eastAsia"/>
        </w:rPr>
        <w:t>（a）</w:t>
      </w:r>
      <w:r>
        <w:rPr>
          <w:rFonts w:hint="eastAsia"/>
        </w:rPr>
        <w:tab/>
      </w:r>
      <w:r>
        <w:rPr>
          <w:rFonts w:hint="eastAsia"/>
        </w:rPr>
        <w:t>Bank: CHINA GUANGFA BANK, H.O.</w:t>
      </w:r>
    </w:p>
    <w:p>
      <w:r>
        <w:rPr>
          <w:rFonts w:hint="eastAsia"/>
        </w:rPr>
        <w:t>（b）</w:t>
      </w:r>
      <w:r>
        <w:rPr>
          <w:rFonts w:hint="eastAsia"/>
        </w:rPr>
        <w:tab/>
      </w:r>
      <w:r>
        <w:rPr>
          <w:rFonts w:hint="eastAsia"/>
        </w:rPr>
        <w:t>Swift Code: GDBKCN22</w:t>
      </w:r>
    </w:p>
    <w:p>
      <w:r>
        <w:rPr>
          <w:rFonts w:hint="eastAsia"/>
        </w:rPr>
        <w:t>（c）</w:t>
      </w:r>
      <w:r>
        <w:rPr>
          <w:rFonts w:hint="eastAsia"/>
        </w:rPr>
        <w:tab/>
      </w:r>
      <w:r>
        <w:rPr>
          <w:rFonts w:hint="eastAsia"/>
        </w:rPr>
        <w:t>Address: No.713 EAST DONGFENG RD. YUEXIU DISTRICT, GUANGZHOU, GUANGDONG PROVINCE CHINA CHN</w:t>
      </w:r>
    </w:p>
    <w:p>
      <w:r>
        <w:rPr>
          <w:rFonts w:hint="eastAsia"/>
        </w:rPr>
        <w:t>（2）</w:t>
      </w:r>
      <w:r>
        <w:rPr>
          <w:rFonts w:hint="eastAsia"/>
        </w:rPr>
        <w:tab/>
      </w:r>
      <w:r>
        <w:rPr>
          <w:rFonts w:hint="eastAsia"/>
        </w:rPr>
        <w:t>收款人名称、地址和账号：(BENEFICIARY)</w:t>
      </w:r>
    </w:p>
    <w:p>
      <w:r>
        <w:rPr>
          <w:rFonts w:hint="eastAsia"/>
        </w:rPr>
        <w:t>（a）</w:t>
      </w:r>
      <w:r>
        <w:rPr>
          <w:rFonts w:hint="eastAsia"/>
        </w:rPr>
        <w:tab/>
      </w:r>
      <w:r>
        <w:rPr>
          <w:rFonts w:hint="eastAsia"/>
        </w:rPr>
        <w:t>Beneficiary: Shanghai International Tendering Co., Ltd.</w:t>
      </w:r>
    </w:p>
    <w:p>
      <w:r>
        <w:rPr>
          <w:rFonts w:hint="eastAsia"/>
        </w:rPr>
        <w:t>（b）</w:t>
      </w:r>
      <w:r>
        <w:rPr>
          <w:rFonts w:hint="eastAsia"/>
        </w:rPr>
        <w:tab/>
      </w:r>
      <w:r>
        <w:rPr>
          <w:rFonts w:hint="eastAsia"/>
        </w:rPr>
        <w:t>Address: 14/F.358 Yan An Road(W), Shanghai 200040, P.R.China</w:t>
      </w:r>
    </w:p>
    <w:p>
      <w:r>
        <w:rPr>
          <w:rFonts w:hint="eastAsia"/>
        </w:rPr>
        <w:t>（c）</w:t>
      </w:r>
      <w:r>
        <w:rPr>
          <w:rFonts w:hint="eastAsia"/>
        </w:rPr>
        <w:tab/>
      </w:r>
      <w:r>
        <w:rPr>
          <w:rFonts w:hint="eastAsia"/>
        </w:rPr>
        <w:t>A/C No.: 9550880025773600153(CNY)   CNAPS:306290003671</w:t>
      </w:r>
    </w:p>
    <w:p>
      <w:r>
        <w:rPr>
          <w:rFonts w:hint="eastAsia"/>
        </w:rPr>
        <w:t>（d）</w:t>
      </w:r>
      <w:r>
        <w:rPr>
          <w:rFonts w:hint="eastAsia"/>
        </w:rPr>
        <w:tab/>
      </w:r>
      <w:r>
        <w:rPr>
          <w:rFonts w:hint="eastAsia"/>
        </w:rPr>
        <w:t>A/C No.: 9550880025773600333(USD)</w:t>
      </w:r>
    </w:p>
    <w:p>
      <w:r>
        <w:rPr>
          <w:rFonts w:hint="eastAsia"/>
        </w:rPr>
        <w:t>（e）</w:t>
      </w:r>
      <w:r>
        <w:rPr>
          <w:rFonts w:hint="eastAsia"/>
        </w:rPr>
        <w:tab/>
      </w:r>
      <w:r>
        <w:rPr>
          <w:rFonts w:hint="eastAsia"/>
        </w:rPr>
        <w:t>A/C No.: 9550880025773600513(EUR)</w:t>
      </w:r>
    </w:p>
    <w:p>
      <w:r>
        <w:rPr>
          <w:rFonts w:hint="eastAsia"/>
        </w:rPr>
        <w:t>（f）</w:t>
      </w:r>
      <w:r>
        <w:rPr>
          <w:rFonts w:hint="eastAsia"/>
        </w:rPr>
        <w:tab/>
      </w:r>
      <w:r>
        <w:rPr>
          <w:rFonts w:hint="eastAsia"/>
        </w:rPr>
        <w:t>A/C No.: 9550880025773600423(JPY)</w:t>
      </w:r>
    </w:p>
    <w:p>
      <w:r>
        <w:rPr>
          <w:rFonts w:hint="eastAsia"/>
        </w:rPr>
        <w:t>2</w:t>
      </w:r>
      <w:r>
        <w:rPr>
          <w:rFonts w:hint="eastAsia"/>
        </w:rPr>
        <w:tab/>
      </w:r>
      <w:r>
        <w:rPr>
          <w:rFonts w:hint="eastAsia"/>
        </w:rPr>
        <w:t>提交投标保证金的地点和时间</w:t>
      </w:r>
    </w:p>
    <w:p>
      <w:r>
        <w:rPr>
          <w:rFonts w:hint="eastAsia"/>
        </w:rPr>
        <w:t>（1）</w:t>
      </w:r>
      <w:r>
        <w:rPr>
          <w:rFonts w:hint="eastAsia"/>
        </w:rPr>
        <w:tab/>
      </w:r>
      <w:r>
        <w:rPr>
          <w:rFonts w:hint="eastAsia"/>
        </w:rPr>
        <w:t>地点：中国上海延安西路358号美丽园大厦14楼1401室</w:t>
      </w:r>
    </w:p>
    <w:p>
      <w:r>
        <w:rPr>
          <w:rFonts w:hint="eastAsia"/>
        </w:rPr>
        <w:t>（2）</w:t>
      </w:r>
      <w:r>
        <w:rPr>
          <w:rFonts w:hint="eastAsia"/>
        </w:rPr>
        <w:tab/>
      </w:r>
      <w:r>
        <w:rPr>
          <w:rFonts w:hint="eastAsia"/>
        </w:rPr>
        <w:t>时间：中国境内每个法定工作日的正常工作时间（北京时间9:00时～11:30时和13:00时～16:30时）</w:t>
      </w:r>
    </w:p>
    <w:p>
      <w:r>
        <w:rPr>
          <w:rFonts w:hint="eastAsia"/>
        </w:rPr>
        <w:t>3</w:t>
      </w:r>
      <w:r>
        <w:rPr>
          <w:rFonts w:hint="eastAsia"/>
        </w:rPr>
        <w:tab/>
      </w:r>
      <w:r>
        <w:rPr>
          <w:rFonts w:hint="eastAsia"/>
        </w:rPr>
        <w:t>投标保证金的提交</w:t>
      </w:r>
    </w:p>
    <w:p>
      <w:r>
        <w:rPr>
          <w:rFonts w:hint="eastAsia"/>
        </w:rPr>
        <w:t>3.1</w:t>
      </w:r>
      <w:r>
        <w:rPr>
          <w:rFonts w:hint="eastAsia"/>
        </w:rPr>
        <w:tab/>
      </w:r>
      <w:r>
        <w:rPr>
          <w:rFonts w:hint="eastAsia"/>
        </w:rPr>
        <w:t>投标人可以采用网上支付、贷记凭证、电汇、银行本票、银行汇票、支票或银行保函的形式提交投标保证金。为提高效率，鼓励投标人用网上支付、贷记凭证或电汇方式提交投标保证金。</w:t>
      </w:r>
    </w:p>
    <w:p>
      <w:r>
        <w:rPr>
          <w:rFonts w:hint="eastAsia"/>
        </w:rPr>
        <w:t>3.2</w:t>
      </w:r>
      <w:r>
        <w:rPr>
          <w:rFonts w:hint="eastAsia"/>
        </w:rPr>
        <w:tab/>
      </w:r>
      <w:r>
        <w:rPr>
          <w:rFonts w:hint="eastAsia"/>
        </w:rPr>
        <w:t>中国境外（含中国台湾、香港和澳门地区，下同）的投标人也可以授权中国境内的某单位采用本须知第3.1条所列形式代替其提交投标保证金；或者通过一家在中国境内或境外信誉好的银行直接开具投标保证金银行保函（含备用信用证，下同）。当采用前一种方式提交时，投标人应在其投标文件中附有格式如本须知附件所示的授权书。</w:t>
      </w:r>
    </w:p>
    <w:p>
      <w:r>
        <w:rPr>
          <w:rFonts w:hint="eastAsia"/>
        </w:rPr>
        <w:t>3.3</w:t>
      </w:r>
      <w:r>
        <w:rPr>
          <w:rFonts w:hint="eastAsia"/>
        </w:rPr>
        <w:tab/>
      </w:r>
      <w:r>
        <w:rPr>
          <w:rFonts w:hint="eastAsia"/>
        </w:rPr>
        <w:t>当投标人为两家或两家以上单位组成的联合体时（前提是招标文件中未明确声明不接受联合体投标），应由联合体的一方或多方共同提交投标保证金（对于施工招标项目应由联合体的牵头人或联合体的各方提交投标保证金），且所提交的投标保证金应对联合体的所有成员均具有约束力（即只要有任一联合体成员在投标有效期内申明退出联合体，或在中标后不与招标人签订合同，或不按招标文件的规定提交履约保证金，或不按招标文件的规定向招标代理机构支付招标服务费，招标人和（或）招标代理机构均有权不退还全部投标保证金）。如果投标人不接受上述条件，必须在投标文件的“商务条款偏离表”或“商务条款响应/偏离表”中明确申明，否则视为接受。当由联合体的牵头人以联合体的名义提交投标保证金时，本须知中提及的投标人均指投标联合体的牵头人。</w:t>
      </w:r>
    </w:p>
    <w:p>
      <w:pPr>
        <w:rPr>
          <w:b/>
        </w:rPr>
      </w:pPr>
      <w:r>
        <w:rPr>
          <w:rFonts w:hint="eastAsia"/>
          <w:b/>
        </w:rPr>
        <w:t>3.4</w:t>
      </w:r>
      <w:r>
        <w:rPr>
          <w:rFonts w:hint="eastAsia"/>
          <w:b/>
        </w:rPr>
        <w:tab/>
      </w:r>
      <w:r>
        <w:rPr>
          <w:rFonts w:hint="eastAsia"/>
          <w:b/>
        </w:rPr>
        <w:t>依法必须进行招标项目境内投标人用现金（含网上支付、贷记凭证、电汇、银行本票、银行汇票）或支票形式提交的投标保证金，均须从其基本存款账户转出。其他招标项目是否有此要求详见具体项目的招标文件。</w:t>
      </w:r>
    </w:p>
    <w:p>
      <w:r>
        <w:rPr>
          <w:rFonts w:hint="eastAsia"/>
        </w:rPr>
        <w:t>3.5</w:t>
      </w:r>
      <w:r>
        <w:rPr>
          <w:rFonts w:hint="eastAsia"/>
        </w:rPr>
        <w:tab/>
      </w:r>
      <w:r>
        <w:rPr>
          <w:rFonts w:hint="eastAsia"/>
        </w:rPr>
        <w:t>当投标人用银行保函方式提交投标保证金时，保函的格式应采用招标文件中所附的“投标保证金银行保函格式”，或者采用事先为招标代理机构接受的其他格式；保函的有效期应满足招标文件“投标人须知”中的相关规定；保函的申请人应为投标人或本须知第3.2条所述的被授权人。</w:t>
      </w:r>
    </w:p>
    <w:p>
      <w:r>
        <w:rPr>
          <w:rFonts w:hint="eastAsia"/>
        </w:rPr>
        <w:t>3.6</w:t>
      </w:r>
      <w:r>
        <w:rPr>
          <w:rFonts w:hint="eastAsia"/>
        </w:rPr>
        <w:tab/>
      </w:r>
      <w:r>
        <w:rPr>
          <w:rFonts w:hint="eastAsia"/>
        </w:rPr>
        <w:t>投标人不得以现钞方式提交投标保证金，也不得用经过背书转让的支票、银行本票或银行汇票提交投标保证金。</w:t>
      </w:r>
    </w:p>
    <w:p>
      <w:r>
        <w:rPr>
          <w:rFonts w:hint="eastAsia"/>
        </w:rPr>
        <w:t>3.7</w:t>
      </w:r>
      <w:r>
        <w:rPr>
          <w:rFonts w:hint="eastAsia"/>
        </w:rPr>
        <w:tab/>
      </w:r>
      <w:r>
        <w:rPr>
          <w:rFonts w:hint="eastAsia"/>
        </w:rPr>
        <w:t>投标人应当按照下列方式办理投标保证金的提交手续：</w:t>
      </w:r>
    </w:p>
    <w:p>
      <w:r>
        <w:rPr>
          <w:rFonts w:hint="eastAsia"/>
        </w:rPr>
        <w:t>（1）</w:t>
      </w:r>
      <w:r>
        <w:rPr>
          <w:rFonts w:hint="eastAsia"/>
        </w:rPr>
        <w:tab/>
      </w:r>
      <w:r>
        <w:rPr>
          <w:rFonts w:hint="eastAsia"/>
        </w:rPr>
        <w:t>当采用网上支付、贷记凭证或电汇方式提交投标保证金时，应在招标文件规定的投标截止时间之前，将相应款项直接付至本须知第1条指定的账户（以实际到账时间为准，宜适当提前办理）；在汇款附言中请务必注明：“投标保证金：项目编号”（示例：“投标保证金：12300001”）。</w:t>
      </w:r>
    </w:p>
    <w:p>
      <w:r>
        <w:rPr>
          <w:rFonts w:hint="eastAsia"/>
        </w:rPr>
        <w:t>（2）</w:t>
      </w:r>
      <w:r>
        <w:rPr>
          <w:rFonts w:hint="eastAsia"/>
        </w:rPr>
        <w:tab/>
      </w:r>
      <w:r>
        <w:rPr>
          <w:rFonts w:hint="eastAsia"/>
        </w:rPr>
        <w:t>当采用银行本票或银行汇票方式提交投标保证金时，应在招标文件规定的投标截止时间之前，委派代表携带银行本票或银行汇票，到本须知第2条的指定地点办理投标保证金提交手续；在办理过程中，投标人代表须向招标代理机构的经办人明确申明项目编号等信息。</w:t>
      </w:r>
    </w:p>
    <w:p>
      <w:r>
        <w:rPr>
          <w:rFonts w:hint="eastAsia"/>
        </w:rPr>
        <w:t>（3）</w:t>
      </w:r>
      <w:r>
        <w:rPr>
          <w:rFonts w:hint="eastAsia"/>
        </w:rPr>
        <w:tab/>
      </w:r>
      <w:r>
        <w:rPr>
          <w:rFonts w:hint="eastAsia"/>
        </w:rPr>
        <w:t>当采用支票方式提交投标保证金时，应在招标文件规定的投标截止时间的5个工日之前，委派代表携带支票，到本须知第2条的指定地点办理投标保证金提交手续；在办理过程中，在办理过程中，投标人代表须向招标代理机构的经办人明确申明项目编号等信息；投标人应保证提交的支票不是空头支票和不被银行退票，否则，在评标时将被视为未按规定提交投标保证金处理。</w:t>
      </w:r>
    </w:p>
    <w:p>
      <w:r>
        <w:rPr>
          <w:rFonts w:hint="eastAsia"/>
        </w:rPr>
        <w:t>（4）</w:t>
      </w:r>
      <w:r>
        <w:rPr>
          <w:rFonts w:hint="eastAsia"/>
        </w:rPr>
        <w:tab/>
      </w:r>
      <w:r>
        <w:rPr>
          <w:rFonts w:hint="eastAsia"/>
        </w:rPr>
        <w:t>当投标人选投一个招标项目的多个包件或标段时，必须在投标文件中用表格或其他方式清晰注明每个包件或标段的投标保证金金额。如投标人未在投标文件中注明其所投各包件或标段的投标保证金金额，且合计的保证金金额又不足时，评标委员会将按其所投全部包件或标段的投标保证金均不符合要求来处理。</w:t>
      </w:r>
    </w:p>
    <w:p>
      <w:r>
        <w:rPr>
          <w:rFonts w:hint="eastAsia"/>
        </w:rPr>
        <w:t>3.8</w:t>
      </w:r>
      <w:r>
        <w:rPr>
          <w:rFonts w:hint="eastAsia"/>
        </w:rPr>
        <w:tab/>
      </w:r>
      <w:r>
        <w:rPr>
          <w:rFonts w:hint="eastAsia"/>
        </w:rPr>
        <w:t>投标人应将投标保证金支付单据的打印件或复印件封装在装有“投标一览表”（或“开标一览表”或“投标信息汇总表”）的小信封中，或者装订在正本投标文件的“投标函”（或“投标书”）之后。</w:t>
      </w:r>
    </w:p>
    <w:p>
      <w:r>
        <w:rPr>
          <w:rFonts w:hint="eastAsia"/>
        </w:rPr>
        <w:t>3.9</w:t>
      </w:r>
      <w:r>
        <w:rPr>
          <w:rFonts w:hint="eastAsia"/>
        </w:rPr>
        <w:tab/>
      </w:r>
      <w:r>
        <w:rPr>
          <w:rFonts w:hint="eastAsia"/>
        </w:rPr>
        <w:t>原则上“投标保证金收据”均采用电子收据版本，如投标人有特殊需求需要纸质版本，请与招标代理机构的项目负责人联系。当投标人收取了纸质版的“投标保证金收据”，且采用网上支付、贷记凭证、电汇、银行本票、银行汇票或支票方式提交投标保证金时，投标人应妥善保存该收据的原件，在办理投标保证金退还手续时，该收据的原件将作为退还凭证。</w:t>
      </w:r>
    </w:p>
    <w:p>
      <w:r>
        <w:rPr>
          <w:rFonts w:hint="eastAsia"/>
        </w:rPr>
        <w:t>3.10</w:t>
      </w:r>
      <w:r>
        <w:rPr>
          <w:rFonts w:hint="eastAsia"/>
        </w:rPr>
        <w:tab/>
      </w:r>
      <w:r>
        <w:rPr>
          <w:rFonts w:hint="eastAsia"/>
        </w:rPr>
        <w:t>对采用银行保函方式提交投标保证金的情况，投标人应将保函正本封装在装有“投标一览表”（或“开标一览表”或“投标信息汇总表”）的小信封中，或者装订在正本投标文件的“投标函”（或“投标书”）之后；采用电子投标时，银行保函的正本应在投标截止时间之前寄达招标代理机构项目负责人。</w:t>
      </w:r>
    </w:p>
    <w:p>
      <w:r>
        <w:rPr>
          <w:rFonts w:hint="eastAsia"/>
        </w:rPr>
        <w:t>4</w:t>
      </w:r>
      <w:r>
        <w:rPr>
          <w:rFonts w:hint="eastAsia"/>
        </w:rPr>
        <w:tab/>
      </w:r>
      <w:r>
        <w:rPr>
          <w:rFonts w:hint="eastAsia"/>
        </w:rPr>
        <w:t>投标保证金的退还</w:t>
      </w:r>
    </w:p>
    <w:p>
      <w:r>
        <w:rPr>
          <w:rFonts w:hint="eastAsia"/>
        </w:rPr>
        <w:t>4.1</w:t>
      </w:r>
      <w:r>
        <w:rPr>
          <w:rFonts w:hint="eastAsia"/>
        </w:rPr>
        <w:tab/>
      </w:r>
      <w:r>
        <w:rPr>
          <w:rFonts w:hint="eastAsia"/>
        </w:rPr>
        <w:t>在具备向中标人发出中标通知书的条件之后，招标人和（或）招标代理机构将向中标人发出“中标通知书”，在未发生招标文件规定的招标人和（或）招标代理机构有权不退还投标保证金的情况时，中标人应按下列方式办理投标保证金退还手续：</w:t>
      </w:r>
    </w:p>
    <w:p>
      <w:r>
        <w:rPr>
          <w:rFonts w:hint="eastAsia"/>
        </w:rPr>
        <w:t>（1）</w:t>
      </w:r>
      <w:r>
        <w:rPr>
          <w:rFonts w:hint="eastAsia"/>
        </w:rPr>
        <w:tab/>
      </w:r>
      <w:r>
        <w:rPr>
          <w:rFonts w:hint="eastAsia"/>
        </w:rPr>
        <w:t>中标人代表携带本须知第3.9条中提及的纸质版“投标保证金收据”原件、中标人与招标人签署的中标合同（正本或副本）或招标人开具的中标合同项下的履约保证金收据复印件（当招标文件未要求中标人提交履约保证金时，须提供中标人与招标人签署的中标合同），到本须知第2条的指定地点办理投标保证金退还手续。</w:t>
      </w:r>
    </w:p>
    <w:p>
      <w:r>
        <w:rPr>
          <w:rFonts w:hint="eastAsia"/>
        </w:rPr>
        <w:t>4.2</w:t>
      </w:r>
      <w:r>
        <w:rPr>
          <w:rFonts w:hint="eastAsia"/>
        </w:rPr>
        <w:tab/>
      </w:r>
      <w:r>
        <w:rPr>
          <w:rFonts w:hint="eastAsia"/>
        </w:rPr>
        <w:t>在具备向中标人发出中标通知书的条件之后，招标人和招标代理机构将向未中标人发出“中标结果通知书”（或“未中标通知书”，下同），在未发生招标文件规定的招标人和（或）招标代理机构有权不退还投标保证金的情况时，未中标人应按下列方式办理投标保证金退还手续：</w:t>
      </w:r>
    </w:p>
    <w:p>
      <w:r>
        <w:rPr>
          <w:rFonts w:hint="eastAsia"/>
        </w:rPr>
        <w:t>（1）</w:t>
      </w:r>
      <w:r>
        <w:rPr>
          <w:rFonts w:hint="eastAsia"/>
        </w:rPr>
        <w:tab/>
      </w:r>
      <w:r>
        <w:rPr>
          <w:rFonts w:hint="eastAsia"/>
        </w:rPr>
        <w:t>在收到“中标结果通知书”后马上填写“中标结果通知书回执”，并在加盖公章后尽快以扫描邮件方式或传真发给招标代理机构的项目负责人。</w:t>
      </w:r>
    </w:p>
    <w:p>
      <w:r>
        <w:rPr>
          <w:rFonts w:hint="eastAsia"/>
        </w:rPr>
        <w:t>（2）</w:t>
      </w:r>
      <w:r>
        <w:rPr>
          <w:rFonts w:hint="eastAsia"/>
        </w:rPr>
        <w:tab/>
      </w:r>
      <w:r>
        <w:rPr>
          <w:rFonts w:hint="eastAsia"/>
        </w:rPr>
        <w:t>未中标人代表携带加盖公章的“中标结果通知书回执”原件、本须知第3.9条中提及的纸质版“投标保证金收据”原件，到本须知第2条的指定地点办理投标保证金退还手续。</w:t>
      </w:r>
    </w:p>
    <w:p>
      <w:r>
        <w:rPr>
          <w:rFonts w:hint="eastAsia"/>
        </w:rPr>
        <w:t>4.3</w:t>
      </w:r>
      <w:r>
        <w:rPr>
          <w:rFonts w:hint="eastAsia"/>
        </w:rPr>
        <w:tab/>
      </w:r>
      <w:r>
        <w:rPr>
          <w:rFonts w:hint="eastAsia"/>
        </w:rPr>
        <w:t>招标代理机构原则上将采用网上支付方式将投标保证金退还到提交该保证金时的汇出银行账户，或者用支票方式退还给“投标保证金收据”中注明的投标人。</w:t>
      </w:r>
    </w:p>
    <w:p>
      <w:r>
        <w:rPr>
          <w:rFonts w:hint="eastAsia"/>
        </w:rPr>
        <w:t>4.4</w:t>
      </w:r>
      <w:r>
        <w:rPr>
          <w:rFonts w:hint="eastAsia"/>
        </w:rPr>
        <w:tab/>
      </w:r>
      <w:r>
        <w:rPr>
          <w:rFonts w:hint="eastAsia"/>
        </w:rPr>
        <w:t>对采用网上支付、贷记凭证、电汇、银行本票、银行汇票或支票方式提交的投标保证金，在退还的同时还将按中国人民银行公布的人民币活期存款利率向投标人支付其在“中标结果通知书回执”或“中标结果通知书回执”中确认的投标保证金利息。</w:t>
      </w:r>
    </w:p>
    <w:p>
      <w:r>
        <w:rPr>
          <w:rFonts w:hint="eastAsia"/>
        </w:rPr>
        <w:t>4.5</w:t>
      </w:r>
      <w:r>
        <w:rPr>
          <w:rFonts w:hint="eastAsia"/>
        </w:rPr>
        <w:tab/>
      </w:r>
      <w:r>
        <w:rPr>
          <w:rFonts w:hint="eastAsia"/>
        </w:rPr>
        <w:t>对采用银行保函形式提交的投标保证金，将只退还保函正本（备用信用证不予退还），不支付投标保证金利息。</w:t>
      </w:r>
    </w:p>
    <w:p>
      <w:r>
        <w:rPr>
          <w:rFonts w:hint="eastAsia"/>
        </w:rPr>
        <w:t>5</w:t>
      </w:r>
      <w:r>
        <w:rPr>
          <w:rFonts w:hint="eastAsia"/>
        </w:rPr>
        <w:tab/>
      </w:r>
      <w:r>
        <w:rPr>
          <w:rFonts w:hint="eastAsia"/>
        </w:rPr>
        <w:t>其他</w:t>
      </w:r>
    </w:p>
    <w:p>
      <w:r>
        <w:rPr>
          <w:rFonts w:hint="eastAsia"/>
        </w:rPr>
        <w:t>5.1</w:t>
      </w:r>
      <w:r>
        <w:rPr>
          <w:rFonts w:hint="eastAsia"/>
        </w:rPr>
        <w:tab/>
      </w:r>
      <w:r>
        <w:rPr>
          <w:rFonts w:hint="eastAsia"/>
        </w:rPr>
        <w:t>本须知如被具体招标项目的招标文件所引用，即成为该招标文件“投标人须知”的组成部分。如投标人欲对本须知中的相关内容作进一步咨询，可按招标文件“投标人须知”的相关规定以书面形式向招标代理机构提出，也可打电话向招标文件中列明的招标代理机构的项目负责人咨询。</w:t>
      </w:r>
    </w:p>
    <w:p>
      <w:r>
        <w:rPr>
          <w:rFonts w:hint="eastAsia"/>
        </w:rPr>
        <w:t>5.2</w:t>
      </w:r>
      <w:r>
        <w:rPr>
          <w:rFonts w:hint="eastAsia"/>
        </w:rPr>
        <w:tab/>
      </w:r>
      <w:r>
        <w:rPr>
          <w:rFonts w:hint="eastAsia"/>
        </w:rPr>
        <w:t>对竞争性谈判、竞争性磋商、询价或比选等非招标采购项目，如果在竞争性谈判文件、竞争性磋商文件、询价通知书或比选文件等采购文件中要求供应商提交保证金（或者称为谈判响应保证金、磋商保证金、报价保证金或比选保证金等），则一旦在竞争性谈判文件、竞争性磋商文件、询价文件或比选文件等采购文件中引用了本须知，则表示本须知有关投标保证金提交和退还的规定将同样适用于对应的竞争性谈判、竞争性磋商、询价或比选等采购项目。此时，本须知中的“招标文件”应理解为“采购文件（也可分别理解为“谈判文件”、“磋商文件”、“询价通知书”或“比选文件”等）；“投标人”应理解为参加谈判、磋商或报价的“供应商”；“投标文件”应理解为“响应文件”；“投标保证金”应理解为“保证金”（也可理解为“谈判保证金”、“磋商保证金”、“报价保证金”或“比选保证金”等）；“评标委员会”应理解为“评审委员会”（也可理解为“谈判小组”、“磋商小组”、“询价小组”或“比选小组”等）；“评标”应理解为“评审”；“中标”应理解为“成交”。</w:t>
      </w:r>
    </w:p>
    <w:p>
      <w:pPr>
        <w:widowControl/>
        <w:jc w:val="left"/>
      </w:pPr>
      <w:r>
        <w:rPr>
          <w:rFonts w:hint="eastAsia"/>
        </w:rPr>
        <w:t>5.3</w:t>
      </w:r>
      <w:r>
        <w:rPr>
          <w:rFonts w:hint="eastAsia"/>
        </w:rPr>
        <w:tab/>
      </w:r>
      <w:r>
        <w:rPr>
          <w:rFonts w:hint="eastAsia"/>
        </w:rPr>
        <w:t>对于因不可抗力等原因导致投标保证金未及时到账等情况，招标人和招标代理机构不承担任何责任。</w:t>
      </w:r>
      <w:r>
        <w:br w:type="page"/>
      </w:r>
    </w:p>
    <w:p>
      <w:r>
        <w:t>附件</w:t>
      </w:r>
      <w:r>
        <w:rPr>
          <w:rFonts w:hint="eastAsia"/>
        </w:rPr>
        <w:t>2</w:t>
      </w:r>
      <w:r>
        <w:t>：</w:t>
      </w:r>
      <w:r>
        <w:rPr>
          <w:rFonts w:hint="eastAsia"/>
        </w:rPr>
        <w:t>各种格式</w:t>
      </w:r>
    </w:p>
    <w:p>
      <w:pPr>
        <w:pStyle w:val="30"/>
        <w:rPr>
          <w:rFonts w:ascii="Times New Roman"/>
        </w:rPr>
      </w:pPr>
      <w:bookmarkStart w:id="45" w:name="_Toc503130795"/>
      <w:bookmarkStart w:id="46" w:name="_Toc512602452"/>
      <w:bookmarkStart w:id="47" w:name="_Toc503130734"/>
      <w:bookmarkStart w:id="48" w:name="_Toc503130411"/>
      <w:bookmarkStart w:id="49" w:name="_Toc495406864"/>
      <w:bookmarkStart w:id="50" w:name="_Toc491700931"/>
      <w:bookmarkStart w:id="51" w:name="_Toc450211807"/>
      <w:bookmarkStart w:id="52" w:name="_Toc389653601"/>
      <w:bookmarkStart w:id="53" w:name="_Toc389457529"/>
      <w:r>
        <w:rPr>
          <w:rFonts w:hint="eastAsia" w:ascii="Times New Roman"/>
        </w:rPr>
        <w:t>报价</w:t>
      </w:r>
      <w:r>
        <w:rPr>
          <w:rFonts w:ascii="Times New Roman"/>
        </w:rPr>
        <w:t>表</w:t>
      </w:r>
      <w:bookmarkEnd w:id="45"/>
      <w:bookmarkEnd w:id="46"/>
      <w:bookmarkEnd w:id="47"/>
      <w:bookmarkEnd w:id="48"/>
      <w:bookmarkEnd w:id="49"/>
      <w:bookmarkEnd w:id="50"/>
      <w:bookmarkEnd w:id="51"/>
      <w:bookmarkEnd w:id="52"/>
      <w:bookmarkEnd w:id="53"/>
    </w:p>
    <w:p>
      <w:pPr>
        <w:pStyle w:val="12"/>
      </w:pPr>
      <w:r>
        <w:rPr>
          <w:rFonts w:hint="eastAsia"/>
        </w:rPr>
        <w:t xml:space="preserve">          </w:t>
      </w:r>
      <w:r>
        <w:t xml:space="preserve">                                                  价格单位：元</w:t>
      </w:r>
    </w:p>
    <w:tbl>
      <w:tblPr>
        <w:tblStyle w:val="21"/>
        <w:tblW w:w="951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3559"/>
        <w:gridCol w:w="595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9513" w:type="dxa"/>
            <w:gridSpan w:val="2"/>
            <w:shd w:val="clear" w:color="auto" w:fill="auto"/>
            <w:vAlign w:val="center"/>
          </w:tcPr>
          <w:p>
            <w:pPr>
              <w:pStyle w:val="35"/>
              <w:jc w:val="both"/>
              <w:rPr>
                <w:rFonts w:ascii="Times New Roman"/>
              </w:rPr>
            </w:pPr>
            <w:r>
              <w:rPr>
                <w:rFonts w:ascii="Times New Roman"/>
              </w:rPr>
              <w:t>一、报价汇总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37" w:hRule="atLeast"/>
        </w:trPr>
        <w:tc>
          <w:tcPr>
            <w:tcW w:w="3559" w:type="dxa"/>
            <w:shd w:val="clear" w:color="auto" w:fill="auto"/>
            <w:vAlign w:val="center"/>
          </w:tcPr>
          <w:p>
            <w:pPr>
              <w:pStyle w:val="33"/>
              <w:rPr>
                <w:b/>
              </w:rPr>
            </w:pPr>
            <w:r>
              <w:rPr>
                <w:b/>
              </w:rPr>
              <w:t>总价（小写）</w:t>
            </w:r>
          </w:p>
        </w:tc>
        <w:tc>
          <w:tcPr>
            <w:tcW w:w="5954" w:type="dxa"/>
            <w:shd w:val="clear" w:color="auto" w:fill="auto"/>
            <w:vAlign w:val="center"/>
          </w:tcPr>
          <w:p>
            <w:pPr>
              <w:pStyle w:val="33"/>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37" w:hRule="atLeast"/>
        </w:trPr>
        <w:tc>
          <w:tcPr>
            <w:tcW w:w="3559" w:type="dxa"/>
            <w:shd w:val="clear" w:color="auto" w:fill="auto"/>
            <w:vAlign w:val="center"/>
          </w:tcPr>
          <w:p>
            <w:pPr>
              <w:pStyle w:val="33"/>
              <w:rPr>
                <w:b/>
              </w:rPr>
            </w:pPr>
            <w:r>
              <w:rPr>
                <w:b/>
              </w:rPr>
              <w:t>总价（大写）</w:t>
            </w:r>
          </w:p>
        </w:tc>
        <w:tc>
          <w:tcPr>
            <w:tcW w:w="5954" w:type="dxa"/>
            <w:shd w:val="clear" w:color="auto" w:fill="auto"/>
            <w:vAlign w:val="center"/>
          </w:tcPr>
          <w:p>
            <w:pPr>
              <w:pStyle w:val="33"/>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c>
          <w:tcPr>
            <w:tcW w:w="9513" w:type="dxa"/>
            <w:gridSpan w:val="2"/>
            <w:shd w:val="clear" w:color="auto" w:fill="auto"/>
            <w:vAlign w:val="center"/>
          </w:tcPr>
          <w:p>
            <w:pPr>
              <w:pStyle w:val="35"/>
              <w:jc w:val="both"/>
              <w:rPr>
                <w:rFonts w:ascii="Times New Roman"/>
              </w:rPr>
            </w:pPr>
            <w:r>
              <w:rPr>
                <w:rFonts w:ascii="Times New Roman"/>
              </w:rPr>
              <w:t>二、其他关键信息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80" w:hRule="atLeast"/>
        </w:trPr>
        <w:tc>
          <w:tcPr>
            <w:tcW w:w="3559" w:type="dxa"/>
            <w:shd w:val="clear" w:color="auto" w:fill="auto"/>
            <w:vAlign w:val="center"/>
          </w:tcPr>
          <w:p>
            <w:pPr>
              <w:pStyle w:val="33"/>
              <w:rPr>
                <w:b/>
              </w:rPr>
            </w:pPr>
            <w:r>
              <w:rPr>
                <w:b/>
              </w:rPr>
              <w:t>完成期限</w:t>
            </w:r>
          </w:p>
        </w:tc>
        <w:tc>
          <w:tcPr>
            <w:tcW w:w="5954" w:type="dxa"/>
            <w:shd w:val="clear" w:color="auto" w:fill="auto"/>
            <w:vAlign w:val="center"/>
          </w:tcPr>
          <w:p>
            <w:pPr>
              <w:pStyle w:val="33"/>
            </w:pPr>
          </w:p>
        </w:tc>
      </w:tr>
    </w:tbl>
    <w:p>
      <w:pPr>
        <w:pStyle w:val="12"/>
        <w:ind w:firstLine="0"/>
        <w:rPr>
          <w:sz w:val="21"/>
          <w:szCs w:val="21"/>
        </w:rPr>
      </w:pPr>
      <w:r>
        <w:rPr>
          <w:sz w:val="21"/>
          <w:szCs w:val="21"/>
        </w:rPr>
        <w:t>注：</w:t>
      </w:r>
    </w:p>
    <w:p>
      <w:pPr>
        <w:pStyle w:val="12"/>
        <w:ind w:firstLine="425"/>
        <w:rPr>
          <w:sz w:val="21"/>
          <w:szCs w:val="21"/>
        </w:rPr>
      </w:pPr>
      <w:r>
        <w:rPr>
          <w:sz w:val="21"/>
          <w:szCs w:val="21"/>
        </w:rPr>
        <w:t>1.</w:t>
      </w:r>
      <w:r>
        <w:rPr>
          <w:rFonts w:hint="eastAsia"/>
          <w:sz w:val="21"/>
          <w:szCs w:val="21"/>
        </w:rPr>
        <w:t xml:space="preserve"> 供应商应自拟分项报价表。</w:t>
      </w:r>
    </w:p>
    <w:p>
      <w:pPr>
        <w:pStyle w:val="12"/>
        <w:ind w:firstLine="425"/>
        <w:rPr>
          <w:sz w:val="21"/>
          <w:szCs w:val="21"/>
        </w:rPr>
      </w:pPr>
      <w:r>
        <w:rPr>
          <w:rFonts w:hint="eastAsia"/>
          <w:sz w:val="21"/>
          <w:szCs w:val="21"/>
        </w:rPr>
        <w:t>2</w:t>
      </w:r>
      <w:r>
        <w:rPr>
          <w:sz w:val="21"/>
          <w:szCs w:val="21"/>
        </w:rPr>
        <w:t>. 本表“其他关键信息”内的“完成期限”的定义</w:t>
      </w:r>
      <w:r>
        <w:rPr>
          <w:rFonts w:hint="eastAsia"/>
          <w:sz w:val="21"/>
          <w:szCs w:val="21"/>
        </w:rPr>
        <w:t>为：</w:t>
      </w:r>
      <w:r>
        <w:rPr>
          <w:sz w:val="21"/>
          <w:szCs w:val="21"/>
        </w:rPr>
        <w:t>对于货物采购项目一般应理解为交货期；对于设备供货加安装类项目一般应理为供货、安装、调试完毕，具备验收条件的完工期；对于服务类项目一般应理解为</w:t>
      </w:r>
      <w:r>
        <w:rPr>
          <w:rFonts w:hint="eastAsia"/>
          <w:sz w:val="21"/>
          <w:szCs w:val="21"/>
        </w:rPr>
        <w:t>服务</w:t>
      </w:r>
      <w:r>
        <w:rPr>
          <w:sz w:val="21"/>
          <w:szCs w:val="21"/>
        </w:rPr>
        <w:t>的完成期。</w:t>
      </w:r>
    </w:p>
    <w:p>
      <w:pPr>
        <w:pStyle w:val="12"/>
        <w:ind w:firstLine="425"/>
        <w:rPr>
          <w:sz w:val="21"/>
          <w:szCs w:val="21"/>
        </w:rPr>
      </w:pPr>
      <w:r>
        <w:rPr>
          <w:rFonts w:hint="eastAsia"/>
          <w:sz w:val="21"/>
          <w:szCs w:val="21"/>
        </w:rPr>
        <w:t>4. 供应商所填写的任一报价项的报价均应包括符合采购要求的与该报价项相关的所有费用（包括所有软硬件、服务费用等）。</w:t>
      </w:r>
    </w:p>
    <w:p>
      <w:pPr>
        <w:pStyle w:val="12"/>
        <w:tabs>
          <w:tab w:val="left" w:pos="5320"/>
        </w:tabs>
        <w:spacing w:beforeLines="150"/>
      </w:pPr>
      <w:r>
        <w:rPr>
          <w:rFonts w:hint="eastAsia"/>
        </w:rPr>
        <w:t>供应商</w:t>
      </w:r>
      <w:r>
        <w:t>授权代表签字：_________________</w:t>
      </w:r>
      <w:r>
        <w:tab/>
      </w:r>
      <w:r>
        <w:t>公章：_________________</w:t>
      </w:r>
    </w:p>
    <w:p>
      <w:pPr>
        <w:widowControl/>
        <w:jc w:val="left"/>
      </w:pPr>
      <w:r>
        <w:br w:type="page"/>
      </w:r>
    </w:p>
    <w:p>
      <w:pPr>
        <w:pStyle w:val="30"/>
        <w:rPr>
          <w:rFonts w:ascii="Times New Roman"/>
        </w:rPr>
      </w:pPr>
      <w:bookmarkStart w:id="54" w:name="_Toc495398020"/>
      <w:bookmarkStart w:id="55" w:name="_Toc495398070"/>
      <w:bookmarkStart w:id="56" w:name="_Toc503130438"/>
      <w:bookmarkStart w:id="57" w:name="_Toc503130743"/>
      <w:bookmarkStart w:id="58" w:name="_Toc503130804"/>
      <w:bookmarkStart w:id="59" w:name="_Toc512602479"/>
      <w:r>
        <w:rPr>
          <w:rFonts w:ascii="Times New Roman"/>
        </w:rPr>
        <w:t>营业执照</w:t>
      </w:r>
      <w:bookmarkEnd w:id="54"/>
      <w:bookmarkEnd w:id="55"/>
      <w:bookmarkEnd w:id="56"/>
      <w:bookmarkEnd w:id="57"/>
      <w:bookmarkEnd w:id="58"/>
      <w:bookmarkEnd w:id="59"/>
    </w:p>
    <w:p>
      <w:pPr>
        <w:jc w:val="center"/>
      </w:pPr>
      <w:r>
        <w:t>（复印件加盖公章）</w:t>
      </w:r>
    </w:p>
    <w:p/>
    <w:p/>
    <w:p/>
    <w:p>
      <w:pPr>
        <w:pStyle w:val="30"/>
        <w:rPr>
          <w:rFonts w:ascii="Times New Roman"/>
        </w:rPr>
      </w:pPr>
      <w:bookmarkStart w:id="60" w:name="_Toc495398021"/>
      <w:bookmarkStart w:id="61" w:name="_Toc495398071"/>
      <w:bookmarkStart w:id="62" w:name="_Toc503130439"/>
      <w:bookmarkStart w:id="63" w:name="_Toc503130744"/>
      <w:bookmarkStart w:id="64" w:name="_Toc503130805"/>
      <w:bookmarkStart w:id="65" w:name="_Toc512602480"/>
      <w:r>
        <w:rPr>
          <w:rFonts w:ascii="Times New Roman"/>
        </w:rPr>
        <w:t>保证金递交凭证</w:t>
      </w:r>
      <w:bookmarkEnd w:id="60"/>
      <w:bookmarkEnd w:id="61"/>
      <w:bookmarkEnd w:id="62"/>
      <w:bookmarkEnd w:id="63"/>
      <w:bookmarkEnd w:id="64"/>
      <w:bookmarkEnd w:id="65"/>
    </w:p>
    <w:p>
      <w:pPr>
        <w:jc w:val="center"/>
      </w:pPr>
      <w:r>
        <w:t>（提供递交凭证复印件加盖公章，如：汇款凭证、银行汇票等）</w:t>
      </w:r>
    </w:p>
    <w:p/>
    <w:p/>
    <w:p/>
    <w:p>
      <w:pPr>
        <w:pStyle w:val="30"/>
        <w:rPr>
          <w:rFonts w:ascii="Times New Roman"/>
        </w:rPr>
      </w:pPr>
      <w:bookmarkStart w:id="66" w:name="_Toc495398022"/>
      <w:bookmarkStart w:id="67" w:name="_Toc495398072"/>
      <w:bookmarkStart w:id="68" w:name="_Toc503130440"/>
      <w:bookmarkStart w:id="69" w:name="_Toc503130745"/>
      <w:bookmarkStart w:id="70" w:name="_Toc503130806"/>
      <w:bookmarkStart w:id="71" w:name="_Toc512602481"/>
      <w:r>
        <w:rPr>
          <w:rFonts w:ascii="Times New Roman"/>
        </w:rPr>
        <w:t>法定代表人授权书</w:t>
      </w:r>
      <w:bookmarkEnd w:id="66"/>
      <w:bookmarkEnd w:id="67"/>
      <w:bookmarkEnd w:id="68"/>
      <w:bookmarkEnd w:id="69"/>
      <w:bookmarkEnd w:id="70"/>
      <w:bookmarkEnd w:id="71"/>
    </w:p>
    <w:p>
      <w:pPr>
        <w:spacing w:afterLines="100"/>
        <w:jc w:val="center"/>
      </w:pPr>
      <w:r>
        <w:t>（若供应商为非法人企业，应参照此格式，由营业执照上的单位负责人签署此授权书）</w:t>
      </w:r>
    </w:p>
    <w:p>
      <w:pPr>
        <w:pStyle w:val="12"/>
        <w:spacing w:beforeLines="50"/>
      </w:pPr>
      <w:r>
        <w:t>本授权书声明：注册于</w:t>
      </w:r>
      <w:r>
        <w:rPr>
          <w:u w:val="single"/>
        </w:rPr>
        <w:t xml:space="preserve">                    </w:t>
      </w:r>
      <w:r>
        <w:t>的</w:t>
      </w:r>
      <w:r>
        <w:rPr>
          <w:u w:val="single"/>
        </w:rPr>
        <w:t xml:space="preserve">                  </w:t>
      </w:r>
      <w:r>
        <w:t>公司的在下面签字的</w:t>
      </w:r>
      <w:r>
        <w:rPr>
          <w:u w:val="single"/>
        </w:rPr>
        <w:t xml:space="preserve">                </w:t>
      </w:r>
      <w:r>
        <w:t>（法定代表人姓名、职务）代表本公司授权</w:t>
      </w:r>
      <w:r>
        <w:rPr>
          <w:u w:val="single"/>
        </w:rPr>
        <w:t xml:space="preserve">                </w:t>
      </w:r>
      <w:r>
        <w:t>（单位）的在下面签字的</w:t>
      </w:r>
      <w:r>
        <w:rPr>
          <w:u w:val="single"/>
        </w:rPr>
        <w:t xml:space="preserve">                      </w:t>
      </w:r>
      <w:r>
        <w:t>（被授权人的姓名、职务）为本公司的合法代理人，就</w:t>
      </w:r>
      <w:r>
        <w:rPr>
          <w:u w:val="single"/>
        </w:rPr>
        <w:t xml:space="preserve">                                      </w:t>
      </w:r>
      <w:r>
        <w:t>项目提交</w:t>
      </w:r>
      <w:r>
        <w:rPr>
          <w:rFonts w:hint="eastAsia"/>
        </w:rPr>
        <w:t>报价</w:t>
      </w:r>
      <w:r>
        <w:t>文件、澄清答复、谈判、签约、执行、完成和保修，并以本公司名义处理一切与之有关的事务。</w:t>
      </w:r>
    </w:p>
    <w:p>
      <w:pPr>
        <w:pStyle w:val="12"/>
      </w:pPr>
      <w:r>
        <w:t>本授权书于</w:t>
      </w:r>
      <w:r>
        <w:rPr>
          <w:u w:val="single"/>
        </w:rPr>
        <w:t xml:space="preserve">        </w:t>
      </w:r>
      <w:r>
        <w:t>年</w:t>
      </w:r>
      <w:r>
        <w:rPr>
          <w:u w:val="single"/>
        </w:rPr>
        <w:t xml:space="preserve">      </w:t>
      </w:r>
      <w:r>
        <w:t>月</w:t>
      </w:r>
      <w:r>
        <w:rPr>
          <w:u w:val="single"/>
        </w:rPr>
        <w:t xml:space="preserve">      </w:t>
      </w:r>
      <w:r>
        <w:t>日签字生效，有效期为</w:t>
      </w:r>
      <w:r>
        <w:rPr>
          <w:u w:val="single"/>
        </w:rPr>
        <w:t xml:space="preserve">    </w:t>
      </w:r>
      <w:r>
        <w:t>天。</w:t>
      </w:r>
    </w:p>
    <w:p>
      <w:pPr>
        <w:pStyle w:val="12"/>
      </w:pPr>
      <w:r>
        <w:t>特此声明。</w:t>
      </w:r>
    </w:p>
    <w:p>
      <w:pPr>
        <w:autoSpaceDE w:val="0"/>
        <w:autoSpaceDN w:val="0"/>
        <w:textAlignment w:val="bottom"/>
      </w:pPr>
    </w:p>
    <w:p>
      <w:pPr>
        <w:autoSpaceDE w:val="0"/>
        <w:autoSpaceDN w:val="0"/>
        <w:textAlignment w:val="bottom"/>
      </w:pPr>
      <w:bookmarkStart w:id="72" w:name="_Toc328309651"/>
      <w:r>
        <w:t>附：被授权人身份证复印件</w:t>
      </w:r>
      <w:bookmarkEnd w:id="72"/>
      <w:r>
        <w:t>。</w:t>
      </w:r>
    </w:p>
    <w:p>
      <w:pPr>
        <w:autoSpaceDE w:val="0"/>
        <w:autoSpaceDN w:val="0"/>
        <w:textAlignment w:val="bottom"/>
      </w:pPr>
    </w:p>
    <w:p>
      <w:pPr>
        <w:autoSpaceDE w:val="0"/>
        <w:autoSpaceDN w:val="0"/>
        <w:textAlignment w:val="bottom"/>
      </w:pPr>
    </w:p>
    <w:p>
      <w:pPr>
        <w:autoSpaceDE w:val="0"/>
        <w:autoSpaceDN w:val="0"/>
        <w:textAlignment w:val="bottom"/>
      </w:pPr>
    </w:p>
    <w:p>
      <w:pPr>
        <w:autoSpaceDE w:val="0"/>
        <w:autoSpaceDN w:val="0"/>
        <w:spacing w:after="160"/>
        <w:ind w:firstLine="3000"/>
        <w:textAlignment w:val="bottom"/>
      </w:pPr>
      <w:r>
        <w:t>授权代表签字</w:t>
      </w:r>
      <w:r>
        <w:rPr>
          <w:rFonts w:hint="eastAsia"/>
        </w:rPr>
        <w:t>或</w:t>
      </w:r>
      <w:r>
        <w:t>盖章：</w:t>
      </w:r>
      <w:r>
        <w:rPr>
          <w:u w:val="single"/>
        </w:rPr>
        <w:t xml:space="preserve">               </w:t>
      </w:r>
      <w:r>
        <w:rPr>
          <w:rFonts w:hint="eastAsia"/>
          <w:u w:val="single"/>
        </w:rPr>
        <w:t xml:space="preserve">  </w:t>
      </w:r>
      <w:r>
        <w:rPr>
          <w:u w:val="single"/>
        </w:rPr>
        <w:t xml:space="preserve">             </w:t>
      </w:r>
    </w:p>
    <w:p>
      <w:pPr>
        <w:autoSpaceDE w:val="0"/>
        <w:autoSpaceDN w:val="0"/>
        <w:spacing w:after="160"/>
        <w:ind w:firstLine="3000"/>
        <w:textAlignment w:val="bottom"/>
      </w:pPr>
      <w:r>
        <w:t>被授权人签字</w:t>
      </w:r>
      <w:r>
        <w:rPr>
          <w:rFonts w:hint="eastAsia"/>
        </w:rPr>
        <w:t>或</w:t>
      </w:r>
      <w:r>
        <w:t>盖章：</w:t>
      </w:r>
      <w:r>
        <w:rPr>
          <w:u w:val="single"/>
        </w:rPr>
        <w:t xml:space="preserve">                 </w:t>
      </w:r>
      <w:r>
        <w:rPr>
          <w:rFonts w:hint="eastAsia"/>
          <w:u w:val="single"/>
        </w:rPr>
        <w:t xml:space="preserve">  </w:t>
      </w:r>
      <w:r>
        <w:rPr>
          <w:u w:val="single"/>
        </w:rPr>
        <w:t xml:space="preserve">           </w:t>
      </w:r>
    </w:p>
    <w:p>
      <w:pPr>
        <w:autoSpaceDE w:val="0"/>
        <w:autoSpaceDN w:val="0"/>
        <w:spacing w:after="160"/>
        <w:ind w:firstLine="4196"/>
        <w:textAlignment w:val="bottom"/>
      </w:pPr>
      <w:r>
        <w:t>单位名称：</w:t>
      </w:r>
      <w:r>
        <w:rPr>
          <w:u w:val="single"/>
        </w:rPr>
        <w:t xml:space="preserve">                            </w:t>
      </w:r>
    </w:p>
    <w:p>
      <w:pPr>
        <w:autoSpaceDE w:val="0"/>
        <w:autoSpaceDN w:val="0"/>
        <w:spacing w:after="160"/>
        <w:ind w:firstLine="4196"/>
        <w:textAlignment w:val="bottom"/>
      </w:pPr>
      <w:r>
        <w:t>单位</w:t>
      </w:r>
      <w:r>
        <w:rPr>
          <w:rFonts w:hint="eastAsia"/>
        </w:rPr>
        <w:t>公章</w:t>
      </w:r>
      <w:r>
        <w:t>：</w:t>
      </w:r>
      <w:r>
        <w:rPr>
          <w:u w:val="single"/>
        </w:rPr>
        <w:t xml:space="preserve">                            </w:t>
      </w:r>
    </w:p>
    <w:p>
      <w:pPr>
        <w:pStyle w:val="30"/>
        <w:rPr>
          <w:rFonts w:ascii="Times New Roman"/>
        </w:rPr>
      </w:pPr>
      <w:r>
        <w:rPr>
          <w:rFonts w:ascii="Times New Roman"/>
        </w:rPr>
        <w:br w:type="page"/>
      </w:r>
      <w:bookmarkStart w:id="73" w:name="_Toc512602482"/>
      <w:bookmarkStart w:id="74" w:name="_Toc503130807"/>
      <w:bookmarkStart w:id="75" w:name="_Toc503130746"/>
      <w:bookmarkStart w:id="76" w:name="_Toc503130441"/>
      <w:bookmarkStart w:id="77" w:name="_Toc495398073"/>
      <w:bookmarkStart w:id="78" w:name="_Toc495398023"/>
      <w:r>
        <w:rPr>
          <w:rFonts w:ascii="Times New Roman"/>
        </w:rPr>
        <w:t>财务状况报告，依法缴纳税收和社会保障资金的相关材料</w:t>
      </w:r>
      <w:bookmarkEnd w:id="73"/>
      <w:bookmarkEnd w:id="74"/>
      <w:bookmarkEnd w:id="75"/>
      <w:bookmarkEnd w:id="76"/>
      <w:bookmarkEnd w:id="77"/>
      <w:bookmarkEnd w:id="78"/>
    </w:p>
    <w:p>
      <w:pPr>
        <w:jc w:val="center"/>
      </w:pPr>
      <w:r>
        <w:t>（复印件加盖公章）</w:t>
      </w:r>
    </w:p>
    <w:p>
      <w:pPr>
        <w:jc w:val="center"/>
      </w:pPr>
    </w:p>
    <w:p>
      <w:pPr>
        <w:pStyle w:val="2"/>
        <w:numPr>
          <w:ilvl w:val="0"/>
          <w:numId w:val="9"/>
        </w:numPr>
        <w:rPr>
          <w:rFonts w:ascii="Times New Roman"/>
        </w:rPr>
      </w:pPr>
      <w:bookmarkStart w:id="79" w:name="_Toc512602483"/>
      <w:bookmarkStart w:id="80" w:name="_Toc503130442"/>
      <w:r>
        <w:rPr>
          <w:rFonts w:ascii="Times New Roman"/>
        </w:rPr>
        <w:t>财务报告：</w:t>
      </w:r>
      <w:bookmarkEnd w:id="79"/>
      <w:bookmarkEnd w:id="80"/>
    </w:p>
    <w:p/>
    <w:p/>
    <w:p/>
    <w:p>
      <w:pPr>
        <w:pStyle w:val="2"/>
        <w:rPr>
          <w:rFonts w:ascii="Times New Roman"/>
        </w:rPr>
      </w:pPr>
      <w:bookmarkStart w:id="81" w:name="_Toc512602484"/>
      <w:bookmarkStart w:id="82" w:name="_Toc503130443"/>
      <w:r>
        <w:rPr>
          <w:rFonts w:ascii="Times New Roman"/>
        </w:rPr>
        <w:t>缴纳税收证明：</w:t>
      </w:r>
      <w:bookmarkEnd w:id="81"/>
      <w:bookmarkEnd w:id="82"/>
    </w:p>
    <w:p/>
    <w:p/>
    <w:p/>
    <w:p>
      <w:pPr>
        <w:pStyle w:val="2"/>
        <w:rPr>
          <w:rFonts w:ascii="Times New Roman"/>
        </w:rPr>
      </w:pPr>
      <w:bookmarkStart w:id="83" w:name="_Toc512602485"/>
      <w:bookmarkStart w:id="84" w:name="_Toc503130444"/>
      <w:r>
        <w:rPr>
          <w:rFonts w:ascii="Times New Roman"/>
        </w:rPr>
        <w:t>缴纳社保资金证明：</w:t>
      </w:r>
      <w:bookmarkEnd w:id="83"/>
      <w:bookmarkEnd w:id="84"/>
    </w:p>
    <w:p/>
    <w:p/>
    <w:p/>
    <w:p/>
    <w:p/>
    <w:p/>
    <w:p>
      <w:pPr>
        <w:pStyle w:val="30"/>
        <w:rPr>
          <w:rFonts w:ascii="Times New Roman"/>
        </w:rPr>
      </w:pPr>
      <w:bookmarkStart w:id="85" w:name="_Toc503130808"/>
      <w:bookmarkStart w:id="86" w:name="_Toc512602486"/>
      <w:bookmarkStart w:id="87" w:name="_Toc503130747"/>
      <w:bookmarkStart w:id="88" w:name="_Toc503130445"/>
      <w:bookmarkStart w:id="89" w:name="_Toc495398074"/>
      <w:bookmarkStart w:id="90" w:name="_Toc495398024"/>
      <w:r>
        <w:rPr>
          <w:rFonts w:ascii="Times New Roman"/>
        </w:rPr>
        <w:t>信用查询记录的相关材料</w:t>
      </w:r>
      <w:bookmarkEnd w:id="85"/>
      <w:bookmarkEnd w:id="86"/>
      <w:bookmarkEnd w:id="87"/>
      <w:bookmarkEnd w:id="88"/>
      <w:bookmarkEnd w:id="89"/>
      <w:bookmarkEnd w:id="90"/>
    </w:p>
    <w:p>
      <w:pPr>
        <w:jc w:val="center"/>
      </w:pPr>
      <w:r>
        <w:t>（复印件加盖公章）</w:t>
      </w:r>
    </w:p>
    <w:p>
      <w:pPr>
        <w:jc w:val="center"/>
      </w:pPr>
    </w:p>
    <w:p>
      <w:pPr>
        <w:pStyle w:val="2"/>
        <w:numPr>
          <w:ilvl w:val="0"/>
          <w:numId w:val="10"/>
        </w:numPr>
        <w:rPr>
          <w:rFonts w:ascii="Times New Roman"/>
        </w:rPr>
      </w:pPr>
      <w:bookmarkStart w:id="91" w:name="_Toc503130446"/>
      <w:bookmarkStart w:id="92" w:name="_Toc512602487"/>
      <w:r>
        <w:rPr>
          <w:rFonts w:ascii="Times New Roman"/>
        </w:rPr>
        <w:t>近三年未被国家财政部指定的“信用中国”网站（www.creditchina.gov.cn）、中国政府采购网（www.ccgp.gov.cn）等官方渠道列入失信被执行人、重大税收违法案件当事人名单或政府采购严重违法失信名单的网页截图：</w:t>
      </w:r>
      <w:bookmarkEnd w:id="91"/>
      <w:bookmarkEnd w:id="92"/>
    </w:p>
    <w:p>
      <w:pPr>
        <w:rPr>
          <w:rFonts w:eastAsia="黑体"/>
          <w:kern w:val="44"/>
        </w:rPr>
      </w:pPr>
    </w:p>
    <w:p>
      <w:pPr>
        <w:rPr>
          <w:rFonts w:eastAsia="黑体"/>
          <w:kern w:val="44"/>
        </w:rPr>
      </w:pPr>
    </w:p>
    <w:p/>
    <w:p/>
    <w:p>
      <w:pPr>
        <w:pStyle w:val="30"/>
        <w:rPr>
          <w:rFonts w:ascii="Times New Roman"/>
        </w:rPr>
      </w:pPr>
      <w:r>
        <w:rPr>
          <w:rFonts w:ascii="Times New Roman"/>
        </w:rPr>
        <w:br w:type="page"/>
      </w:r>
      <w:bookmarkStart w:id="93" w:name="_Toc495398025"/>
      <w:bookmarkStart w:id="94" w:name="_Toc512602488"/>
      <w:bookmarkStart w:id="95" w:name="_Toc503130809"/>
      <w:bookmarkStart w:id="96" w:name="_Toc503130748"/>
      <w:bookmarkStart w:id="97" w:name="_Toc503130448"/>
      <w:bookmarkStart w:id="98" w:name="_Toc495398075"/>
      <w:r>
        <w:rPr>
          <w:rFonts w:ascii="Times New Roman"/>
        </w:rPr>
        <w:t>具备履行合同所必需的设备和专业技术能力的证明</w:t>
      </w:r>
      <w:bookmarkEnd w:id="93"/>
      <w:bookmarkEnd w:id="94"/>
      <w:bookmarkEnd w:id="95"/>
      <w:bookmarkEnd w:id="96"/>
      <w:bookmarkEnd w:id="97"/>
      <w:bookmarkEnd w:id="98"/>
    </w:p>
    <w:p>
      <w:pPr>
        <w:autoSpaceDE w:val="0"/>
        <w:autoSpaceDN w:val="0"/>
        <w:spacing w:after="160"/>
        <w:textAlignment w:val="bottom"/>
      </w:pPr>
      <w:r>
        <w:rPr>
          <w:rFonts w:eastAsia="黑体"/>
        </w:rPr>
        <w:t>致：</w:t>
      </w:r>
      <w:r>
        <w:rPr>
          <w:rFonts w:eastAsia="黑体"/>
          <w:u w:val="single"/>
        </w:rPr>
        <w:t xml:space="preserve">                                 </w:t>
      </w:r>
      <w:r>
        <w:rPr>
          <w:rFonts w:eastAsia="黑体"/>
        </w:rPr>
        <w:t>（</w:t>
      </w:r>
      <w:r>
        <w:rPr>
          <w:rFonts w:hint="eastAsia" w:eastAsia="黑体"/>
        </w:rPr>
        <w:t>采购</w:t>
      </w:r>
      <w:r>
        <w:rPr>
          <w:rFonts w:eastAsia="黑体"/>
        </w:rPr>
        <w:t>人名称）</w:t>
      </w:r>
    </w:p>
    <w:p>
      <w:pPr>
        <w:pStyle w:val="12"/>
        <w:rPr>
          <w:szCs w:val="24"/>
        </w:rPr>
      </w:pPr>
      <w:r>
        <w:t>我们</w:t>
      </w:r>
      <w:r>
        <w:rPr>
          <w:u w:val="single"/>
        </w:rPr>
        <w:t xml:space="preserve">                 </w:t>
      </w:r>
      <w:r>
        <w:t>（</w:t>
      </w:r>
      <w:r>
        <w:rPr>
          <w:rFonts w:hint="eastAsia"/>
        </w:rPr>
        <w:t>供应商</w:t>
      </w:r>
      <w:r>
        <w:t>名称）是按中华人民共和国法律正式成立的一家公司，主要营业地点设在</w:t>
      </w:r>
      <w:r>
        <w:rPr>
          <w:u w:val="single"/>
        </w:rPr>
        <w:t xml:space="preserve">                  </w:t>
      </w:r>
      <w:r>
        <w:t>（</w:t>
      </w:r>
      <w:r>
        <w:rPr>
          <w:rFonts w:hint="eastAsia"/>
        </w:rPr>
        <w:t>供应商</w:t>
      </w:r>
      <w:r>
        <w:t>地址）。我司具备履行本项目合同所必需的设备和专业技术能力</w:t>
      </w:r>
      <w:r>
        <w:rPr>
          <w:szCs w:val="24"/>
        </w:rPr>
        <w:t>。</w:t>
      </w:r>
    </w:p>
    <w:p>
      <w:pPr>
        <w:pStyle w:val="12"/>
      </w:pPr>
      <w:r>
        <w:t>特此证明。</w:t>
      </w:r>
    </w:p>
    <w:p>
      <w:pPr>
        <w:pStyle w:val="12"/>
      </w:pPr>
    </w:p>
    <w:p>
      <w:pPr>
        <w:autoSpaceDE w:val="0"/>
        <w:autoSpaceDN w:val="0"/>
        <w:spacing w:after="160"/>
        <w:ind w:firstLine="3220"/>
        <w:jc w:val="right"/>
        <w:textAlignment w:val="bottom"/>
      </w:pPr>
      <w:r>
        <w:rPr>
          <w:rFonts w:hint="eastAsia"/>
        </w:rPr>
        <w:t>供应商</w:t>
      </w:r>
      <w:r>
        <w:t>名称：________________________</w:t>
      </w:r>
    </w:p>
    <w:p>
      <w:pPr>
        <w:autoSpaceDE w:val="0"/>
        <w:autoSpaceDN w:val="0"/>
        <w:spacing w:after="160"/>
        <w:ind w:firstLine="3220"/>
        <w:jc w:val="right"/>
        <w:textAlignment w:val="bottom"/>
      </w:pPr>
      <w:r>
        <w:t>公章：________________________</w:t>
      </w:r>
    </w:p>
    <w:p>
      <w:pPr>
        <w:autoSpaceDE w:val="0"/>
        <w:autoSpaceDN w:val="0"/>
        <w:spacing w:after="160"/>
        <w:ind w:firstLine="3220"/>
        <w:jc w:val="right"/>
        <w:textAlignment w:val="bottom"/>
      </w:pPr>
      <w:r>
        <w:rPr>
          <w:rFonts w:hint="eastAsia"/>
        </w:rPr>
        <w:t>供应商</w:t>
      </w:r>
      <w:r>
        <w:t>授权代表签字：________________________</w:t>
      </w:r>
    </w:p>
    <w:p>
      <w:pPr>
        <w:autoSpaceDE w:val="0"/>
        <w:autoSpaceDN w:val="0"/>
        <w:spacing w:after="160"/>
        <w:ind w:firstLine="3220"/>
        <w:jc w:val="right"/>
        <w:textAlignment w:val="bottom"/>
      </w:pPr>
      <w:r>
        <w:t>日期：</w:t>
      </w:r>
      <w:r>
        <w:rPr>
          <w:u w:val="single"/>
        </w:rPr>
        <w:t xml:space="preserve">        </w:t>
      </w:r>
      <w:r>
        <w:t>年</w:t>
      </w:r>
      <w:r>
        <w:rPr>
          <w:u w:val="single"/>
        </w:rPr>
        <w:t xml:space="preserve">     </w:t>
      </w:r>
      <w:r>
        <w:t>月</w:t>
      </w:r>
      <w:r>
        <w:rPr>
          <w:u w:val="single"/>
        </w:rPr>
        <w:t xml:space="preserve">     </w:t>
      </w:r>
      <w:r>
        <w:t>日</w:t>
      </w:r>
    </w:p>
    <w:p>
      <w:pPr>
        <w:autoSpaceDE w:val="0"/>
        <w:autoSpaceDN w:val="0"/>
        <w:spacing w:after="160"/>
        <w:ind w:firstLine="3220"/>
        <w:jc w:val="right"/>
        <w:textAlignment w:val="bottom"/>
      </w:pPr>
    </w:p>
    <w:p>
      <w:pPr>
        <w:autoSpaceDE w:val="0"/>
        <w:autoSpaceDN w:val="0"/>
        <w:spacing w:after="160"/>
        <w:ind w:firstLine="3220"/>
        <w:jc w:val="right"/>
        <w:textAlignment w:val="bottom"/>
      </w:pPr>
    </w:p>
    <w:p>
      <w:pPr>
        <w:pStyle w:val="30"/>
        <w:rPr>
          <w:rFonts w:ascii="Times New Roman"/>
        </w:rPr>
      </w:pPr>
      <w:bookmarkStart w:id="99" w:name="_Toc512602489"/>
      <w:bookmarkStart w:id="100" w:name="_Toc503130810"/>
      <w:bookmarkStart w:id="101" w:name="_Toc503130749"/>
      <w:bookmarkStart w:id="102" w:name="_Toc503130449"/>
      <w:bookmarkStart w:id="103" w:name="_Toc495398076"/>
      <w:bookmarkStart w:id="104" w:name="_Toc495398026"/>
      <w:r>
        <w:rPr>
          <w:rFonts w:ascii="Times New Roman"/>
        </w:rPr>
        <w:t>无违法记录声明函</w:t>
      </w:r>
      <w:bookmarkEnd w:id="99"/>
      <w:bookmarkEnd w:id="100"/>
      <w:bookmarkEnd w:id="101"/>
      <w:bookmarkEnd w:id="102"/>
      <w:bookmarkEnd w:id="103"/>
      <w:bookmarkEnd w:id="104"/>
    </w:p>
    <w:p>
      <w:pPr>
        <w:autoSpaceDE w:val="0"/>
        <w:autoSpaceDN w:val="0"/>
        <w:spacing w:after="160"/>
        <w:textAlignment w:val="bottom"/>
      </w:pPr>
      <w:r>
        <w:rPr>
          <w:rFonts w:eastAsia="黑体"/>
        </w:rPr>
        <w:t>致：</w:t>
      </w:r>
      <w:r>
        <w:rPr>
          <w:rFonts w:eastAsia="黑体"/>
          <w:u w:val="single"/>
        </w:rPr>
        <w:t xml:space="preserve">                                 </w:t>
      </w:r>
      <w:r>
        <w:rPr>
          <w:rFonts w:eastAsia="黑体"/>
        </w:rPr>
        <w:t>（</w:t>
      </w:r>
      <w:r>
        <w:rPr>
          <w:rFonts w:hint="eastAsia" w:eastAsia="黑体"/>
        </w:rPr>
        <w:t>供应商</w:t>
      </w:r>
      <w:r>
        <w:rPr>
          <w:rFonts w:eastAsia="黑体"/>
        </w:rPr>
        <w:t>名称）</w:t>
      </w:r>
    </w:p>
    <w:p>
      <w:pPr>
        <w:pStyle w:val="12"/>
        <w:rPr>
          <w:szCs w:val="24"/>
        </w:rPr>
      </w:pPr>
      <w:r>
        <w:t>我们</w:t>
      </w:r>
      <w:r>
        <w:rPr>
          <w:u w:val="single"/>
        </w:rPr>
        <w:t xml:space="preserve">                 </w:t>
      </w:r>
      <w:r>
        <w:t>（</w:t>
      </w:r>
      <w:r>
        <w:rPr>
          <w:rFonts w:hint="eastAsia"/>
        </w:rPr>
        <w:t>供应商</w:t>
      </w:r>
      <w:r>
        <w:t>名称）是按中华人民共和国法律正式成立的一家公司，主要营业地点设在</w:t>
      </w:r>
      <w:r>
        <w:rPr>
          <w:u w:val="single"/>
        </w:rPr>
        <w:t xml:space="preserve">                  </w:t>
      </w:r>
      <w:r>
        <w:t>（供应商地址）。我司在</w:t>
      </w:r>
      <w:r>
        <w:rPr>
          <w:szCs w:val="24"/>
        </w:rPr>
        <w:t>参加本次采购活动前三年内</w:t>
      </w:r>
      <w:r>
        <w:rPr>
          <w:rFonts w:hint="eastAsia"/>
          <w:szCs w:val="24"/>
        </w:rPr>
        <w:t>，我方没有因违法经营而受到下列处罚：</w:t>
      </w:r>
    </w:p>
    <w:p>
      <w:pPr>
        <w:pStyle w:val="12"/>
        <w:rPr>
          <w:szCs w:val="24"/>
        </w:rPr>
      </w:pPr>
      <w:r>
        <w:rPr>
          <w:rFonts w:hint="eastAsia"/>
          <w:szCs w:val="24"/>
        </w:rPr>
        <w:t>（1）</w:t>
      </w:r>
      <w:r>
        <w:rPr>
          <w:rFonts w:hint="eastAsia"/>
          <w:szCs w:val="24"/>
        </w:rPr>
        <w:tab/>
      </w:r>
      <w:r>
        <w:rPr>
          <w:rFonts w:hint="eastAsia"/>
          <w:szCs w:val="24"/>
        </w:rPr>
        <w:t>刑事处罚；</w:t>
      </w:r>
    </w:p>
    <w:p>
      <w:pPr>
        <w:pStyle w:val="12"/>
        <w:rPr>
          <w:szCs w:val="24"/>
        </w:rPr>
      </w:pPr>
      <w:r>
        <w:rPr>
          <w:rFonts w:hint="eastAsia"/>
          <w:szCs w:val="24"/>
        </w:rPr>
        <w:t>（2）</w:t>
      </w:r>
      <w:r>
        <w:rPr>
          <w:rFonts w:hint="eastAsia"/>
          <w:szCs w:val="24"/>
        </w:rPr>
        <w:tab/>
      </w:r>
      <w:r>
        <w:rPr>
          <w:rFonts w:hint="eastAsia"/>
          <w:szCs w:val="24"/>
        </w:rPr>
        <w:t>被责令停产停业、吊销许可证或执照；</w:t>
      </w:r>
    </w:p>
    <w:p>
      <w:pPr>
        <w:pStyle w:val="12"/>
        <w:rPr>
          <w:szCs w:val="24"/>
        </w:rPr>
      </w:pPr>
      <w:r>
        <w:rPr>
          <w:rFonts w:hint="eastAsia"/>
          <w:szCs w:val="24"/>
        </w:rPr>
        <w:t>（3）</w:t>
      </w:r>
      <w:r>
        <w:rPr>
          <w:rFonts w:hint="eastAsia"/>
          <w:szCs w:val="24"/>
        </w:rPr>
        <w:tab/>
      </w:r>
      <w:r>
        <w:rPr>
          <w:rFonts w:hint="eastAsia"/>
          <w:szCs w:val="24"/>
        </w:rPr>
        <w:t>被处以较大数额罚款等行政处罚（注：较大数额罚款的标准见作出行政处罚决定的行政机关所在省、自治区、直辖市的人大常委会或人民政府出台的相关规定）。</w:t>
      </w:r>
    </w:p>
    <w:p>
      <w:pPr>
        <w:pStyle w:val="12"/>
      </w:pPr>
      <w:r>
        <w:t>特此声明。</w:t>
      </w:r>
    </w:p>
    <w:p>
      <w:pPr>
        <w:pStyle w:val="12"/>
      </w:pPr>
    </w:p>
    <w:p>
      <w:pPr>
        <w:autoSpaceDE w:val="0"/>
        <w:autoSpaceDN w:val="0"/>
        <w:spacing w:after="160"/>
        <w:ind w:firstLine="3220"/>
        <w:jc w:val="right"/>
        <w:textAlignment w:val="bottom"/>
      </w:pPr>
      <w:r>
        <w:t>供应商名称：________________________</w:t>
      </w:r>
    </w:p>
    <w:p>
      <w:pPr>
        <w:autoSpaceDE w:val="0"/>
        <w:autoSpaceDN w:val="0"/>
        <w:spacing w:after="160"/>
        <w:ind w:firstLine="3220"/>
        <w:jc w:val="right"/>
        <w:textAlignment w:val="bottom"/>
      </w:pPr>
      <w:r>
        <w:t>公章：________________________</w:t>
      </w:r>
    </w:p>
    <w:p>
      <w:pPr>
        <w:autoSpaceDE w:val="0"/>
        <w:autoSpaceDN w:val="0"/>
        <w:spacing w:after="160"/>
        <w:ind w:firstLine="3220"/>
        <w:jc w:val="right"/>
        <w:textAlignment w:val="bottom"/>
      </w:pPr>
      <w:r>
        <w:t>供应商授权代表签字：________________________</w:t>
      </w:r>
    </w:p>
    <w:p>
      <w:pPr>
        <w:jc w:val="right"/>
      </w:pPr>
      <w:r>
        <w:t>日期：</w:t>
      </w:r>
      <w:r>
        <w:rPr>
          <w:u w:val="single"/>
        </w:rPr>
        <w:t xml:space="preserve">        </w:t>
      </w:r>
      <w:r>
        <w:t>年</w:t>
      </w:r>
      <w:r>
        <w:rPr>
          <w:u w:val="single"/>
        </w:rPr>
        <w:t xml:space="preserve">     </w:t>
      </w:r>
      <w:r>
        <w:t>月</w:t>
      </w:r>
      <w:r>
        <w:rPr>
          <w:u w:val="single"/>
        </w:rPr>
        <w:t xml:space="preserve">     </w:t>
      </w:r>
      <w:r>
        <w:t>日</w:t>
      </w:r>
    </w:p>
    <w:p>
      <w:pPr>
        <w:widowControl/>
        <w:jc w:val="left"/>
      </w:pPr>
      <w:r>
        <w:br w:type="page"/>
      </w:r>
    </w:p>
    <w:p>
      <w:pPr>
        <w:rPr>
          <w:highlight w:val="yellow"/>
        </w:rPr>
      </w:pPr>
      <w:r>
        <w:rPr>
          <w:highlight w:val="yellow"/>
        </w:rPr>
        <w:t>附件</w:t>
      </w:r>
      <w:r>
        <w:rPr>
          <w:rFonts w:hint="eastAsia"/>
          <w:highlight w:val="yellow"/>
        </w:rPr>
        <w:t>3</w:t>
      </w:r>
      <w:r>
        <w:rPr>
          <w:highlight w:val="yellow"/>
        </w:rPr>
        <w:t>：</w:t>
      </w:r>
      <w:r>
        <w:rPr>
          <w:rFonts w:hint="eastAsia"/>
          <w:highlight w:val="yellow"/>
        </w:rPr>
        <w:t>采购需求</w:t>
      </w:r>
    </w:p>
    <w:p>
      <w:pPr>
        <w:pStyle w:val="2"/>
        <w:numPr>
          <w:ilvl w:val="0"/>
          <w:numId w:val="11"/>
        </w:numPr>
      </w:pPr>
      <w:r>
        <w:rPr>
          <w:rFonts w:hint="eastAsia"/>
        </w:rPr>
        <w:t>概况</w:t>
      </w:r>
    </w:p>
    <w:p>
      <w:pPr>
        <w:pStyle w:val="12"/>
      </w:pPr>
      <w:r>
        <w:rPr>
          <w:rFonts w:hint="eastAsia"/>
        </w:rPr>
        <w:t>通过“多项目晶圆”（MPW）流片对所设计的芯片进行验证。</w:t>
      </w:r>
    </w:p>
    <w:p>
      <w:pPr>
        <w:pStyle w:val="2"/>
        <w:numPr>
          <w:ilvl w:val="0"/>
          <w:numId w:val="1"/>
        </w:numPr>
        <w:rPr>
          <w:szCs w:val="28"/>
        </w:rPr>
      </w:pPr>
      <w:r>
        <w:rPr>
          <w:rFonts w:hint="eastAsia"/>
          <w:szCs w:val="28"/>
        </w:rPr>
        <w:t>服务内容</w:t>
      </w:r>
    </w:p>
    <w:p>
      <w:pPr>
        <w:pStyle w:val="12"/>
      </w:pPr>
      <w:r>
        <w:rPr>
          <w:rFonts w:hint="eastAsia"/>
        </w:rPr>
        <w:t>按照采购人要求进行“多项目晶圆”（MPW）流片服务，包括：提供工艺文件和单元库文件等技术资料、流片技术支持服务，并提供一定数量的裸芯片。</w:t>
      </w:r>
    </w:p>
    <w:p>
      <w:pPr>
        <w:pStyle w:val="2"/>
        <w:numPr>
          <w:ilvl w:val="0"/>
          <w:numId w:val="1"/>
        </w:numPr>
      </w:pPr>
      <w:r>
        <w:rPr>
          <w:rFonts w:hint="eastAsia"/>
        </w:rPr>
        <w:t>服务时间要求</w:t>
      </w:r>
    </w:p>
    <w:p>
      <w:pPr>
        <w:pStyle w:val="3"/>
        <w:numPr>
          <w:ilvl w:val="1"/>
          <w:numId w:val="1"/>
        </w:numPr>
      </w:pPr>
      <w:r>
        <w:rPr>
          <w:rFonts w:hint="eastAsia"/>
        </w:rPr>
        <w:t>服务完成时间：本次服务要求供应商最晚完成时间为2020年11月3</w:t>
      </w:r>
      <w:r>
        <w:rPr>
          <w:rFonts w:hint="eastAsia"/>
          <w:lang w:val="en-US" w:eastAsia="zh-CN"/>
        </w:rPr>
        <w:t>0</w:t>
      </w:r>
      <w:bookmarkStart w:id="105" w:name="_GoBack"/>
      <w:bookmarkEnd w:id="105"/>
      <w:r>
        <w:rPr>
          <w:rFonts w:hint="eastAsia"/>
        </w:rPr>
        <w:t>日。</w:t>
      </w:r>
    </w:p>
    <w:p>
      <w:pPr>
        <w:pStyle w:val="2"/>
        <w:numPr>
          <w:ilvl w:val="0"/>
          <w:numId w:val="1"/>
        </w:numPr>
      </w:pPr>
      <w:r>
        <w:rPr>
          <w:rFonts w:hint="eastAsia"/>
        </w:rPr>
        <w:t>服务要求</w:t>
      </w:r>
    </w:p>
    <w:p>
      <w:pPr>
        <w:pStyle w:val="3"/>
        <w:numPr>
          <w:ilvl w:val="1"/>
          <w:numId w:val="1"/>
        </w:numPr>
      </w:pPr>
      <w:r>
        <w:rPr>
          <w:rFonts w:hint="eastAsia"/>
        </w:rPr>
        <w:t>代工厂：TSMC（供应商应在投标文件中提供与代工厂的合作证明）</w:t>
      </w:r>
    </w:p>
    <w:p>
      <w:pPr>
        <w:pStyle w:val="3"/>
        <w:numPr>
          <w:ilvl w:val="1"/>
          <w:numId w:val="1"/>
        </w:numPr>
      </w:pPr>
      <w:r>
        <w:rPr>
          <w:rFonts w:hint="eastAsia"/>
        </w:rPr>
        <w:t>流片服务需满足以下技术需求：</w:t>
      </w:r>
    </w:p>
    <w:p>
      <w:pPr>
        <w:pStyle w:val="8"/>
        <w:numPr>
          <w:ilvl w:val="6"/>
          <w:numId w:val="12"/>
        </w:numPr>
        <w:ind w:left="1415" w:leftChars="236" w:hanging="849" w:hangingChars="354"/>
      </w:pPr>
      <w:r>
        <w:rPr>
          <w:rFonts w:hint="eastAsia"/>
        </w:rPr>
        <w:t>提供65nm CMOS MS RF LP工艺流片服务，总面积为64平方毫米，提供100颗裸芯片；</w:t>
      </w:r>
    </w:p>
    <w:p>
      <w:pPr>
        <w:pStyle w:val="8"/>
        <w:numPr>
          <w:ilvl w:val="6"/>
          <w:numId w:val="12"/>
        </w:numPr>
        <w:ind w:left="1415" w:leftChars="236" w:hanging="849" w:hangingChars="354"/>
      </w:pPr>
      <w:r>
        <w:rPr>
          <w:rFonts w:hint="eastAsia"/>
        </w:rPr>
        <w:t>提供芯片设计所需PDK、标准单元库等工艺文件；</w:t>
      </w:r>
    </w:p>
    <w:p>
      <w:pPr>
        <w:pStyle w:val="8"/>
        <w:numPr>
          <w:ilvl w:val="6"/>
          <w:numId w:val="12"/>
        </w:numPr>
        <w:ind w:left="1415" w:leftChars="236" w:hanging="849" w:hangingChars="354"/>
      </w:pPr>
      <w:r>
        <w:rPr>
          <w:rFonts w:hint="eastAsia"/>
        </w:rPr>
        <w:t>接受GDSII文件，并对版图和相关文件进行设计规则复查；</w:t>
      </w:r>
    </w:p>
    <w:p>
      <w:pPr>
        <w:pStyle w:val="8"/>
        <w:numPr>
          <w:ilvl w:val="6"/>
          <w:numId w:val="12"/>
        </w:numPr>
        <w:ind w:left="1415" w:leftChars="236" w:hanging="849" w:hangingChars="354"/>
      </w:pPr>
      <w:r>
        <w:rPr>
          <w:rFonts w:hint="eastAsia"/>
        </w:rPr>
        <w:t>为流片提供技术支持；</w:t>
      </w:r>
    </w:p>
    <w:p>
      <w:pPr>
        <w:pStyle w:val="8"/>
        <w:numPr>
          <w:ilvl w:val="6"/>
          <w:numId w:val="12"/>
        </w:numPr>
        <w:ind w:left="1415" w:leftChars="236" w:hanging="849" w:hangingChars="354"/>
        <w:rPr>
          <w:rFonts w:hint="eastAsia"/>
        </w:rPr>
      </w:pPr>
      <w:r>
        <w:rPr>
          <w:rFonts w:hint="eastAsia"/>
        </w:rPr>
        <w:t>确保数据安全。</w:t>
      </w:r>
    </w:p>
    <w:p>
      <w:pPr>
        <w:pStyle w:val="3"/>
        <w:numPr>
          <w:ilvl w:val="1"/>
          <w:numId w:val="1"/>
        </w:numPr>
      </w:pPr>
      <w:r>
        <w:rPr>
          <w:rFonts w:hint="eastAsia"/>
        </w:rPr>
        <w:t>供应商应具有针对本项目的人员配置和硬件设施，并在响应文件中明确具体内容。</w:t>
      </w:r>
    </w:p>
    <w:p>
      <w:pPr>
        <w:pStyle w:val="2"/>
        <w:numPr>
          <w:ilvl w:val="0"/>
          <w:numId w:val="1"/>
        </w:numPr>
      </w:pPr>
      <w:r>
        <w:rPr>
          <w:rFonts w:hint="eastAsia"/>
        </w:rPr>
        <w:t>付款方式：</w:t>
      </w:r>
    </w:p>
    <w:p>
      <w:pPr>
        <w:pStyle w:val="12"/>
      </w:pPr>
      <w:r>
        <w:rPr>
          <w:rFonts w:hint="eastAsia"/>
        </w:rPr>
        <w:t>分2期支付，预付款80%（合同签署生效后1个月内），第二期20%（流片完成后1个月内）</w:t>
      </w:r>
    </w:p>
    <w:p>
      <w:pPr>
        <w:widowControl/>
        <w:jc w:val="left"/>
      </w:pPr>
    </w:p>
    <w:sectPr>
      <w:pgSz w:w="11906" w:h="16838"/>
      <w:pgMar w:top="1588" w:right="1021" w:bottom="1474" w:left="1021" w:header="851" w:footer="992" w:gutter="34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915210"/>
      <w:docPartObj>
        <w:docPartGallery w:val="AutoText"/>
      </w:docPartObj>
    </w:sdtPr>
    <w:sdtEndPr>
      <w:rPr>
        <w:sz w:val="21"/>
        <w:szCs w:val="21"/>
      </w:rPr>
    </w:sdtEndPr>
    <w:sdtContent>
      <w:p>
        <w:pPr>
          <w:pStyle w:val="17"/>
          <w:jc w:val="right"/>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11</w:t>
        </w:r>
        <w:r>
          <w:rPr>
            <w:sz w:val="21"/>
            <w:szCs w:val="21"/>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outside" w:y="1"/>
      <w:ind w:left="284" w:right="284"/>
      <w:rPr>
        <w:rStyle w:val="24"/>
      </w:rPr>
    </w:pPr>
    <w:r>
      <w:rPr>
        <w:rStyle w:val="24"/>
      </w:rPr>
      <w:fldChar w:fldCharType="begin"/>
    </w:r>
    <w:r>
      <w:rPr>
        <w:rStyle w:val="24"/>
      </w:rPr>
      <w:instrText xml:space="preserve">PAGE  </w:instrText>
    </w:r>
    <w:r>
      <w:rPr>
        <w:rStyle w:val="24"/>
      </w:rPr>
      <w:fldChar w:fldCharType="separate"/>
    </w:r>
    <w:r>
      <w:rPr>
        <w:rStyle w:val="24"/>
      </w:rPr>
      <w:t>II</w:t>
    </w:r>
    <w:r>
      <w:rPr>
        <w:rStyle w:val="24"/>
      </w:rPr>
      <w:fldChar w:fldCharType="end"/>
    </w:r>
  </w:p>
  <w:p>
    <w:pPr>
      <w:pStyle w:val="1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tentative="0">
      <w:start w:val="1"/>
      <w:numFmt w:val="decimal"/>
      <w:pStyle w:val="2"/>
      <w:lvlText w:val="%1"/>
      <w:legacy w:legacy="1" w:legacySpace="255" w:legacyIndent="0"/>
      <w:lvlJc w:val="left"/>
      <w:rPr>
        <w:rFonts w:hint="eastAsia" w:ascii="黑体" w:eastAsia="黑体"/>
        <w:b w:val="0"/>
        <w:i w:val="0"/>
        <w:sz w:val="24"/>
      </w:rPr>
    </w:lvl>
    <w:lvl w:ilvl="1" w:tentative="0">
      <w:start w:val="1"/>
      <w:numFmt w:val="decimal"/>
      <w:pStyle w:val="3"/>
      <w:lvlText w:val="%1.%2"/>
      <w:legacy w:legacy="1" w:legacySpace="255" w:legacyIndent="0"/>
      <w:lvlJc w:val="left"/>
      <w:rPr>
        <w:rFonts w:hint="eastAsia" w:ascii="黑体" w:eastAsia="黑体"/>
        <w:b w:val="0"/>
        <w:i w:val="0"/>
        <w:sz w:val="24"/>
      </w:rPr>
    </w:lvl>
    <w:lvl w:ilvl="2" w:tentative="0">
      <w:start w:val="1"/>
      <w:numFmt w:val="decimal"/>
      <w:pStyle w:val="4"/>
      <w:lvlText w:val="%1.%2.%3"/>
      <w:legacy w:legacy="1" w:legacySpace="255" w:legacyIndent="0"/>
      <w:lvlJc w:val="left"/>
      <w:rPr>
        <w:rFonts w:hint="eastAsia" w:ascii="黑体" w:eastAsia="黑体"/>
        <w:b w:val="0"/>
        <w:i w:val="0"/>
        <w:sz w:val="24"/>
      </w:rPr>
    </w:lvl>
    <w:lvl w:ilvl="3" w:tentative="0">
      <w:start w:val="1"/>
      <w:numFmt w:val="decimal"/>
      <w:pStyle w:val="5"/>
      <w:lvlText w:val="%1.%2.%3.%4"/>
      <w:legacy w:legacy="1" w:legacySpace="255" w:legacyIndent="0"/>
      <w:lvlJc w:val="left"/>
      <w:rPr>
        <w:rFonts w:hint="eastAsia" w:ascii="黑体" w:eastAsia="黑体"/>
        <w:b w:val="0"/>
        <w:i w:val="0"/>
        <w:sz w:val="24"/>
      </w:rPr>
    </w:lvl>
    <w:lvl w:ilvl="4" w:tentative="0">
      <w:start w:val="1"/>
      <w:numFmt w:val="decimal"/>
      <w:pStyle w:val="6"/>
      <w:lvlText w:val="%1.%2.%3.%4.%5"/>
      <w:legacy w:legacy="1" w:legacySpace="255" w:legacyIndent="0"/>
      <w:lvlJc w:val="left"/>
      <w:rPr>
        <w:rFonts w:hint="eastAsia" w:ascii="黑体" w:eastAsia="黑体"/>
        <w:b w:val="0"/>
        <w:i w:val="0"/>
        <w:sz w:val="24"/>
      </w:rPr>
    </w:lvl>
    <w:lvl w:ilvl="5" w:tentative="0">
      <w:start w:val="1"/>
      <w:numFmt w:val="decimal"/>
      <w:pStyle w:val="7"/>
      <w:lvlText w:val="%1.%2.%3.%4.%5.%6"/>
      <w:legacy w:legacy="1" w:legacySpace="255" w:legacyIndent="0"/>
      <w:lvlJc w:val="left"/>
      <w:rPr>
        <w:rFonts w:hint="eastAsia" w:ascii="黑体" w:eastAsia="黑体"/>
        <w:b w:val="0"/>
        <w:i w:val="0"/>
        <w:sz w:val="24"/>
      </w:rPr>
    </w:lvl>
    <w:lvl w:ilvl="6" w:tentative="0">
      <w:start w:val="1"/>
      <w:numFmt w:val="decimal"/>
      <w:pStyle w:val="8"/>
      <w:lvlText w:val="（%7）"/>
      <w:legacy w:legacy="1" w:legacySpace="113" w:legacyIndent="0"/>
      <w:lvlJc w:val="left"/>
      <w:pPr>
        <w:ind w:left="1191" w:firstLine="0"/>
      </w:pPr>
      <w:rPr>
        <w:rFonts w:hint="eastAsia" w:ascii="黑体" w:eastAsia="黑体"/>
        <w:b w:val="0"/>
        <w:i w:val="0"/>
        <w:sz w:val="24"/>
        <w:lang w:val="en-US"/>
      </w:rPr>
    </w:lvl>
    <w:lvl w:ilvl="7" w:tentative="0">
      <w:start w:val="1"/>
      <w:numFmt w:val="lowerLetter"/>
      <w:pStyle w:val="9"/>
      <w:lvlText w:val="（%8）"/>
      <w:legacy w:legacy="1" w:legacySpace="113" w:legacyIndent="0"/>
      <w:lvlJc w:val="left"/>
      <w:pPr>
        <w:ind w:left="1888" w:firstLine="0"/>
      </w:pPr>
      <w:rPr>
        <w:rFonts w:hint="eastAsia" w:ascii="黑体" w:eastAsia="黑体"/>
        <w:b w:val="0"/>
        <w:i w:val="0"/>
        <w:sz w:val="24"/>
      </w:rPr>
    </w:lvl>
    <w:lvl w:ilvl="8" w:tentative="0">
      <w:start w:val="1"/>
      <w:numFmt w:val="lowerRoman"/>
      <w:pStyle w:val="10"/>
      <w:lvlText w:val="（%9）"/>
      <w:legacy w:legacy="1" w:legacySpace="113" w:legacyIndent="0"/>
      <w:lvlJc w:val="left"/>
      <w:pPr>
        <w:ind w:left="2591" w:firstLine="0"/>
      </w:pPr>
      <w:rPr>
        <w:rFonts w:hint="eastAsia" w:ascii="黑体" w:eastAsia="黑体"/>
        <w:b w:val="0"/>
        <w:i w:val="0"/>
        <w:sz w:val="24"/>
      </w:rPr>
    </w:lvl>
  </w:abstractNum>
  <w:abstractNum w:abstractNumId="1">
    <w:nsid w:val="00014F0D"/>
    <w:multiLevelType w:val="singleLevel"/>
    <w:tmpl w:val="00014F0D"/>
    <w:lvl w:ilvl="0" w:tentative="0">
      <w:start w:val="1"/>
      <w:numFmt w:val="decimal"/>
      <w:lvlText w:val="%1"/>
      <w:legacy w:legacy="1" w:legacySpace="0" w:legacyIndent="425"/>
      <w:lvlJc w:val="center"/>
    </w:lvl>
  </w:abstractNum>
  <w:abstractNum w:abstractNumId="2">
    <w:nsid w:val="2615314E"/>
    <w:multiLevelType w:val="multilevel"/>
    <w:tmpl w:val="2615314E"/>
    <w:lvl w:ilvl="0" w:tentative="0">
      <w:start w:val="1"/>
      <w:numFmt w:val="decimal"/>
      <w:pStyle w:val="47"/>
      <w:lvlText w:val="表%1"/>
      <w:lvlJc w:val="left"/>
      <w:pPr>
        <w:tabs>
          <w:tab w:val="left" w:pos="624"/>
        </w:tabs>
        <w:ind w:left="624" w:hanging="624"/>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31CD462F"/>
    <w:multiLevelType w:val="multilevel"/>
    <w:tmpl w:val="31CD462F"/>
    <w:lvl w:ilvl="0" w:tentative="0">
      <w:start w:val="1"/>
      <w:numFmt w:val="decimal"/>
      <w:lvlText w:val="%1)"/>
      <w:lvlJc w:val="left"/>
      <w:pPr>
        <w:ind w:left="483" w:hanging="420"/>
      </w:pPr>
      <w:rPr>
        <w:b w:val="0"/>
      </w:rPr>
    </w:lvl>
    <w:lvl w:ilvl="1" w:tentative="0">
      <w:start w:val="1"/>
      <w:numFmt w:val="lowerLetter"/>
      <w:lvlText w:val="%2)"/>
      <w:lvlJc w:val="left"/>
      <w:pPr>
        <w:ind w:left="903" w:hanging="420"/>
      </w:pPr>
    </w:lvl>
    <w:lvl w:ilvl="2" w:tentative="0">
      <w:start w:val="1"/>
      <w:numFmt w:val="lowerRoman"/>
      <w:lvlText w:val="%3."/>
      <w:lvlJc w:val="right"/>
      <w:pPr>
        <w:ind w:left="1323" w:hanging="420"/>
      </w:pPr>
    </w:lvl>
    <w:lvl w:ilvl="3" w:tentative="0">
      <w:start w:val="1"/>
      <w:numFmt w:val="decimal"/>
      <w:lvlText w:val="%4."/>
      <w:lvlJc w:val="left"/>
      <w:pPr>
        <w:ind w:left="1743" w:hanging="420"/>
      </w:pPr>
    </w:lvl>
    <w:lvl w:ilvl="4" w:tentative="0">
      <w:start w:val="1"/>
      <w:numFmt w:val="lowerLetter"/>
      <w:lvlText w:val="%5)"/>
      <w:lvlJc w:val="left"/>
      <w:pPr>
        <w:ind w:left="2163" w:hanging="420"/>
      </w:pPr>
    </w:lvl>
    <w:lvl w:ilvl="5" w:tentative="0">
      <w:start w:val="1"/>
      <w:numFmt w:val="lowerRoman"/>
      <w:lvlText w:val="%6."/>
      <w:lvlJc w:val="right"/>
      <w:pPr>
        <w:ind w:left="2583" w:hanging="420"/>
      </w:pPr>
    </w:lvl>
    <w:lvl w:ilvl="6" w:tentative="0">
      <w:start w:val="1"/>
      <w:numFmt w:val="decimal"/>
      <w:lvlText w:val="%7."/>
      <w:lvlJc w:val="left"/>
      <w:pPr>
        <w:ind w:left="3003" w:hanging="420"/>
      </w:pPr>
    </w:lvl>
    <w:lvl w:ilvl="7" w:tentative="0">
      <w:start w:val="1"/>
      <w:numFmt w:val="lowerLetter"/>
      <w:lvlText w:val="%8)"/>
      <w:lvlJc w:val="left"/>
      <w:pPr>
        <w:ind w:left="3423" w:hanging="420"/>
      </w:pPr>
    </w:lvl>
    <w:lvl w:ilvl="8" w:tentative="0">
      <w:start w:val="1"/>
      <w:numFmt w:val="lowerRoman"/>
      <w:lvlText w:val="%9."/>
      <w:lvlJc w:val="right"/>
      <w:pPr>
        <w:ind w:left="3843" w:hanging="420"/>
      </w:pPr>
    </w:lvl>
  </w:abstractNum>
  <w:abstractNum w:abstractNumId="4">
    <w:nsid w:val="659D78DB"/>
    <w:multiLevelType w:val="multilevel"/>
    <w:tmpl w:val="659D78DB"/>
    <w:lvl w:ilvl="0" w:tentative="0">
      <w:start w:val="1"/>
      <w:numFmt w:val="chineseCountingThousand"/>
      <w:lvlText w:val="(%1)"/>
      <w:lvlJc w:val="left"/>
      <w:pPr>
        <w:ind w:left="483" w:hanging="420"/>
      </w:pPr>
    </w:lvl>
    <w:lvl w:ilvl="1" w:tentative="0">
      <w:start w:val="1"/>
      <w:numFmt w:val="lowerLetter"/>
      <w:lvlText w:val="%2)"/>
      <w:lvlJc w:val="left"/>
      <w:pPr>
        <w:ind w:left="903" w:hanging="420"/>
      </w:pPr>
    </w:lvl>
    <w:lvl w:ilvl="2" w:tentative="0">
      <w:start w:val="1"/>
      <w:numFmt w:val="lowerRoman"/>
      <w:lvlText w:val="%3."/>
      <w:lvlJc w:val="right"/>
      <w:pPr>
        <w:ind w:left="1323" w:hanging="420"/>
      </w:pPr>
    </w:lvl>
    <w:lvl w:ilvl="3" w:tentative="0">
      <w:start w:val="1"/>
      <w:numFmt w:val="decimal"/>
      <w:lvlText w:val="%4."/>
      <w:lvlJc w:val="left"/>
      <w:pPr>
        <w:ind w:left="1743" w:hanging="420"/>
      </w:pPr>
    </w:lvl>
    <w:lvl w:ilvl="4" w:tentative="0">
      <w:start w:val="1"/>
      <w:numFmt w:val="lowerLetter"/>
      <w:lvlText w:val="%5)"/>
      <w:lvlJc w:val="left"/>
      <w:pPr>
        <w:ind w:left="2163" w:hanging="420"/>
      </w:pPr>
    </w:lvl>
    <w:lvl w:ilvl="5" w:tentative="0">
      <w:start w:val="1"/>
      <w:numFmt w:val="lowerRoman"/>
      <w:lvlText w:val="%6."/>
      <w:lvlJc w:val="right"/>
      <w:pPr>
        <w:ind w:left="2583" w:hanging="420"/>
      </w:pPr>
    </w:lvl>
    <w:lvl w:ilvl="6" w:tentative="0">
      <w:start w:val="1"/>
      <w:numFmt w:val="decimal"/>
      <w:lvlText w:val="%7."/>
      <w:lvlJc w:val="left"/>
      <w:pPr>
        <w:ind w:left="3003" w:hanging="420"/>
      </w:pPr>
    </w:lvl>
    <w:lvl w:ilvl="7" w:tentative="0">
      <w:start w:val="1"/>
      <w:numFmt w:val="lowerLetter"/>
      <w:lvlText w:val="%8)"/>
      <w:lvlJc w:val="left"/>
      <w:pPr>
        <w:ind w:left="3423" w:hanging="420"/>
      </w:pPr>
    </w:lvl>
    <w:lvl w:ilvl="8" w:tentative="0">
      <w:start w:val="1"/>
      <w:numFmt w:val="lowerRoman"/>
      <w:lvlText w:val="%9."/>
      <w:lvlJc w:val="right"/>
      <w:pPr>
        <w:ind w:left="3843" w:hanging="420"/>
      </w:pPr>
    </w:lvl>
  </w:abstractNum>
  <w:abstractNum w:abstractNumId="5">
    <w:nsid w:val="66D37BC3"/>
    <w:multiLevelType w:val="multilevel"/>
    <w:tmpl w:val="66D37BC3"/>
    <w:lvl w:ilvl="0" w:tentative="0">
      <w:start w:val="1"/>
      <w:numFmt w:val="decimal"/>
      <w:lvlText w:val="%1)"/>
      <w:lvlJc w:val="left"/>
      <w:pPr>
        <w:ind w:left="483" w:hanging="420"/>
      </w:pPr>
    </w:lvl>
    <w:lvl w:ilvl="1" w:tentative="0">
      <w:start w:val="1"/>
      <w:numFmt w:val="lowerLetter"/>
      <w:lvlText w:val="%2)"/>
      <w:lvlJc w:val="left"/>
      <w:pPr>
        <w:ind w:left="903" w:hanging="420"/>
      </w:pPr>
    </w:lvl>
    <w:lvl w:ilvl="2" w:tentative="0">
      <w:start w:val="1"/>
      <w:numFmt w:val="lowerRoman"/>
      <w:lvlText w:val="%3."/>
      <w:lvlJc w:val="right"/>
      <w:pPr>
        <w:ind w:left="1323" w:hanging="420"/>
      </w:pPr>
    </w:lvl>
    <w:lvl w:ilvl="3" w:tentative="0">
      <w:start w:val="1"/>
      <w:numFmt w:val="decimal"/>
      <w:lvlText w:val="%4."/>
      <w:lvlJc w:val="left"/>
      <w:pPr>
        <w:ind w:left="1743" w:hanging="420"/>
      </w:pPr>
    </w:lvl>
    <w:lvl w:ilvl="4" w:tentative="0">
      <w:start w:val="1"/>
      <w:numFmt w:val="lowerLetter"/>
      <w:lvlText w:val="%5)"/>
      <w:lvlJc w:val="left"/>
      <w:pPr>
        <w:ind w:left="2163" w:hanging="420"/>
      </w:pPr>
    </w:lvl>
    <w:lvl w:ilvl="5" w:tentative="0">
      <w:start w:val="1"/>
      <w:numFmt w:val="lowerRoman"/>
      <w:lvlText w:val="%6."/>
      <w:lvlJc w:val="right"/>
      <w:pPr>
        <w:ind w:left="2583" w:hanging="420"/>
      </w:pPr>
    </w:lvl>
    <w:lvl w:ilvl="6" w:tentative="0">
      <w:start w:val="1"/>
      <w:numFmt w:val="decimal"/>
      <w:lvlText w:val="%7."/>
      <w:lvlJc w:val="left"/>
      <w:pPr>
        <w:ind w:left="3003" w:hanging="420"/>
      </w:pPr>
    </w:lvl>
    <w:lvl w:ilvl="7" w:tentative="0">
      <w:start w:val="1"/>
      <w:numFmt w:val="lowerLetter"/>
      <w:lvlText w:val="%8)"/>
      <w:lvlJc w:val="left"/>
      <w:pPr>
        <w:ind w:left="3423" w:hanging="420"/>
      </w:pPr>
    </w:lvl>
    <w:lvl w:ilvl="8" w:tentative="0">
      <w:start w:val="1"/>
      <w:numFmt w:val="lowerRoman"/>
      <w:lvlText w:val="%9."/>
      <w:lvlJc w:val="right"/>
      <w:pPr>
        <w:ind w:left="3843" w:hanging="420"/>
      </w:pPr>
    </w:lvl>
  </w:abstractNum>
  <w:abstractNum w:abstractNumId="6">
    <w:nsid w:val="67B25AFA"/>
    <w:multiLevelType w:val="multilevel"/>
    <w:tmpl w:val="67B25AFA"/>
    <w:lvl w:ilvl="0" w:tentative="0">
      <w:start w:val="1"/>
      <w:numFmt w:val="decimal"/>
      <w:lvlText w:val="%1)"/>
      <w:lvlJc w:val="left"/>
      <w:pPr>
        <w:ind w:left="483" w:hanging="420"/>
      </w:pPr>
      <w:rPr>
        <w:b w:val="0"/>
      </w:rPr>
    </w:lvl>
    <w:lvl w:ilvl="1" w:tentative="0">
      <w:start w:val="1"/>
      <w:numFmt w:val="lowerLetter"/>
      <w:lvlText w:val="%2)"/>
      <w:lvlJc w:val="left"/>
      <w:pPr>
        <w:ind w:left="903" w:hanging="420"/>
      </w:pPr>
    </w:lvl>
    <w:lvl w:ilvl="2" w:tentative="0">
      <w:start w:val="1"/>
      <w:numFmt w:val="lowerRoman"/>
      <w:lvlText w:val="%3."/>
      <w:lvlJc w:val="right"/>
      <w:pPr>
        <w:ind w:left="1323" w:hanging="420"/>
      </w:pPr>
    </w:lvl>
    <w:lvl w:ilvl="3" w:tentative="0">
      <w:start w:val="1"/>
      <w:numFmt w:val="decimal"/>
      <w:lvlText w:val="%4."/>
      <w:lvlJc w:val="left"/>
      <w:pPr>
        <w:ind w:left="1743" w:hanging="420"/>
      </w:pPr>
    </w:lvl>
    <w:lvl w:ilvl="4" w:tentative="0">
      <w:start w:val="1"/>
      <w:numFmt w:val="lowerLetter"/>
      <w:lvlText w:val="%5)"/>
      <w:lvlJc w:val="left"/>
      <w:pPr>
        <w:ind w:left="2163" w:hanging="420"/>
      </w:pPr>
    </w:lvl>
    <w:lvl w:ilvl="5" w:tentative="0">
      <w:start w:val="1"/>
      <w:numFmt w:val="lowerRoman"/>
      <w:lvlText w:val="%6."/>
      <w:lvlJc w:val="right"/>
      <w:pPr>
        <w:ind w:left="2583" w:hanging="420"/>
      </w:pPr>
    </w:lvl>
    <w:lvl w:ilvl="6" w:tentative="0">
      <w:start w:val="1"/>
      <w:numFmt w:val="decimal"/>
      <w:lvlText w:val="%7."/>
      <w:lvlJc w:val="left"/>
      <w:pPr>
        <w:ind w:left="3003" w:hanging="420"/>
      </w:pPr>
    </w:lvl>
    <w:lvl w:ilvl="7" w:tentative="0">
      <w:start w:val="1"/>
      <w:numFmt w:val="lowerLetter"/>
      <w:lvlText w:val="%8)"/>
      <w:lvlJc w:val="left"/>
      <w:pPr>
        <w:ind w:left="3423" w:hanging="420"/>
      </w:pPr>
    </w:lvl>
    <w:lvl w:ilvl="8" w:tentative="0">
      <w:start w:val="1"/>
      <w:numFmt w:val="lowerRoman"/>
      <w:lvlText w:val="%9."/>
      <w:lvlJc w:val="right"/>
      <w:pPr>
        <w:ind w:left="3843" w:hanging="420"/>
      </w:pPr>
    </w:lvl>
  </w:abstractNum>
  <w:abstractNum w:abstractNumId="7">
    <w:nsid w:val="769B626D"/>
    <w:multiLevelType w:val="multilevel"/>
    <w:tmpl w:val="769B626D"/>
    <w:lvl w:ilvl="0" w:tentative="0">
      <w:start w:val="1"/>
      <w:numFmt w:val="decimal"/>
      <w:lvlText w:val="%1)"/>
      <w:lvlJc w:val="left"/>
      <w:pPr>
        <w:ind w:left="483" w:hanging="420"/>
      </w:pPr>
      <w:rPr>
        <w:b w:val="0"/>
      </w:rPr>
    </w:lvl>
    <w:lvl w:ilvl="1" w:tentative="0">
      <w:start w:val="1"/>
      <w:numFmt w:val="lowerLetter"/>
      <w:lvlText w:val="%2)"/>
      <w:lvlJc w:val="left"/>
      <w:pPr>
        <w:ind w:left="903" w:hanging="420"/>
      </w:pPr>
    </w:lvl>
    <w:lvl w:ilvl="2" w:tentative="0">
      <w:start w:val="1"/>
      <w:numFmt w:val="lowerRoman"/>
      <w:lvlText w:val="%3."/>
      <w:lvlJc w:val="right"/>
      <w:pPr>
        <w:ind w:left="1323" w:hanging="420"/>
      </w:pPr>
    </w:lvl>
    <w:lvl w:ilvl="3" w:tentative="0">
      <w:start w:val="1"/>
      <w:numFmt w:val="decimal"/>
      <w:lvlText w:val="%4."/>
      <w:lvlJc w:val="left"/>
      <w:pPr>
        <w:ind w:left="1743" w:hanging="420"/>
      </w:pPr>
    </w:lvl>
    <w:lvl w:ilvl="4" w:tentative="0">
      <w:start w:val="1"/>
      <w:numFmt w:val="lowerLetter"/>
      <w:lvlText w:val="%5)"/>
      <w:lvlJc w:val="left"/>
      <w:pPr>
        <w:ind w:left="2163" w:hanging="420"/>
      </w:pPr>
    </w:lvl>
    <w:lvl w:ilvl="5" w:tentative="0">
      <w:start w:val="1"/>
      <w:numFmt w:val="lowerRoman"/>
      <w:lvlText w:val="%6."/>
      <w:lvlJc w:val="right"/>
      <w:pPr>
        <w:ind w:left="2583" w:hanging="420"/>
      </w:pPr>
    </w:lvl>
    <w:lvl w:ilvl="6" w:tentative="0">
      <w:start w:val="1"/>
      <w:numFmt w:val="decimal"/>
      <w:lvlText w:val="%7."/>
      <w:lvlJc w:val="left"/>
      <w:pPr>
        <w:ind w:left="3003" w:hanging="420"/>
      </w:pPr>
    </w:lvl>
    <w:lvl w:ilvl="7" w:tentative="0">
      <w:start w:val="1"/>
      <w:numFmt w:val="lowerLetter"/>
      <w:lvlText w:val="%8)"/>
      <w:lvlJc w:val="left"/>
      <w:pPr>
        <w:ind w:left="3423" w:hanging="420"/>
      </w:pPr>
    </w:lvl>
    <w:lvl w:ilvl="8" w:tentative="0">
      <w:start w:val="1"/>
      <w:numFmt w:val="lowerRoman"/>
      <w:lvlText w:val="%9."/>
      <w:lvlJc w:val="right"/>
      <w:pPr>
        <w:ind w:left="3843" w:hanging="420"/>
      </w:pPr>
    </w:lvl>
  </w:abstractNum>
  <w:num w:numId="1">
    <w:abstractNumId w:val="0"/>
  </w:num>
  <w:num w:numId="2">
    <w:abstractNumId w:val="2"/>
  </w:num>
  <w:num w:numId="3">
    <w:abstractNumId w:val="1"/>
  </w:num>
  <w:num w:numId="4">
    <w:abstractNumId w:val="4"/>
  </w:num>
  <w:num w:numId="5">
    <w:abstractNumId w:val="5"/>
  </w:num>
  <w:num w:numId="6">
    <w:abstractNumId w:val="3"/>
  </w:num>
  <w:num w:numId="7">
    <w:abstractNumId w:val="6"/>
  </w:num>
  <w:num w:numId="8">
    <w:abstractNumId w:val="7"/>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C449A"/>
    <w:rsid w:val="00023E8E"/>
    <w:rsid w:val="000573E8"/>
    <w:rsid w:val="00076F83"/>
    <w:rsid w:val="000B1295"/>
    <w:rsid w:val="000B29F6"/>
    <w:rsid w:val="000B43CF"/>
    <w:rsid w:val="0010057B"/>
    <w:rsid w:val="00110B89"/>
    <w:rsid w:val="00116191"/>
    <w:rsid w:val="0012185D"/>
    <w:rsid w:val="00121AA7"/>
    <w:rsid w:val="00135953"/>
    <w:rsid w:val="00144FA0"/>
    <w:rsid w:val="00167D46"/>
    <w:rsid w:val="00172907"/>
    <w:rsid w:val="00180355"/>
    <w:rsid w:val="00180C89"/>
    <w:rsid w:val="001A55D7"/>
    <w:rsid w:val="001D5A2D"/>
    <w:rsid w:val="002217A9"/>
    <w:rsid w:val="002351A6"/>
    <w:rsid w:val="00261D3F"/>
    <w:rsid w:val="00263638"/>
    <w:rsid w:val="0026525D"/>
    <w:rsid w:val="00267024"/>
    <w:rsid w:val="002A0BE9"/>
    <w:rsid w:val="00307261"/>
    <w:rsid w:val="00346871"/>
    <w:rsid w:val="0035631A"/>
    <w:rsid w:val="00370CFC"/>
    <w:rsid w:val="00386860"/>
    <w:rsid w:val="00387DF5"/>
    <w:rsid w:val="00394CF9"/>
    <w:rsid w:val="003C1A63"/>
    <w:rsid w:val="003F2F68"/>
    <w:rsid w:val="00427801"/>
    <w:rsid w:val="00437DCB"/>
    <w:rsid w:val="0044784F"/>
    <w:rsid w:val="004502E6"/>
    <w:rsid w:val="004640B4"/>
    <w:rsid w:val="004847F8"/>
    <w:rsid w:val="00493277"/>
    <w:rsid w:val="004C4507"/>
    <w:rsid w:val="004D3613"/>
    <w:rsid w:val="00511EB0"/>
    <w:rsid w:val="00520012"/>
    <w:rsid w:val="005F39A9"/>
    <w:rsid w:val="005F4EC2"/>
    <w:rsid w:val="0069261F"/>
    <w:rsid w:val="0069652B"/>
    <w:rsid w:val="006A1524"/>
    <w:rsid w:val="006B1F26"/>
    <w:rsid w:val="006C449A"/>
    <w:rsid w:val="006F5264"/>
    <w:rsid w:val="00707C58"/>
    <w:rsid w:val="00715AAC"/>
    <w:rsid w:val="00732250"/>
    <w:rsid w:val="00744BC5"/>
    <w:rsid w:val="0074548A"/>
    <w:rsid w:val="00746FC8"/>
    <w:rsid w:val="00763004"/>
    <w:rsid w:val="00787FE1"/>
    <w:rsid w:val="007E778C"/>
    <w:rsid w:val="0081217A"/>
    <w:rsid w:val="00866EC6"/>
    <w:rsid w:val="00875C74"/>
    <w:rsid w:val="008A3822"/>
    <w:rsid w:val="008D17D8"/>
    <w:rsid w:val="009539BF"/>
    <w:rsid w:val="009918BB"/>
    <w:rsid w:val="009A555A"/>
    <w:rsid w:val="009B61EE"/>
    <w:rsid w:val="009B7152"/>
    <w:rsid w:val="009C3EF8"/>
    <w:rsid w:val="009C6916"/>
    <w:rsid w:val="009E6327"/>
    <w:rsid w:val="00A03F98"/>
    <w:rsid w:val="00A21267"/>
    <w:rsid w:val="00A46D36"/>
    <w:rsid w:val="00A74C1B"/>
    <w:rsid w:val="00AB02A5"/>
    <w:rsid w:val="00AC7A60"/>
    <w:rsid w:val="00B87006"/>
    <w:rsid w:val="00BB04AC"/>
    <w:rsid w:val="00C079A3"/>
    <w:rsid w:val="00C24F59"/>
    <w:rsid w:val="00C636CF"/>
    <w:rsid w:val="00C70B7C"/>
    <w:rsid w:val="00CE12FF"/>
    <w:rsid w:val="00CF5660"/>
    <w:rsid w:val="00CF6D09"/>
    <w:rsid w:val="00D50EA4"/>
    <w:rsid w:val="00D66132"/>
    <w:rsid w:val="00D67494"/>
    <w:rsid w:val="00D83A4A"/>
    <w:rsid w:val="00D90A71"/>
    <w:rsid w:val="00DE2C83"/>
    <w:rsid w:val="00E16109"/>
    <w:rsid w:val="00E3203F"/>
    <w:rsid w:val="00E81223"/>
    <w:rsid w:val="00E956AB"/>
    <w:rsid w:val="00E966F3"/>
    <w:rsid w:val="00EA416F"/>
    <w:rsid w:val="00EA49A7"/>
    <w:rsid w:val="00EC06C7"/>
    <w:rsid w:val="00EC0B96"/>
    <w:rsid w:val="00EC3B2F"/>
    <w:rsid w:val="00EE0DA2"/>
    <w:rsid w:val="00EF5269"/>
    <w:rsid w:val="00F207DC"/>
    <w:rsid w:val="00F562A8"/>
    <w:rsid w:val="00F70DD7"/>
    <w:rsid w:val="00F7569C"/>
    <w:rsid w:val="00F82CD0"/>
    <w:rsid w:val="00FE70C5"/>
    <w:rsid w:val="00FF4A49"/>
    <w:rsid w:val="3A3670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nhideWhenUsed="0" w:uiPriority="0"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tLeast"/>
      <w:jc w:val="both"/>
      <w:textAlignment w:val="baseline"/>
    </w:pPr>
    <w:rPr>
      <w:rFonts w:ascii="Times New Roman" w:hAnsi="Times New Roman" w:eastAsia="宋体" w:cs="Times New Roman"/>
      <w:sz w:val="24"/>
      <w:lang w:val="en-US" w:eastAsia="zh-CN" w:bidi="ar-SA"/>
    </w:rPr>
  </w:style>
  <w:style w:type="paragraph" w:styleId="2">
    <w:name w:val="heading 1"/>
    <w:basedOn w:val="1"/>
    <w:next w:val="1"/>
    <w:link w:val="38"/>
    <w:qFormat/>
    <w:uiPriority w:val="0"/>
    <w:pPr>
      <w:numPr>
        <w:ilvl w:val="0"/>
        <w:numId w:val="1"/>
      </w:numPr>
      <w:spacing w:before="200" w:after="180"/>
      <w:outlineLvl w:val="0"/>
    </w:pPr>
    <w:rPr>
      <w:rFonts w:ascii="Arial" w:eastAsia="黑体"/>
      <w:kern w:val="44"/>
    </w:rPr>
  </w:style>
  <w:style w:type="paragraph" w:styleId="3">
    <w:name w:val="heading 2"/>
    <w:basedOn w:val="1"/>
    <w:next w:val="1"/>
    <w:link w:val="39"/>
    <w:qFormat/>
    <w:uiPriority w:val="0"/>
    <w:pPr>
      <w:numPr>
        <w:ilvl w:val="1"/>
        <w:numId w:val="1"/>
      </w:numPr>
      <w:outlineLvl w:val="1"/>
    </w:pPr>
  </w:style>
  <w:style w:type="paragraph" w:styleId="4">
    <w:name w:val="heading 3"/>
    <w:basedOn w:val="1"/>
    <w:next w:val="1"/>
    <w:link w:val="40"/>
    <w:qFormat/>
    <w:uiPriority w:val="0"/>
    <w:pPr>
      <w:numPr>
        <w:ilvl w:val="2"/>
        <w:numId w:val="1"/>
      </w:numPr>
      <w:outlineLvl w:val="2"/>
    </w:pPr>
  </w:style>
  <w:style w:type="paragraph" w:styleId="5">
    <w:name w:val="heading 4"/>
    <w:basedOn w:val="4"/>
    <w:next w:val="1"/>
    <w:link w:val="41"/>
    <w:qFormat/>
    <w:uiPriority w:val="0"/>
    <w:pPr>
      <w:numPr>
        <w:ilvl w:val="3"/>
      </w:numPr>
      <w:outlineLvl w:val="3"/>
    </w:pPr>
  </w:style>
  <w:style w:type="paragraph" w:styleId="6">
    <w:name w:val="heading 5"/>
    <w:basedOn w:val="1"/>
    <w:next w:val="1"/>
    <w:link w:val="42"/>
    <w:qFormat/>
    <w:uiPriority w:val="0"/>
    <w:pPr>
      <w:numPr>
        <w:ilvl w:val="4"/>
        <w:numId w:val="1"/>
      </w:numPr>
      <w:outlineLvl w:val="4"/>
    </w:pPr>
  </w:style>
  <w:style w:type="paragraph" w:styleId="7">
    <w:name w:val="heading 6"/>
    <w:basedOn w:val="1"/>
    <w:next w:val="1"/>
    <w:link w:val="43"/>
    <w:qFormat/>
    <w:uiPriority w:val="0"/>
    <w:pPr>
      <w:numPr>
        <w:ilvl w:val="5"/>
        <w:numId w:val="1"/>
      </w:numPr>
      <w:outlineLvl w:val="5"/>
    </w:pPr>
  </w:style>
  <w:style w:type="paragraph" w:styleId="8">
    <w:name w:val="heading 7"/>
    <w:basedOn w:val="1"/>
    <w:next w:val="1"/>
    <w:link w:val="44"/>
    <w:qFormat/>
    <w:uiPriority w:val="0"/>
    <w:pPr>
      <w:numPr>
        <w:ilvl w:val="6"/>
        <w:numId w:val="1"/>
      </w:numPr>
      <w:outlineLvl w:val="6"/>
    </w:pPr>
  </w:style>
  <w:style w:type="paragraph" w:styleId="9">
    <w:name w:val="heading 8"/>
    <w:basedOn w:val="1"/>
    <w:next w:val="1"/>
    <w:link w:val="45"/>
    <w:qFormat/>
    <w:uiPriority w:val="0"/>
    <w:pPr>
      <w:numPr>
        <w:ilvl w:val="7"/>
        <w:numId w:val="1"/>
      </w:numPr>
      <w:outlineLvl w:val="7"/>
    </w:pPr>
  </w:style>
  <w:style w:type="paragraph" w:styleId="10">
    <w:name w:val="heading 9"/>
    <w:basedOn w:val="1"/>
    <w:next w:val="1"/>
    <w:link w:val="46"/>
    <w:qFormat/>
    <w:uiPriority w:val="0"/>
    <w:pPr>
      <w:numPr>
        <w:ilvl w:val="8"/>
        <w:numId w:val="1"/>
      </w:numPr>
      <w:outlineLvl w:val="8"/>
    </w:p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semiHidden/>
    <w:uiPriority w:val="0"/>
    <w:pPr>
      <w:tabs>
        <w:tab w:val="right" w:leader="dot" w:pos="9525"/>
      </w:tabs>
      <w:ind w:left="1260"/>
    </w:pPr>
  </w:style>
  <w:style w:type="paragraph" w:styleId="12">
    <w:name w:val="Normal Indent"/>
    <w:basedOn w:val="1"/>
    <w:link w:val="31"/>
    <w:qFormat/>
    <w:uiPriority w:val="0"/>
    <w:pPr>
      <w:ind w:firstLine="482"/>
    </w:pPr>
  </w:style>
  <w:style w:type="paragraph" w:styleId="13">
    <w:name w:val="caption"/>
    <w:basedOn w:val="1"/>
    <w:next w:val="1"/>
    <w:qFormat/>
    <w:uiPriority w:val="0"/>
    <w:pPr>
      <w:spacing w:before="152" w:after="160"/>
    </w:pPr>
    <w:rPr>
      <w:rFonts w:ascii="Arial" w:hAnsi="Arial" w:eastAsia="黑体"/>
    </w:rPr>
  </w:style>
  <w:style w:type="paragraph" w:styleId="14">
    <w:name w:val="annotation text"/>
    <w:basedOn w:val="1"/>
    <w:link w:val="49"/>
    <w:semiHidden/>
    <w:unhideWhenUsed/>
    <w:uiPriority w:val="99"/>
    <w:pPr>
      <w:jc w:val="left"/>
    </w:pPr>
  </w:style>
  <w:style w:type="paragraph" w:styleId="15">
    <w:name w:val="Body Text"/>
    <w:basedOn w:val="1"/>
    <w:link w:val="32"/>
    <w:qFormat/>
    <w:uiPriority w:val="0"/>
    <w:pPr>
      <w:spacing w:after="60"/>
      <w:ind w:left="72" w:leftChars="30" w:right="72" w:rightChars="30"/>
      <w:jc w:val="center"/>
    </w:pPr>
  </w:style>
  <w:style w:type="paragraph" w:styleId="16">
    <w:name w:val="Balloon Text"/>
    <w:basedOn w:val="1"/>
    <w:link w:val="51"/>
    <w:semiHidden/>
    <w:unhideWhenUsed/>
    <w:uiPriority w:val="99"/>
    <w:rPr>
      <w:sz w:val="18"/>
      <w:szCs w:val="18"/>
    </w:rPr>
  </w:style>
  <w:style w:type="paragraph" w:styleId="17">
    <w:name w:val="footer"/>
    <w:basedOn w:val="1"/>
    <w:link w:val="27"/>
    <w:unhideWhenUsed/>
    <w:qFormat/>
    <w:uiPriority w:val="99"/>
    <w:pPr>
      <w:tabs>
        <w:tab w:val="center" w:pos="4153"/>
        <w:tab w:val="right" w:pos="8306"/>
      </w:tabs>
      <w:snapToGrid w:val="0"/>
      <w:jc w:val="left"/>
    </w:pPr>
    <w:rPr>
      <w:sz w:val="18"/>
      <w:szCs w:val="18"/>
    </w:rPr>
  </w:style>
  <w:style w:type="paragraph" w:styleId="18">
    <w:name w:val="header"/>
    <w:basedOn w:val="1"/>
    <w:link w:val="26"/>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Subtitle"/>
    <w:basedOn w:val="1"/>
    <w:link w:val="53"/>
    <w:qFormat/>
    <w:uiPriority w:val="0"/>
    <w:pPr>
      <w:spacing w:after="60"/>
      <w:jc w:val="center"/>
    </w:pPr>
    <w:rPr>
      <w:rFonts w:ascii="Arial" w:hAnsi="Arial" w:eastAsia="黑体"/>
      <w:i/>
    </w:rPr>
  </w:style>
  <w:style w:type="paragraph" w:styleId="20">
    <w:name w:val="annotation subject"/>
    <w:basedOn w:val="14"/>
    <w:next w:val="14"/>
    <w:link w:val="50"/>
    <w:semiHidden/>
    <w:unhideWhenUsed/>
    <w:uiPriority w:val="99"/>
    <w:rPr>
      <w:b/>
      <w:bCs/>
    </w:rPr>
  </w:style>
  <w:style w:type="table" w:styleId="22">
    <w:name w:val="Table Grid"/>
    <w:basedOn w:val="21"/>
    <w:uiPriority w:val="0"/>
    <w:pPr>
      <w:widowControl w:val="0"/>
      <w:adjustRightInd w:val="0"/>
      <w:spacing w:line="360" w:lineRule="atLeast"/>
      <w:jc w:val="both"/>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page number"/>
    <w:basedOn w:val="23"/>
    <w:uiPriority w:val="0"/>
  </w:style>
  <w:style w:type="character" w:styleId="25">
    <w:name w:val="annotation reference"/>
    <w:basedOn w:val="23"/>
    <w:semiHidden/>
    <w:unhideWhenUsed/>
    <w:uiPriority w:val="99"/>
    <w:rPr>
      <w:sz w:val="21"/>
      <w:szCs w:val="21"/>
    </w:rPr>
  </w:style>
  <w:style w:type="character" w:customStyle="1" w:styleId="26">
    <w:name w:val="页眉 Char"/>
    <w:basedOn w:val="23"/>
    <w:link w:val="18"/>
    <w:qFormat/>
    <w:uiPriority w:val="0"/>
    <w:rPr>
      <w:sz w:val="18"/>
      <w:szCs w:val="18"/>
    </w:rPr>
  </w:style>
  <w:style w:type="character" w:customStyle="1" w:styleId="27">
    <w:name w:val="页脚 Char"/>
    <w:basedOn w:val="23"/>
    <w:link w:val="17"/>
    <w:qFormat/>
    <w:uiPriority w:val="99"/>
    <w:rPr>
      <w:sz w:val="18"/>
      <w:szCs w:val="18"/>
    </w:rPr>
  </w:style>
  <w:style w:type="character" w:customStyle="1" w:styleId="28">
    <w:name w:val="apple-converted-space"/>
    <w:basedOn w:val="23"/>
    <w:qFormat/>
    <w:uiPriority w:val="0"/>
  </w:style>
  <w:style w:type="character" w:customStyle="1" w:styleId="29">
    <w:name w:val="正文缩进 Char1"/>
    <w:link w:val="12"/>
    <w:qFormat/>
    <w:uiPriority w:val="0"/>
    <w:rPr>
      <w:rFonts w:ascii="Times New Roman" w:hAnsi="Times New Roman" w:eastAsia="宋体" w:cs="Times New Roman"/>
      <w:kern w:val="0"/>
      <w:sz w:val="24"/>
      <w:szCs w:val="20"/>
    </w:rPr>
  </w:style>
  <w:style w:type="paragraph" w:customStyle="1" w:styleId="30">
    <w:name w:val="flName"/>
    <w:basedOn w:val="1"/>
    <w:qFormat/>
    <w:uiPriority w:val="0"/>
    <w:pPr>
      <w:spacing w:before="320" w:after="160"/>
      <w:jc w:val="center"/>
    </w:pPr>
    <w:rPr>
      <w:rFonts w:ascii="Arial" w:eastAsia="黑体"/>
      <w:sz w:val="32"/>
    </w:rPr>
  </w:style>
  <w:style w:type="character" w:customStyle="1" w:styleId="31">
    <w:name w:val="正文缩进 Char"/>
    <w:basedOn w:val="23"/>
    <w:link w:val="12"/>
    <w:qFormat/>
    <w:uiPriority w:val="0"/>
    <w:rPr>
      <w:rFonts w:eastAsia="宋体"/>
      <w:sz w:val="24"/>
      <w:lang w:val="en-US" w:eastAsia="zh-CN" w:bidi="ar-SA"/>
    </w:rPr>
  </w:style>
  <w:style w:type="character" w:customStyle="1" w:styleId="32">
    <w:name w:val="正文文本 Char"/>
    <w:basedOn w:val="23"/>
    <w:link w:val="15"/>
    <w:qFormat/>
    <w:uiPriority w:val="0"/>
    <w:rPr>
      <w:rFonts w:ascii="Times New Roman" w:hAnsi="Times New Roman" w:eastAsia="宋体" w:cs="Times New Roman"/>
      <w:kern w:val="0"/>
      <w:szCs w:val="20"/>
    </w:rPr>
  </w:style>
  <w:style w:type="paragraph" w:customStyle="1" w:styleId="33">
    <w:name w:val="表格1"/>
    <w:basedOn w:val="1"/>
    <w:link w:val="48"/>
    <w:qFormat/>
    <w:uiPriority w:val="0"/>
    <w:pPr>
      <w:spacing w:after="60"/>
      <w:ind w:left="72" w:leftChars="30" w:right="72" w:rightChars="30"/>
      <w:jc w:val="center"/>
    </w:pPr>
  </w:style>
  <w:style w:type="paragraph" w:customStyle="1" w:styleId="34">
    <w:name w:val="表格3"/>
    <w:basedOn w:val="1"/>
    <w:link w:val="37"/>
    <w:uiPriority w:val="0"/>
    <w:pPr>
      <w:ind w:left="72" w:leftChars="30" w:right="72" w:rightChars="30"/>
    </w:pPr>
  </w:style>
  <w:style w:type="paragraph" w:customStyle="1" w:styleId="35">
    <w:name w:val="表格2"/>
    <w:basedOn w:val="1"/>
    <w:link w:val="36"/>
    <w:uiPriority w:val="0"/>
    <w:pPr>
      <w:spacing w:after="60"/>
      <w:ind w:left="72" w:leftChars="30" w:right="72" w:rightChars="30"/>
      <w:jc w:val="center"/>
    </w:pPr>
    <w:rPr>
      <w:rFonts w:ascii="Arial" w:eastAsia="黑体"/>
    </w:rPr>
  </w:style>
  <w:style w:type="character" w:customStyle="1" w:styleId="36">
    <w:name w:val="表格2 Char"/>
    <w:basedOn w:val="23"/>
    <w:link w:val="35"/>
    <w:uiPriority w:val="0"/>
    <w:rPr>
      <w:rFonts w:ascii="Arial" w:hAnsi="Times New Roman" w:eastAsia="黑体" w:cs="Times New Roman"/>
      <w:kern w:val="0"/>
      <w:szCs w:val="20"/>
    </w:rPr>
  </w:style>
  <w:style w:type="character" w:customStyle="1" w:styleId="37">
    <w:name w:val="表格3 Char"/>
    <w:basedOn w:val="23"/>
    <w:link w:val="34"/>
    <w:uiPriority w:val="0"/>
    <w:rPr>
      <w:rFonts w:ascii="Times New Roman" w:hAnsi="Times New Roman" w:eastAsia="宋体" w:cs="Times New Roman"/>
      <w:kern w:val="0"/>
      <w:szCs w:val="20"/>
    </w:rPr>
  </w:style>
  <w:style w:type="character" w:customStyle="1" w:styleId="38">
    <w:name w:val="标题 1 Char"/>
    <w:basedOn w:val="23"/>
    <w:link w:val="2"/>
    <w:qFormat/>
    <w:uiPriority w:val="0"/>
    <w:rPr>
      <w:rFonts w:ascii="Arial" w:eastAsia="黑体"/>
      <w:kern w:val="44"/>
      <w:sz w:val="24"/>
    </w:rPr>
  </w:style>
  <w:style w:type="character" w:customStyle="1" w:styleId="39">
    <w:name w:val="标题 2 Char"/>
    <w:link w:val="3"/>
    <w:qFormat/>
    <w:uiPriority w:val="0"/>
    <w:rPr>
      <w:sz w:val="24"/>
    </w:rPr>
  </w:style>
  <w:style w:type="character" w:customStyle="1" w:styleId="40">
    <w:name w:val="标题 3 Char"/>
    <w:basedOn w:val="23"/>
    <w:link w:val="4"/>
    <w:uiPriority w:val="0"/>
    <w:rPr>
      <w:sz w:val="24"/>
    </w:rPr>
  </w:style>
  <w:style w:type="character" w:customStyle="1" w:styleId="41">
    <w:name w:val="标题 4 Char"/>
    <w:basedOn w:val="23"/>
    <w:link w:val="5"/>
    <w:uiPriority w:val="0"/>
    <w:rPr>
      <w:sz w:val="24"/>
    </w:rPr>
  </w:style>
  <w:style w:type="character" w:customStyle="1" w:styleId="42">
    <w:name w:val="标题 5 Char"/>
    <w:basedOn w:val="23"/>
    <w:link w:val="6"/>
    <w:uiPriority w:val="0"/>
    <w:rPr>
      <w:sz w:val="24"/>
    </w:rPr>
  </w:style>
  <w:style w:type="character" w:customStyle="1" w:styleId="43">
    <w:name w:val="标题 6 Char"/>
    <w:basedOn w:val="23"/>
    <w:link w:val="7"/>
    <w:uiPriority w:val="0"/>
    <w:rPr>
      <w:sz w:val="24"/>
    </w:rPr>
  </w:style>
  <w:style w:type="character" w:customStyle="1" w:styleId="44">
    <w:name w:val="标题 7 Char"/>
    <w:basedOn w:val="23"/>
    <w:link w:val="8"/>
    <w:uiPriority w:val="0"/>
    <w:rPr>
      <w:sz w:val="24"/>
    </w:rPr>
  </w:style>
  <w:style w:type="character" w:customStyle="1" w:styleId="45">
    <w:name w:val="标题 8 Char"/>
    <w:basedOn w:val="23"/>
    <w:link w:val="9"/>
    <w:uiPriority w:val="0"/>
    <w:rPr>
      <w:sz w:val="24"/>
    </w:rPr>
  </w:style>
  <w:style w:type="character" w:customStyle="1" w:styleId="46">
    <w:name w:val="标题 9 Char"/>
    <w:basedOn w:val="23"/>
    <w:link w:val="10"/>
    <w:uiPriority w:val="0"/>
    <w:rPr>
      <w:sz w:val="24"/>
    </w:rPr>
  </w:style>
  <w:style w:type="paragraph" w:customStyle="1" w:styleId="47">
    <w:name w:val="表格编号"/>
    <w:basedOn w:val="1"/>
    <w:uiPriority w:val="0"/>
    <w:pPr>
      <w:numPr>
        <w:ilvl w:val="0"/>
        <w:numId w:val="2"/>
      </w:numPr>
      <w:spacing w:before="120"/>
      <w:jc w:val="center"/>
    </w:pPr>
  </w:style>
  <w:style w:type="character" w:customStyle="1" w:styleId="48">
    <w:name w:val="表格1 Char"/>
    <w:link w:val="33"/>
    <w:uiPriority w:val="0"/>
    <w:rPr>
      <w:rFonts w:ascii="Times New Roman" w:hAnsi="Times New Roman" w:eastAsia="宋体" w:cs="Times New Roman"/>
      <w:kern w:val="0"/>
      <w:szCs w:val="20"/>
    </w:rPr>
  </w:style>
  <w:style w:type="character" w:customStyle="1" w:styleId="49">
    <w:name w:val="批注文字 Char"/>
    <w:basedOn w:val="23"/>
    <w:link w:val="14"/>
    <w:semiHidden/>
    <w:uiPriority w:val="99"/>
  </w:style>
  <w:style w:type="character" w:customStyle="1" w:styleId="50">
    <w:name w:val="批注主题 Char"/>
    <w:basedOn w:val="49"/>
    <w:link w:val="20"/>
    <w:semiHidden/>
    <w:uiPriority w:val="99"/>
    <w:rPr>
      <w:b/>
      <w:bCs/>
    </w:rPr>
  </w:style>
  <w:style w:type="character" w:customStyle="1" w:styleId="51">
    <w:name w:val="批注框文本 Char"/>
    <w:basedOn w:val="23"/>
    <w:link w:val="16"/>
    <w:semiHidden/>
    <w:uiPriority w:val="99"/>
    <w:rPr>
      <w:sz w:val="18"/>
      <w:szCs w:val="18"/>
    </w:rPr>
  </w:style>
  <w:style w:type="paragraph" w:customStyle="1" w:styleId="52">
    <w:name w:val="空半行"/>
    <w:basedOn w:val="1"/>
    <w:uiPriority w:val="0"/>
    <w:pPr>
      <w:spacing w:line="120" w:lineRule="exact"/>
    </w:pPr>
    <w:rPr>
      <w:rFonts w:eastAsia="仿宋_GB2312"/>
      <w:color w:val="FFFFFF"/>
      <w:sz w:val="30"/>
    </w:rPr>
  </w:style>
  <w:style w:type="character" w:customStyle="1" w:styleId="53">
    <w:name w:val="副标题 Char"/>
    <w:basedOn w:val="23"/>
    <w:link w:val="19"/>
    <w:uiPriority w:val="0"/>
    <w:rPr>
      <w:rFonts w:ascii="Arial" w:hAnsi="Arial" w:eastAsia="黑体"/>
      <w:i/>
      <w:sz w:val="24"/>
    </w:rPr>
  </w:style>
  <w:style w:type="paragraph" w:styleId="54">
    <w:name w:val="List Paragraph"/>
    <w:basedOn w:val="1"/>
    <w:link w:val="55"/>
    <w:qFormat/>
    <w:uiPriority w:val="34"/>
    <w:pPr>
      <w:adjustRightInd/>
      <w:spacing w:line="240" w:lineRule="auto"/>
      <w:ind w:firstLine="420" w:firstLineChars="200"/>
      <w:textAlignment w:val="auto"/>
    </w:pPr>
    <w:rPr>
      <w:rFonts w:ascii="Calibri" w:hAnsi="Calibri"/>
      <w:kern w:val="2"/>
      <w:sz w:val="21"/>
      <w:szCs w:val="22"/>
    </w:rPr>
  </w:style>
  <w:style w:type="character" w:customStyle="1" w:styleId="55">
    <w:name w:val="列出段落 Char"/>
    <w:link w:val="54"/>
    <w:uiPriority w:val="34"/>
    <w:rPr>
      <w:rFonts w:ascii="Calibri" w:hAnsi="Calibri"/>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1205</Words>
  <Characters>6869</Characters>
  <Lines>57</Lines>
  <Paragraphs>16</Paragraphs>
  <TotalTime>114</TotalTime>
  <ScaleCrop>false</ScaleCrop>
  <LinksUpToDate>false</LinksUpToDate>
  <CharactersWithSpaces>8058</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2018-11-29T16:38:00Z</dcterms:created>
  <dc:creator>wangxiao</dc:creator>
  <cp:lastModifiedBy>程旭</cp:lastModifiedBy>
  <dcterms:modified xsi:type="dcterms:W3CDTF">2020-08-19T10:29:57Z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